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5E195">
      <w:pPr>
        <w:pStyle w:val="31"/>
        <w:spacing w:after="200"/>
        <w:jc w:val="center"/>
      </w:pPr>
      <w:r>
        <w:t>人机信任调控因素及试验设计参考</w:t>
      </w:r>
    </w:p>
    <w:p w14:paraId="542CBE90">
      <w:pPr>
        <w:widowControl/>
        <w:ind w:firstLine="420" w:firstLineChars="200"/>
      </w:pPr>
      <w:r>
        <w:t>调控目标是帮助操作者合理采纳或拒绝人工智能（AI）建议，减少欠信任与过信任。现有功能可提炼为五类因素，具体效果及适用条件仍需通过试验验证。</w:t>
      </w:r>
    </w:p>
    <w:p w14:paraId="6B1ECC30">
      <w:pPr>
        <w:pStyle w:val="3"/>
      </w:pPr>
      <w:r>
        <w:t>一 调控因素及其作用方式</w:t>
      </w:r>
    </w:p>
    <w:p w14:paraId="0DE581B3">
      <w:pPr>
        <w:pStyle w:val="4"/>
      </w:pPr>
      <w:r>
        <w:t>1 AI 能力信息呈现</w:t>
      </w:r>
    </w:p>
    <w:p w14:paraId="5828BFEE">
      <w:pPr>
        <w:widowControl/>
        <w:ind w:firstLine="420" w:firstLineChars="200"/>
      </w:pPr>
      <w:r>
        <w:t>向操作者展示 AI 能力等级对应的准确率参考值及波动范围，为判断系统能力提供信息。可设置不展示、展示单一参考值、展示参考值及波动范围等试验条件，考察能力信息对建议采纳和信任判断的影响。当前曲线按 AI 等级概率范围生成，应明确标注为能力参考，不能作为实测历史正确率。</w:t>
      </w:r>
    </w:p>
    <w:p w14:paraId="37B45B06">
      <w:pPr>
        <w:pStyle w:val="4"/>
      </w:pPr>
      <w:r>
        <w:t>2 决策信息透明度</w:t>
      </w:r>
    </w:p>
    <w:p w14:paraId="5027B80F">
      <w:pPr>
        <w:widowControl/>
        <w:ind w:firstLine="420" w:firstLineChars="200"/>
      </w:pPr>
      <w:r>
        <w:t>在推荐结果之外展示目标观测信息。传感器任务包括方位、距离、速度、航向及数据时间等信息，并</w:t>
      </w:r>
      <w:bookmarkStart w:id="0" w:name="_GoBack"/>
      <w:bookmarkEnd w:id="0"/>
      <w:r>
        <w:t>提供候选目标列表；威胁排序任务包括威胁类别、目标特征、距离及数据时间等信息。可比较仅展示推荐结果与同时展示相关观测信息的条件。当前实现属于信息辅助，不等同于完整的 AI 推理过程解释。</w:t>
      </w:r>
    </w:p>
    <w:p w14:paraId="19C0FF79">
      <w:pPr>
        <w:pStyle w:val="4"/>
      </w:pPr>
      <w:r>
        <w:t>3 注意引导</w:t>
      </w:r>
    </w:p>
    <w:p w14:paraId="1A0819C5">
      <w:pPr>
        <w:widowControl/>
        <w:ind w:firstLine="420" w:firstLineChars="200"/>
      </w:pPr>
      <w:r>
        <w:t>进入信任支持状态后，对 AI 推荐区域进行高亮，引导操作者关注推荐信息；聚焦推荐目标或开始人工复核后结束高亮。可将是否高亮、触发时机和结束条件作为试验变量，考察推荐信息的注意分配和查看行为。</w:t>
      </w:r>
    </w:p>
    <w:p w14:paraId="78D91356">
      <w:pPr>
        <w:pStyle w:val="4"/>
      </w:pPr>
      <w:r>
        <w:t>4 人工复核支持</w:t>
      </w:r>
    </w:p>
    <w:p w14:paraId="3139B4CC">
      <w:pPr>
        <w:widowControl/>
        <w:ind w:firstLine="420" w:firstLineChars="200"/>
      </w:pPr>
      <w:r>
        <w:t>通过专用按键查看 AI 推荐目标的观测信息，记录有效复核次数、持续时间及无有效推荐时的复核操作。可比较是否提供复核入口或不同复核方式的影响。当前复核用于辅助判断，不能直接等同于操作者已经理解信息，也不能仅凭复核次数判断信任是否适当。</w:t>
      </w:r>
    </w:p>
    <w:p w14:paraId="6340C048">
      <w:pPr>
        <w:pStyle w:val="4"/>
      </w:pPr>
      <w:r>
        <w:t>5 人机分歧对比</w:t>
      </w:r>
    </w:p>
    <w:p w14:paraId="28DC5A04">
      <w:pPr>
        <w:widowControl/>
        <w:ind w:firstLine="420" w:firstLineChars="200"/>
      </w:pPr>
      <w:r>
        <w:t>当人工选择与 AI 推荐不一致时，并列展示两个目标的观测信息，支持操作者比较差异。可设置是否提供对比、对比字段范围等条件，考察分歧后的选择调整和最终决策。人机选择不一致只表示发生分歧，不应直接判定为欠信任。</w:t>
      </w:r>
    </w:p>
    <w:p w14:paraId="497B4DC2">
      <w:pPr>
        <w:pStyle w:val="3"/>
      </w:pPr>
      <w:r>
        <w:t>二 试验条件与调控触发</w:t>
      </w:r>
    </w:p>
    <w:p w14:paraId="62850E3F">
      <w:pPr>
        <w:widowControl/>
        <w:ind w:firstLine="420" w:firstLineChars="200"/>
      </w:pPr>
      <w:r>
        <w:t>试验条件建议至少记录任务类型、任务难度、AI 能力等级和操作模式。操作模式可区分作业员独立操作、智能体自主操作和人机协同操作。涉及 AI 建议采纳或拒绝的信任行为分析，应限定在操作者有机会作出相关选择的条件下；练习阶段与正式试验阶段应分别记录。</w:t>
      </w:r>
    </w:p>
    <w:p w14:paraId="77FC32BF">
      <w:pPr>
        <w:widowControl/>
        <w:ind w:firstLine="420" w:firstLineChars="200"/>
      </w:pPr>
      <w:r>
        <w:t>当前调控依据同一被试、同一任务类型、同一任务难度和同一 AI 等级的历史结果，统计信任适当、欠信任和过信任情况。历史中出现欠信任或过信任后进入信任支持状态，两类偏差目前采用共同的支持模式。该规则是现有实现口径，不能表述为已经验证的最优触发阈值，也不宜描述为两套已独立验证的定向干预策略。</w:t>
      </w:r>
    </w:p>
    <w:p w14:paraId="20CBCDB5">
      <w:pPr>
        <w:widowControl/>
        <w:ind w:firstLine="420" w:firstLineChars="200"/>
      </w:pPr>
      <w:r>
        <w:t>对方设计试验时，可先比较基础界面与调控界面的整体效果，再按研究目的拆分能力信息、透明度、注意引导、复核支持和分歧对比等因素。建议明确每项因素的启用条件、呈现内容和结束条件，避免多个因素同时变化后难以判断效果来源。</w:t>
      </w:r>
    </w:p>
    <w:p w14:paraId="4626CD97">
      <w:pPr>
        <w:pStyle w:val="3"/>
      </w:pPr>
      <w:r>
        <w:t>三 评价指标与判定口径</w:t>
      </w:r>
    </w:p>
    <w:p w14:paraId="38D53EA7">
      <w:pPr>
        <w:pStyle w:val="4"/>
      </w:pPr>
      <w:r>
        <w:t>1 信任行为结果</w:t>
      </w:r>
    </w:p>
    <w:p w14:paraId="5C7C4F9E">
      <w:pPr>
        <w:widowControl/>
        <w:ind w:firstLine="420" w:firstLineChars="200"/>
      </w:pPr>
      <w:r>
        <w:t>以 AI 推荐、人工最终选择和任务真值为判定依据：AI 正确且人工采纳，记为信任适当；AI 正确但人工拒绝，记为欠信任；AI 错误且人工采纳，记为过信任；AI 错误而人工拒绝，记为信任适当。此处“适当”评价的是对 AI 建议的依赖行为。人工拒绝错误建议后仍可能选错，因此必须另行统计任务正确率。</w:t>
      </w:r>
    </w:p>
    <w:p w14:paraId="315AD7F0">
      <w:pPr>
        <w:widowControl/>
        <w:ind w:firstLine="420" w:firstLineChars="200"/>
      </w:pPr>
      <w:r>
        <w:t>分别计算信任适当率、欠信任率和过信任率，分母为能够完成上述判定的有效试次。AI 推荐、人工最终选择或任务真值缺失时，不宜强行归类，应单独记录缺失原因。</w:t>
      </w:r>
    </w:p>
    <w:p w14:paraId="74513F69">
      <w:pPr>
        <w:pStyle w:val="4"/>
      </w:pPr>
      <w:r>
        <w:t>2 任务绩效与过程行为</w:t>
      </w:r>
    </w:p>
    <w:p w14:paraId="70319FD6">
      <w:pPr>
        <w:widowControl/>
        <w:ind w:firstLine="420" w:firstLineChars="200"/>
      </w:pPr>
      <w:r>
        <w:t>任务绩效可记录最终选择正确率及决策耗时；决策耗时应统一起止事件，例如从 AI 推荐呈现到人工最终确认。过程行为可记录人工复核次数和时长、观测信息查看时长、人机分歧对比的出现与持续时间、选择变化以及相关区域的眼动行为。过程指标用于解释调控如何影响决策，不直接替代信任结果判定。</w:t>
      </w:r>
    </w:p>
    <w:p w14:paraId="7BB66927">
      <w:pPr>
        <w:pStyle w:val="4"/>
      </w:pPr>
      <w:r>
        <w:t>3 主观评价</w:t>
      </w:r>
    </w:p>
    <w:p w14:paraId="5083BD21">
      <w:pPr>
        <w:widowControl/>
        <w:ind w:firstLine="420" w:firstLineChars="200"/>
      </w:pPr>
      <w:r>
        <w:t>可结合研究目的配置任务组结束后的信任问卷，将主观信任与行为信任分别分析，并统一施测时点。问卷呈现与问卷提交应分别记录，避免将已触发但未提交的问卷计入有效样本。</w:t>
      </w:r>
    </w:p>
    <w:p w14:paraId="50CD6D0E">
      <w:pPr>
        <w:pStyle w:val="3"/>
      </w:pPr>
      <w:r>
        <w:t>四 试验记录与使用边界</w:t>
      </w:r>
    </w:p>
    <w:p w14:paraId="6517A586">
      <w:pPr>
        <w:widowControl/>
        <w:ind w:firstLine="420" w:firstLineChars="200"/>
      </w:pPr>
      <w:r>
        <w:t>建议按试次关联被试标识、任务组及试次标识、任务条件、调控因素及参数、实际触发记录、AI 推荐、人工最终选择、任务真值和关键事件时间。问卷及眼动数据通过相应标识与任务记录关联，以支持比较调控前后的行为和绩效。</w:t>
      </w:r>
    </w:p>
    <w:p w14:paraId="5E4F846B">
      <w:pPr>
        <w:widowControl/>
        <w:ind w:firstLine="420" w:firstLineChars="200"/>
      </w:pPr>
      <w:r>
        <w:t>迁移时需结合对方任务中的可观测信息、真值定义和人工决策权限细化方案；调控是否有效、适用于何种被试与任务，以及各因素是否存在交互作用，应以相应试验结果为依据。</w:t>
      </w:r>
    </w:p>
    <w:sectPr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7C623D"/>
    <w:rsid w:val="7AE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24" w:lineRule="auto"/>
      <w:ind w:firstLine="420"/>
    </w:pPr>
    <w:rPr>
      <w:rFonts w:ascii="宋体" w:hAnsi="宋体" w:eastAsia="宋体" w:cs="宋体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0" w:line="324" w:lineRule="auto"/>
      <w:ind w:firstLine="0"/>
      <w:outlineLvl w:val="0"/>
    </w:pPr>
    <w:rPr>
      <w:rFonts w:ascii="宋体" w:hAnsi="宋体" w:eastAsia="宋体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0" w:line="324" w:lineRule="auto"/>
      <w:ind w:firstLine="0"/>
      <w:outlineLvl w:val="1"/>
    </w:pPr>
    <w:rPr>
      <w:rFonts w:ascii="宋体" w:hAnsi="宋体" w:eastAsia="宋体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theme="majorBidi"/>
      <w:b/>
      <w:bCs/>
      <w:i/>
      <w:iCs/>
      <w:color w:val="000000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theme="majorBidi"/>
      <w:color w:val="000000"/>
      <w:sz w:val="21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theme="majorBidi"/>
      <w:i/>
      <w:iCs/>
      <w:color w:val="000000"/>
      <w:sz w:val="21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theme="majorBidi"/>
      <w:i/>
      <w:iCs/>
      <w:color w:val="000000"/>
      <w:sz w:val="21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theme="majorBidi"/>
      <w:color w:val="000000"/>
      <w:sz w:val="21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theme="majorBidi"/>
      <w:i/>
      <w:iCs/>
      <w:color w:val="000000"/>
      <w:sz w:val="21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color w:val="000000"/>
      <w:sz w:val="21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  <w:color w:val="000000"/>
      <w:sz w:val="21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宋体" w:hAnsi="宋体" w:eastAsia="宋体" w:cs="宋体"/>
      <w:color w:val="000000"/>
      <w:sz w:val="21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 w:cs="宋体"/>
      <w:color w:val="000000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  <w:color w:val="000000"/>
      <w:sz w:val="21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  <w:color w:val="000000"/>
      <w:sz w:val="21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  <w:color w:val="000000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1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1"/>
    </w:rPr>
  </w:style>
  <w:style w:type="paragraph" w:styleId="26">
    <w:name w:val="Subtitle"/>
    <w:basedOn w:val="1"/>
    <w:next w:val="1"/>
    <w:link w:val="142"/>
    <w:qFormat/>
    <w:uiPriority w:val="11"/>
    <w:rPr>
      <w:rFonts w:ascii="宋体" w:hAnsi="宋体" w:eastAsia="宋体" w:cstheme="majorBidi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 w:cs="宋体"/>
      <w:color w:val="000000"/>
      <w:sz w:val="21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 w:eastAsia="宋体" w:cs="宋体"/>
      <w:color w:val="000000"/>
      <w:sz w:val="21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  <w:color w:val="000000"/>
      <w:sz w:val="21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  <w:color w:val="000000"/>
      <w:sz w:val="21"/>
    </w:r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0" w:line="324" w:lineRule="auto"/>
      <w:ind w:firstLine="0"/>
      <w:contextualSpacing/>
    </w:pPr>
    <w:rPr>
      <w:rFonts w:ascii="宋体" w:hAnsi="宋体" w:eastAsia="宋体" w:cstheme="majorBidi"/>
      <w:b/>
      <w:color w:val="000000"/>
      <w:spacing w:val="5"/>
      <w:kern w:val="28"/>
      <w:sz w:val="21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color w:val="000000"/>
      <w:sz w:val="21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  <w:color w:val="000000"/>
      <w:sz w:val="21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/>
      <w:sz w:val="21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000000"/>
      <w:sz w:val="21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1838</Words>
  <Characters>1858</Characters>
  <Lines>0</Lines>
  <Paragraphs>0</Paragraphs>
  <TotalTime>2</TotalTime>
  <ScaleCrop>false</ScaleCrop>
  <LinksUpToDate>false</LinksUpToDate>
  <CharactersWithSpaces>1900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安培蓉</dc:creator>
  <dc:description>generated by python-docx</dc:description>
  <cp:lastModifiedBy>安培蓉</cp:lastModifiedBy>
  <dcterms:modified xsi:type="dcterms:W3CDTF">2026-09-07T04:14:44Z</dcterms:modified>
  <dc:subject>调控因素与试验设计参考</dc:subject>
  <dc:title>人机信任调控因素及试验设计参考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eyJoZGlkIjoiODVjZDhhNWIzOTljZjI1YzZjNDhjMzk0OWFkZTZiMWEiLCJ1c2VySWQiOiI4NDU4NDMyMTgifQ==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3D0DCDC286904176A3D94100CDF27579_12</vt:lpwstr>
  </property>
</Properties>
</file>