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95D4C">
      <w:pPr>
        <w:spacing w:after="200"/>
      </w:pPr>
    </w:p>
    <w:p w14:paraId="4C86C335">
      <w:pPr>
        <w:spacing w:after="200"/>
      </w:pPr>
    </w:p>
    <w:p w14:paraId="22CAEE95">
      <w:pPr>
        <w:spacing w:after="200"/>
      </w:pPr>
    </w:p>
    <w:p w14:paraId="3D17BEE1">
      <w:pPr>
        <w:spacing w:after="200"/>
      </w:pPr>
    </w:p>
    <w:p w14:paraId="7CDCABC5">
      <w:pPr>
        <w:spacing w:after="360"/>
        <w:jc w:val="center"/>
      </w:pPr>
      <w:r>
        <w:rPr>
          <w:rFonts w:ascii="黑体" w:hAnsi="黑体" w:eastAsia="黑体" w:cs="黑体"/>
          <w:b/>
          <w:color w:val="000000"/>
          <w:sz w:val="48"/>
        </w:rPr>
        <w:t>等效平台模型输入输出与模拟器数据对齐</w:t>
      </w:r>
    </w:p>
    <w:p w14:paraId="1F60F9BC">
      <w:pPr>
        <w:spacing w:after="560"/>
        <w:jc w:val="center"/>
      </w:pPr>
      <w:r>
        <w:rPr>
          <w:rFonts w:ascii="黑体" w:hAnsi="黑体" w:eastAsia="黑体" w:cs="黑体"/>
          <w:b/>
          <w:color w:val="000000"/>
          <w:sz w:val="36"/>
        </w:rPr>
        <w:t>汇报提纲（审阅稿）</w:t>
      </w:r>
    </w:p>
    <w:p w14:paraId="7150436C">
      <w:pPr>
        <w:spacing w:after="160"/>
        <w:jc w:val="center"/>
      </w:pPr>
      <w:r>
        <w:rPr>
          <w:rFonts w:ascii="宋体" w:hAnsi="宋体" w:eastAsia="宋体" w:cs="宋体"/>
          <w:color w:val="000000"/>
          <w:sz w:val="24"/>
        </w:rPr>
        <w:t>面向对象：模拟器研制与数据接口团队</w:t>
      </w:r>
    </w:p>
    <w:p w14:paraId="5551DA06">
      <w:pPr>
        <w:spacing w:after="160"/>
        <w:jc w:val="center"/>
      </w:pPr>
      <w:r>
        <w:rPr>
          <w:rFonts w:ascii="宋体" w:hAnsi="宋体" w:eastAsia="宋体" w:cs="宋体"/>
          <w:color w:val="000000"/>
          <w:sz w:val="24"/>
        </w:rPr>
        <w:t>汇报重点：试验设计、模型输入输出、连续任务数据采集与信任调控</w:t>
      </w:r>
    </w:p>
    <w:p w14:paraId="3FFB0CBA">
      <w:pPr>
        <w:spacing w:after="200"/>
      </w:pPr>
    </w:p>
    <w:p w14:paraId="33016EC3">
      <w:pPr>
        <w:spacing w:after="200"/>
      </w:pPr>
    </w:p>
    <w:p w14:paraId="096FFCD0">
      <w:pPr>
        <w:spacing w:after="200"/>
      </w:pPr>
    </w:p>
    <w:p w14:paraId="02A31883">
      <w:pPr>
        <w:spacing w:after="200"/>
      </w:pPr>
    </w:p>
    <w:p w14:paraId="418397E5">
      <w:pPr>
        <w:spacing w:after="200"/>
      </w:pPr>
    </w:p>
    <w:p w14:paraId="14190B5D">
      <w:pPr>
        <w:jc w:val="center"/>
      </w:pPr>
      <w:r>
        <w:rPr>
          <w:rFonts w:ascii="黑体" w:hAnsi="黑体" w:eastAsia="黑体" w:cs="黑体"/>
          <w:b/>
          <w:color w:val="404040"/>
          <w:sz w:val="24"/>
        </w:rPr>
        <w:t>内部审阅用</w:t>
      </w:r>
    </w:p>
    <w:p w14:paraId="5B3AF75D">
      <w:r>
        <w:rPr>
          <w:color w:val="000000"/>
        </w:rPr>
        <w:br w:type="page"/>
      </w:r>
    </w:p>
    <w:p w14:paraId="7B69B77A">
      <w:pPr>
        <w:pStyle w:val="3"/>
        <w:keepNext/>
        <w:pageBreakBefore w:val="0"/>
      </w:pPr>
      <w:r>
        <w:rPr>
          <w:rFonts w:ascii="黑体" w:hAnsi="黑体" w:eastAsia="黑体" w:cs="黑体"/>
          <w:b/>
          <w:color w:val="000000"/>
          <w:sz w:val="32"/>
        </w:rPr>
        <w:t>审阅说明</w:t>
      </w:r>
    </w:p>
    <w:p w14:paraId="27F39A34">
      <w:pPr>
        <w:spacing w:before="0" w:after="120" w:line="360" w:lineRule="auto"/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本提纲用于向模拟器厂家说明等效平台当前采用的试验设计、信任状态模型的输入输出，以及模拟器开展连续四阶段新任务时需要满足的数据采集条件。汇报顺序按照“先讲当前等效平台，再讲模拟器新任务，最后讲信任校准与信任调控”的逻辑组织。</w:t>
      </w:r>
    </w:p>
    <w:tbl>
      <w:tblPr>
        <w:tblStyle w:val="32"/>
        <w:tblW w:w="8700" w:type="dxa"/>
        <w:tblInd w:w="12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0"/>
      </w:tblGrid>
      <w:tr w14:paraId="60F7F6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0" w:type="dxa"/>
            <w:shd w:val="clear" w:color="auto" w:fill="F7F7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5BB7992">
            <w:pPr>
              <w:spacing w:after="0" w:line="324" w:lineRule="auto"/>
              <w:jc w:val="both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统一口径：</w:t>
            </w:r>
            <w:r>
              <w:rPr>
                <w:rFonts w:ascii="宋体" w:hAnsi="宋体" w:eastAsia="宋体" w:cs="宋体"/>
                <w:color w:val="000000"/>
                <w:sz w:val="24"/>
              </w:rPr>
              <w:t>新一轮正式数据将依据当前最新试验与采集代码产生，并用于模型重新训练、验证和持续优化。对外汇报统一使用“当前方案”“现行建模链路”“优化方向”等表述，不展开版本沿革。</w:t>
            </w:r>
          </w:p>
        </w:tc>
      </w:tr>
    </w:tbl>
    <w:p w14:paraId="504E4E9F">
      <w:pPr>
        <w:spacing w:after="40"/>
      </w:pPr>
    </w:p>
    <w:tbl>
      <w:tblPr>
        <w:tblStyle w:val="32"/>
        <w:tblW w:w="8700" w:type="dxa"/>
        <w:tblInd w:w="12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0"/>
      </w:tblGrid>
      <w:tr w14:paraId="6BB384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0" w:type="dxa"/>
            <w:shd w:val="clear" w:color="auto" w:fill="F7F7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0B756CE">
            <w:pPr>
              <w:spacing w:after="0" w:line="324" w:lineRule="auto"/>
              <w:jc w:val="both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已确认边界：</w:t>
            </w:r>
            <w:r>
              <w:rPr>
                <w:rFonts w:ascii="宋体" w:hAnsi="宋体" w:eastAsia="宋体" w:cs="宋体"/>
                <w:color w:val="000000"/>
                <w:sz w:val="24"/>
              </w:rPr>
              <w:t>本轮试验不设置交互工效条件。该条件不作为实验自变量、不作为数据分组字段，也不进入模型输入。</w:t>
            </w:r>
          </w:p>
        </w:tc>
      </w:tr>
    </w:tbl>
    <w:p w14:paraId="29755CE8">
      <w:pPr>
        <w:spacing w:after="40"/>
      </w:pPr>
    </w:p>
    <w:p w14:paraId="1A0419A8">
      <w:pPr>
        <w:pStyle w:val="4"/>
        <w:keepNext/>
        <w:pageBreakBefore w:val="0"/>
      </w:pPr>
      <w:r>
        <w:rPr>
          <w:rFonts w:ascii="黑体" w:hAnsi="黑体" w:eastAsia="黑体" w:cs="黑体"/>
          <w:b/>
          <w:color w:val="000000"/>
          <w:sz w:val="28"/>
        </w:rPr>
        <w:t>建议汇报结构</w:t>
      </w:r>
    </w:p>
    <w:p w14:paraId="1C50E778">
      <w:pPr>
        <w:pStyle w:val="14"/>
        <w:spacing w:after="80" w:line="324" w:lineRule="auto"/>
        <w:ind w:left="510" w:hanging="255"/>
        <w:jc w:val="both"/>
      </w:pPr>
      <w:r>
        <w:rPr>
          <w:rFonts w:ascii="宋体" w:hAnsi="宋体" w:eastAsia="宋体" w:cs="宋体"/>
          <w:color w:val="000000"/>
          <w:sz w:val="24"/>
        </w:rPr>
        <w:t>当前等效平台：说明任务、控制模式、难度、AI能力等级和问卷安排。</w:t>
      </w:r>
    </w:p>
    <w:p w14:paraId="4A302B10">
      <w:pPr>
        <w:pStyle w:val="14"/>
        <w:spacing w:after="80" w:line="324" w:lineRule="auto"/>
        <w:ind w:left="510" w:hanging="255"/>
        <w:jc w:val="both"/>
      </w:pPr>
      <w:r>
        <w:rPr>
          <w:rFonts w:ascii="宋体" w:hAnsi="宋体" w:eastAsia="宋体" w:cs="宋体"/>
          <w:color w:val="000000"/>
          <w:sz w:val="24"/>
        </w:rPr>
        <w:t>当前模型：详细说明行为数据如何形成20维直接输入，以及信任状态等级如何输出。</w:t>
      </w:r>
    </w:p>
    <w:p w14:paraId="286BB15B">
      <w:pPr>
        <w:pStyle w:val="14"/>
        <w:spacing w:after="80" w:line="324" w:lineRule="auto"/>
        <w:ind w:left="510" w:hanging="255"/>
        <w:jc w:val="both"/>
      </w:pPr>
      <w:r>
        <w:rPr>
          <w:rFonts w:ascii="宋体" w:hAnsi="宋体" w:eastAsia="宋体" w:cs="宋体"/>
          <w:color w:val="000000"/>
          <w:sz w:val="24"/>
        </w:rPr>
        <w:t>模拟器新任务：将四项任务按一个连续任务链设计，建立阶段、累计和跨阶段数据。</w:t>
      </w:r>
    </w:p>
    <w:p w14:paraId="5D85803C">
      <w:pPr>
        <w:pStyle w:val="14"/>
        <w:spacing w:after="80" w:line="324" w:lineRule="auto"/>
        <w:ind w:left="510" w:hanging="255"/>
        <w:jc w:val="both"/>
      </w:pPr>
      <w:r>
        <w:rPr>
          <w:rFonts w:ascii="宋体" w:hAnsi="宋体" w:eastAsia="宋体" w:cs="宋体"/>
          <w:color w:val="000000"/>
          <w:sz w:val="24"/>
        </w:rPr>
        <w:t>数据采集要求：明确标识、时间、建议、人工决策、真值和问卷等字段的验收标准。</w:t>
      </w:r>
    </w:p>
    <w:p w14:paraId="168A5ED1">
      <w:pPr>
        <w:pStyle w:val="14"/>
        <w:spacing w:after="80" w:line="324" w:lineRule="auto"/>
        <w:ind w:left="510" w:hanging="255"/>
        <w:jc w:val="both"/>
      </w:pPr>
      <w:r>
        <w:rPr>
          <w:rFonts w:ascii="宋体" w:hAnsi="宋体" w:eastAsia="宋体" w:cs="宋体"/>
          <w:color w:val="000000"/>
          <w:sz w:val="24"/>
        </w:rPr>
        <w:t>信任校准与信任调控：最后说明客观校准判定和干预策略，两者不与信任状态等级混为一谈。</w:t>
      </w:r>
    </w:p>
    <w:p w14:paraId="7066B9BA">
      <w:r>
        <w:rPr>
          <w:color w:val="000000"/>
        </w:rPr>
        <w:br w:type="page"/>
      </w:r>
    </w:p>
    <w:p w14:paraId="61F9E642">
      <w:pPr>
        <w:pStyle w:val="3"/>
        <w:keepNext/>
        <w:pageBreakBefore w:val="0"/>
      </w:pPr>
      <w:r>
        <w:rPr>
          <w:rFonts w:ascii="黑体" w:hAnsi="黑体" w:eastAsia="黑体" w:cs="黑体"/>
          <w:b/>
          <w:color w:val="000000"/>
          <w:sz w:val="32"/>
        </w:rPr>
        <w:t>第一部分  当前等效平台的试验与模型设计</w:t>
      </w:r>
    </w:p>
    <w:p w14:paraId="33C0EF82">
      <w:pPr>
        <w:pStyle w:val="4"/>
        <w:keepNext/>
        <w:pageBreakBefore w:val="0"/>
      </w:pPr>
      <w:r>
        <w:rPr>
          <w:rFonts w:ascii="黑体" w:hAnsi="黑体" w:eastAsia="黑体" w:cs="黑体"/>
          <w:b/>
          <w:color w:val="000000"/>
          <w:sz w:val="28"/>
        </w:rPr>
        <w:t>1. 汇报目的与对齐原则</w:t>
      </w:r>
    </w:p>
    <w:p w14:paraId="2ED0F0CA">
      <w:pPr>
        <w:spacing w:before="0" w:after="120" w:line="360" w:lineRule="auto"/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等效平台提供的是用于验证人机协同、信任状态识别和信任调控方法的数据环境。模拟器无需复现等效平台的任务名称或界面形式，但需要在行为语义、时间口径、结果真值和数据层级上与模型要求对齐。</w:t>
      </w:r>
    </w:p>
    <w:p w14:paraId="6D00A14E">
      <w:pPr>
        <w:spacing w:before="0" w:after="120" w:line="360" w:lineRule="auto"/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对齐的核心不是“任务长得一样”，而是每个可建模决策单元都能够回答四个问题：AI给出了什么建议，人员最终做了什么，客观结果是什么，以及人员在多大程度上采纳、拒绝或接管了AI。</w:t>
      </w:r>
    </w:p>
    <w:p w14:paraId="71D69277">
      <w:pPr>
        <w:pStyle w:val="4"/>
        <w:keepNext/>
        <w:pageBreakBefore w:val="0"/>
      </w:pPr>
      <w:r>
        <w:rPr>
          <w:rFonts w:ascii="黑体" w:hAnsi="黑体" w:eastAsia="黑体" w:cs="黑体"/>
          <w:b/>
          <w:color w:val="000000"/>
          <w:sz w:val="28"/>
        </w:rPr>
        <w:t>2. 当前等效平台试验设计</w:t>
      </w:r>
    </w:p>
    <w:p w14:paraId="30C5802A">
      <w:pPr>
        <w:pStyle w:val="5"/>
        <w:keepNext/>
        <w:pageBreakBefore w:val="0"/>
      </w:pPr>
      <w:r>
        <w:rPr>
          <w:rFonts w:ascii="黑体" w:hAnsi="黑体" w:eastAsia="黑体" w:cs="黑体"/>
          <w:b/>
          <w:color w:val="000000"/>
          <w:sz w:val="24"/>
        </w:rPr>
        <w:t>2.1 任务构成</w:t>
      </w:r>
    </w:p>
    <w:p w14:paraId="74A533DB">
      <w:pPr>
        <w:spacing w:before="0" w:after="120" w:line="360" w:lineRule="auto"/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当前等效平台围绕雷达、态势感知、武器和平台四类任务组织试验。四类任务用于覆盖不同的人机协同决策与操作场景，但统一落到“任务条件—多次决策/操作—结果确认—问卷反馈”的数据闭环中。</w:t>
      </w:r>
    </w:p>
    <w:p w14:paraId="79AE352B">
      <w:pPr>
        <w:pStyle w:val="5"/>
        <w:keepNext/>
        <w:pageBreakBefore w:val="0"/>
      </w:pPr>
      <w:r>
        <w:rPr>
          <w:rFonts w:ascii="黑体" w:hAnsi="黑体" w:eastAsia="黑体" w:cs="黑体"/>
          <w:b/>
          <w:color w:val="000000"/>
          <w:sz w:val="24"/>
        </w:rPr>
        <w:t>2.2 核心试验条件</w:t>
      </w:r>
    </w:p>
    <w:tbl>
      <w:tblPr>
        <w:tblStyle w:val="32"/>
        <w:tblW w:w="8700" w:type="dxa"/>
        <w:tblInd w:w="12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2300"/>
        <w:gridCol w:w="4963"/>
      </w:tblGrid>
      <w:tr w14:paraId="58274C5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37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7C57B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试验维度</w:t>
            </w:r>
          </w:p>
        </w:tc>
        <w:tc>
          <w:tcPr>
            <w:tcW w:w="2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3D626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当前设置</w:t>
            </w:r>
          </w:p>
        </w:tc>
        <w:tc>
          <w:tcPr>
            <w:tcW w:w="496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D207E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数据与建模含义</w:t>
            </w:r>
          </w:p>
        </w:tc>
      </w:tr>
      <w:tr w14:paraId="30FC572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DDEC3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控制模式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865A2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 手动控制；1 人机协同；2 AI控制</w:t>
            </w:r>
          </w:p>
        </w:tc>
        <w:tc>
          <w:tcPr>
            <w:tcW w:w="49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01F12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区分人员与AI的决策权限和参与方式。手动模式不产生AI信任标签，用作任务绩效、负荷等基线。</w:t>
            </w:r>
          </w:p>
        </w:tc>
      </w:tr>
      <w:tr w14:paraId="604332F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D06DA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任务难度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00C02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低、中、高三级</w:t>
            </w:r>
          </w:p>
        </w:tc>
        <w:tc>
          <w:tcPr>
            <w:tcW w:w="49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3A832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影响任务本身难度，并与AI能力参数共同形成具体试验条件。</w:t>
            </w:r>
          </w:p>
        </w:tc>
      </w:tr>
      <w:tr w14:paraId="3982C8F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73D9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AI能力等级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907F6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L1、L2、L3三级</w:t>
            </w:r>
          </w:p>
        </w:tc>
        <w:tc>
          <w:tcPr>
            <w:tcW w:w="49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8D93D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用于AI参与模式；控制建议正确率采样范围和响应延迟。</w:t>
            </w:r>
          </w:p>
        </w:tc>
      </w:tr>
      <w:tr w14:paraId="1895519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E909B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交互工效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3AAF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本轮不设置</w:t>
            </w:r>
          </w:p>
        </w:tc>
        <w:tc>
          <w:tcPr>
            <w:tcW w:w="49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87B1C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不作为试验变量、分组字段或模型输入。</w:t>
            </w:r>
          </w:p>
        </w:tc>
      </w:tr>
      <w:tr w14:paraId="6A42ACD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CE1C9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练习/正式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FB74E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明确标识</w:t>
            </w:r>
          </w:p>
        </w:tc>
        <w:tc>
          <w:tcPr>
            <w:tcW w:w="49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F8C0E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练习数据不进入正式训练集；正式任务按任务组完成问卷闭环。</w:t>
            </w:r>
          </w:p>
        </w:tc>
      </w:tr>
    </w:tbl>
    <w:p w14:paraId="6477AF3D">
      <w:pPr>
        <w:spacing w:after="40"/>
      </w:pPr>
    </w:p>
    <w:p w14:paraId="048FCA17">
      <w:pPr>
        <w:spacing w:before="0" w:after="120" w:line="360" w:lineRule="auto"/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条件组合按业务适用性生成，不机械套用全因子。手动控制模式下AI能力等级属于“不适用”；人机协同和AI控制模式下，难度与AI能力等级共同记录。每个条件下的有效决策数量由正式试验协议配置，不在模型接口中写死。</w:t>
      </w:r>
    </w:p>
    <w:p w14:paraId="7AC84F16">
      <w:pPr>
        <w:pStyle w:val="5"/>
        <w:keepNext/>
        <w:pageBreakBefore w:val="0"/>
      </w:pPr>
      <w:r>
        <w:rPr>
          <w:rFonts w:ascii="黑体" w:hAnsi="黑体" w:eastAsia="黑体" w:cs="黑体"/>
          <w:b/>
          <w:color w:val="000000"/>
          <w:sz w:val="24"/>
        </w:rPr>
        <w:t>2.3 AI能力等级参数</w:t>
      </w:r>
    </w:p>
    <w:tbl>
      <w:tblPr>
        <w:tblStyle w:val="32"/>
        <w:tblW w:w="8700" w:type="dxa"/>
        <w:tblInd w:w="12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389"/>
        <w:gridCol w:w="2050"/>
        <w:gridCol w:w="2050"/>
        <w:gridCol w:w="2061"/>
      </w:tblGrid>
      <w:tr w14:paraId="33F4F17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37911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AI等级</w:t>
            </w:r>
          </w:p>
        </w:tc>
        <w:tc>
          <w:tcPr>
            <w:tcW w:w="138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CDDDA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响应延迟</w:t>
            </w:r>
          </w:p>
        </w:tc>
        <w:tc>
          <w:tcPr>
            <w:tcW w:w="20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E9D85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低难度正确率区间</w:t>
            </w:r>
          </w:p>
        </w:tc>
        <w:tc>
          <w:tcPr>
            <w:tcW w:w="20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3B227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中难度正确率区间</w:t>
            </w:r>
          </w:p>
        </w:tc>
        <w:tc>
          <w:tcPr>
            <w:tcW w:w="2061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68F65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高难度正确率区间</w:t>
            </w:r>
          </w:p>
        </w:tc>
      </w:tr>
      <w:tr w14:paraId="27DB265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8CEC2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L1</w:t>
            </w:r>
          </w:p>
        </w:tc>
        <w:tc>
          <w:tcPr>
            <w:tcW w:w="13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03227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1000 ms</w:t>
            </w:r>
          </w:p>
        </w:tc>
        <w:tc>
          <w:tcPr>
            <w:tcW w:w="2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03D25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40%–50%</w:t>
            </w:r>
          </w:p>
        </w:tc>
        <w:tc>
          <w:tcPr>
            <w:tcW w:w="2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B152B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35%–45%</w:t>
            </w:r>
          </w:p>
        </w:tc>
        <w:tc>
          <w:tcPr>
            <w:tcW w:w="2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3496C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30%–40%</w:t>
            </w:r>
          </w:p>
        </w:tc>
      </w:tr>
      <w:tr w14:paraId="48DAC65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F3F3B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L2</w:t>
            </w:r>
          </w:p>
        </w:tc>
        <w:tc>
          <w:tcPr>
            <w:tcW w:w="13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0DFB0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500 ms</w:t>
            </w:r>
          </w:p>
        </w:tc>
        <w:tc>
          <w:tcPr>
            <w:tcW w:w="2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B7910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80%–90%</w:t>
            </w:r>
          </w:p>
        </w:tc>
        <w:tc>
          <w:tcPr>
            <w:tcW w:w="2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29531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75%–85%</w:t>
            </w:r>
          </w:p>
        </w:tc>
        <w:tc>
          <w:tcPr>
            <w:tcW w:w="2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69CE2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70%–80%</w:t>
            </w:r>
          </w:p>
        </w:tc>
      </w:tr>
      <w:tr w14:paraId="4E5CE3B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5F4DE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L3</w:t>
            </w:r>
          </w:p>
        </w:tc>
        <w:tc>
          <w:tcPr>
            <w:tcW w:w="13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4B4E7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100 ms</w:t>
            </w:r>
          </w:p>
        </w:tc>
        <w:tc>
          <w:tcPr>
            <w:tcW w:w="2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00EB7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99%–100%</w:t>
            </w:r>
          </w:p>
        </w:tc>
        <w:tc>
          <w:tcPr>
            <w:tcW w:w="2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205F7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97%–99%</w:t>
            </w:r>
          </w:p>
        </w:tc>
        <w:tc>
          <w:tcPr>
            <w:tcW w:w="2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B652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94%–97%</w:t>
            </w:r>
          </w:p>
        </w:tc>
      </w:tr>
    </w:tbl>
    <w:p w14:paraId="7197B87F">
      <w:pPr>
        <w:spacing w:after="40"/>
      </w:pPr>
    </w:p>
    <w:p w14:paraId="428CEAD6">
      <w:pPr>
        <w:spacing w:before="0" w:after="120" w:line="360" w:lineRule="auto"/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每个任务组除记录AI等级外，还应记录实际采样的AI正确率、采样种子、采用的正确率算法及配置版本。模型训练和结果解释应以实际生效参数为准，而不是只使用L1、L2、L3名称。</w:t>
      </w:r>
    </w:p>
    <w:p w14:paraId="5BD1256C">
      <w:pPr>
        <w:pStyle w:val="5"/>
        <w:keepNext/>
        <w:pageBreakBefore w:val="0"/>
      </w:pPr>
      <w:r>
        <w:rPr>
          <w:rFonts w:ascii="黑体" w:hAnsi="黑体" w:eastAsia="黑体" w:cs="黑体"/>
          <w:b/>
          <w:color w:val="000000"/>
          <w:sz w:val="24"/>
        </w:rPr>
        <w:t>2.4 问卷与主观测量</w:t>
      </w:r>
    </w:p>
    <w:tbl>
      <w:tblPr>
        <w:tblStyle w:val="32"/>
        <w:tblW w:w="8700" w:type="dxa"/>
        <w:tblInd w:w="12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5"/>
        <w:gridCol w:w="3641"/>
        <w:gridCol w:w="3334"/>
      </w:tblGrid>
      <w:tr w14:paraId="56661EF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5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DCCB1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适用模式</w:t>
            </w:r>
          </w:p>
        </w:tc>
        <w:tc>
          <w:tcPr>
            <w:tcW w:w="3641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E4781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题项</w:t>
            </w:r>
          </w:p>
        </w:tc>
        <w:tc>
          <w:tcPr>
            <w:tcW w:w="333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43BEA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用途</w:t>
            </w:r>
          </w:p>
        </w:tc>
      </w:tr>
      <w:tr w14:paraId="4BC171D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4121E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人机协同、AI控制</w:t>
            </w:r>
          </w:p>
        </w:tc>
        <w:tc>
          <w:tcPr>
            <w:tcW w:w="36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CFDBD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Q1 对AI能力的信心；Q2 对AI可靠性的评价；Q3 对AI的信任与依赖意愿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3FC00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三项均为1–7级，是构建主观信任状态标签的核心依据。</w:t>
            </w:r>
          </w:p>
        </w:tc>
      </w:tr>
      <w:tr w14:paraId="5CD5944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ED6A3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人机协同、AI控制</w:t>
            </w:r>
          </w:p>
        </w:tc>
        <w:tc>
          <w:tcPr>
            <w:tcW w:w="36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5D5BD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Q4 警觉/困倦；Q5 心理努力；Q6 紧张程度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99D0D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用于分析信任与状态、负荷之间的关系，不直接等同于信任等级。</w:t>
            </w:r>
          </w:p>
        </w:tc>
      </w:tr>
      <w:tr w14:paraId="229FE2A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F0523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人机协同、AI控制</w:t>
            </w:r>
          </w:p>
        </w:tc>
        <w:tc>
          <w:tcPr>
            <w:tcW w:w="36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32A21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Q8 感知到的AI正确率，0–100%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BF42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用于比较主观感知与实际AI表现之间的偏差。</w:t>
            </w:r>
          </w:p>
        </w:tc>
      </w:tr>
      <w:tr w14:paraId="5DC7CE4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2B6C5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手动控制</w:t>
            </w:r>
          </w:p>
        </w:tc>
        <w:tc>
          <w:tcPr>
            <w:tcW w:w="36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7D75A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Q4、Q5、Q6及Q7 自我感知正确率，0–100%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E1BDA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形成无AI参与时的状态、负荷和自我评价基线。</w:t>
            </w:r>
          </w:p>
        </w:tc>
      </w:tr>
    </w:tbl>
    <w:p w14:paraId="376EB5B9">
      <w:pPr>
        <w:spacing w:after="40"/>
      </w:pPr>
    </w:p>
    <w:tbl>
      <w:tblPr>
        <w:tblStyle w:val="32"/>
        <w:tblW w:w="8700" w:type="dxa"/>
        <w:tblInd w:w="12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0"/>
      </w:tblGrid>
      <w:tr w14:paraId="0C2BB3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0" w:type="dxa"/>
            <w:shd w:val="clear" w:color="auto" w:fill="F7F7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AE6548">
            <w:pPr>
              <w:spacing w:after="0" w:line="324" w:lineRule="auto"/>
              <w:jc w:val="both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口径提醒：</w:t>
            </w:r>
            <w:r>
              <w:rPr>
                <w:rFonts w:ascii="宋体" w:hAnsi="宋体" w:eastAsia="宋体" w:cs="宋体"/>
                <w:color w:val="000000"/>
                <w:sz w:val="24"/>
              </w:rPr>
              <w:t>Q1–Q3描述的是主观信任状态；Q4–Q6描述的是人员状态与工作负荷；Q7/Q8描述的是对自身或AI正确率的感知。三类含义需要分别保存和解释。</w:t>
            </w:r>
          </w:p>
        </w:tc>
      </w:tr>
    </w:tbl>
    <w:p w14:paraId="31181069">
      <w:pPr>
        <w:spacing w:after="40"/>
      </w:pPr>
    </w:p>
    <w:p w14:paraId="70D0AEB8">
      <w:pPr>
        <w:pStyle w:val="4"/>
        <w:keepNext/>
        <w:pageBreakBefore w:val="0"/>
      </w:pPr>
      <w:r>
        <w:rPr>
          <w:rFonts w:ascii="黑体" w:hAnsi="黑体" w:eastAsia="黑体" w:cs="黑体"/>
          <w:b/>
          <w:color w:val="000000"/>
          <w:sz w:val="28"/>
        </w:rPr>
        <w:t>3. 当前数据采集与组织方式</w:t>
      </w:r>
    </w:p>
    <w:p w14:paraId="1AFF06CB">
      <w:pPr>
        <w:spacing w:before="0" w:after="120" w:line="360" w:lineRule="auto"/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当前数据按照“人员—任务组—任务/决策单元—事件—问卷”的层级组织。任务组保存条件配置，决策单元保存AI建议、人工最终选择和客观真值，事件流保存过程行为，问卷保存任务组结束后的主观评价。</w:t>
      </w:r>
    </w:p>
    <w:p w14:paraId="776F8D92">
      <w:r>
        <w:rPr>
          <w:color w:val="000000"/>
        </w:rPr>
        <w:br w:type="page"/>
      </w:r>
    </w:p>
    <w:tbl>
      <w:tblPr>
        <w:tblStyle w:val="32"/>
        <w:tblW w:w="8700" w:type="dxa"/>
        <w:tblInd w:w="12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3737"/>
        <w:gridCol w:w="3622"/>
      </w:tblGrid>
      <w:tr w14:paraId="5824350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41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3732F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数据层</w:t>
            </w:r>
          </w:p>
        </w:tc>
        <w:tc>
          <w:tcPr>
            <w:tcW w:w="3737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19093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关键标识与字段</w:t>
            </w:r>
          </w:p>
        </w:tc>
        <w:tc>
          <w:tcPr>
            <w:tcW w:w="362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B0E30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作用</w:t>
            </w:r>
          </w:p>
        </w:tc>
      </w:tr>
      <w:tr w14:paraId="4D6F834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59C3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人员层</w:t>
            </w:r>
          </w:p>
        </w:tc>
        <w:tc>
          <w:tcPr>
            <w:tcW w:w="37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17A2D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user_id；人员分组/被试批次（如适用）</w:t>
            </w:r>
          </w:p>
        </w:tc>
        <w:tc>
          <w:tcPr>
            <w:tcW w:w="36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66A42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支持按人员划分训练集和测试集，避免同一人员数据泄漏。</w:t>
            </w:r>
          </w:p>
        </w:tc>
      </w:tr>
      <w:tr w14:paraId="61E302A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C354D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任务组层</w:t>
            </w:r>
          </w:p>
        </w:tc>
        <w:tc>
          <w:tcPr>
            <w:tcW w:w="37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BC50B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task_group_id、task_type、control_mode、difficulty、ai_level、is_practice、配置版本</w:t>
            </w:r>
          </w:p>
        </w:tc>
        <w:tc>
          <w:tcPr>
            <w:tcW w:w="36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A0C00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定义一组共享试验条件的正式任务。</w:t>
            </w:r>
          </w:p>
        </w:tc>
      </w:tr>
      <w:tr w14:paraId="639F820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F85C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任务/决策层</w:t>
            </w:r>
          </w:p>
        </w:tc>
        <w:tc>
          <w:tcPr>
            <w:tcW w:w="37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6525E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task_id/trial_id、sequence、开始/结束时间、任务结果</w:t>
            </w:r>
          </w:p>
        </w:tc>
        <w:tc>
          <w:tcPr>
            <w:tcW w:w="36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90C0C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形成行为窗口和模型样本的基本单元。</w:t>
            </w:r>
          </w:p>
        </w:tc>
      </w:tr>
      <w:tr w14:paraId="0D5B4FC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2FDA1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事件层</w:t>
            </w:r>
          </w:p>
        </w:tc>
        <w:tc>
          <w:tcPr>
            <w:tcW w:w="37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4E3DB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event_id、event_type、actor、timestamp、payload</w:t>
            </w:r>
          </w:p>
        </w:tc>
        <w:tc>
          <w:tcPr>
            <w:tcW w:w="36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6A0C8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保留AI建议、人员采纳/拒绝、接管、证据查看、结果确认等过程。</w:t>
            </w:r>
          </w:p>
        </w:tc>
      </w:tr>
      <w:tr w14:paraId="5B65888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911CC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真值闭环</w:t>
            </w:r>
          </w:p>
        </w:tc>
        <w:tc>
          <w:tcPr>
            <w:tcW w:w="37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1FFD0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ai_recommendation、human_final_action、ground_truth、ai_correct、human_correct、accepted_ai</w:t>
            </w:r>
          </w:p>
        </w:tc>
        <w:tc>
          <w:tcPr>
            <w:tcW w:w="36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F3F41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支持信任行为特征、任务绩效和信任校准判定。</w:t>
            </w:r>
          </w:p>
        </w:tc>
      </w:tr>
      <w:tr w14:paraId="65B741D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6122A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问卷层</w:t>
            </w:r>
          </w:p>
        </w:tc>
        <w:tc>
          <w:tcPr>
            <w:tcW w:w="37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F851E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questionnaire_id、task_group_id、题项、分值、提交时间</w:t>
            </w:r>
          </w:p>
        </w:tc>
        <w:tc>
          <w:tcPr>
            <w:tcW w:w="36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15E5CD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构建主观信任状态标签，并关联负荷、警觉和感知正确率。</w:t>
            </w:r>
          </w:p>
        </w:tc>
      </w:tr>
    </w:tbl>
    <w:p w14:paraId="73847355">
      <w:pPr>
        <w:spacing w:after="40"/>
      </w:pPr>
    </w:p>
    <w:p w14:paraId="02B92E23">
      <w:pPr>
        <w:pStyle w:val="4"/>
        <w:keepNext/>
        <w:pageBreakBefore w:val="0"/>
      </w:pPr>
      <w:r>
        <w:rPr>
          <w:rFonts w:ascii="黑体" w:hAnsi="黑体" w:eastAsia="黑体" w:cs="黑体"/>
          <w:b/>
          <w:color w:val="000000"/>
          <w:sz w:val="28"/>
        </w:rPr>
        <w:t>4. 当前信任状态模型的输</w:t>
      </w:r>
      <w:bookmarkStart w:id="0" w:name="_GoBack"/>
      <w:bookmarkEnd w:id="0"/>
      <w:r>
        <w:rPr>
          <w:rFonts w:ascii="黑体" w:hAnsi="黑体" w:eastAsia="黑体" w:cs="黑体"/>
          <w:b/>
          <w:color w:val="000000"/>
          <w:sz w:val="28"/>
        </w:rPr>
        <w:t>入</w:t>
      </w:r>
    </w:p>
    <w:p w14:paraId="369754AF">
      <w:pPr>
        <w:pStyle w:val="5"/>
        <w:keepNext/>
        <w:pageBreakBefore w:val="0"/>
      </w:pPr>
      <w:r>
        <w:rPr>
          <w:rFonts w:ascii="黑体" w:hAnsi="黑体" w:eastAsia="黑体" w:cs="黑体"/>
          <w:b/>
          <w:color w:val="000000"/>
          <w:sz w:val="24"/>
        </w:rPr>
        <w:t>4.1 输入分为两类</w:t>
      </w:r>
    </w:p>
    <w:p w14:paraId="2387DD02">
      <w:pPr>
        <w:spacing w:before="0" w:after="120" w:line="360" w:lineRule="auto"/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第一类是样本关联信息，包括人员、任务、控制模式、难度、AI等级、实际AI正确率、任务组和时间窗口等。这些字段用于筛选、分组、分层验证和结果解释，原则上不直接混入20维行为特征向量。</w:t>
      </w:r>
    </w:p>
    <w:p w14:paraId="081233E8">
      <w:pPr>
        <w:spacing w:before="0" w:after="120" w:line="360" w:lineRule="auto"/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第二类是直接进入模型的行为特征。模型先在同一人员、任务和试验条件下选取一个由多个有效决策组成的窗口，再由采纳行为、控制时间、时间占比和序列变化构造20维输入。窗口内有效决策数N由采集协议配置。</w:t>
      </w:r>
    </w:p>
    <w:p w14:paraId="65B107CB">
      <w:pPr>
        <w:pStyle w:val="5"/>
        <w:keepNext/>
        <w:pageBreakBefore w:val="0"/>
      </w:pPr>
      <w:r>
        <w:rPr>
          <w:rFonts w:ascii="黑体" w:hAnsi="黑体" w:eastAsia="黑体" w:cs="黑体"/>
          <w:b/>
          <w:color w:val="000000"/>
          <w:sz w:val="24"/>
        </w:rPr>
        <w:t>4.2 决策级基础变量与计算口径</w:t>
      </w:r>
    </w:p>
    <w:tbl>
      <w:tblPr>
        <w:tblStyle w:val="32"/>
        <w:tblW w:w="8700" w:type="dxa"/>
        <w:tblInd w:w="12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2032"/>
        <w:gridCol w:w="4933"/>
      </w:tblGrid>
      <w:tr w14:paraId="47EF8FA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35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FAD26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基础变量</w:t>
            </w:r>
          </w:p>
        </w:tc>
        <w:tc>
          <w:tcPr>
            <w:tcW w:w="203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327A6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建议字段</w:t>
            </w:r>
          </w:p>
        </w:tc>
        <w:tc>
          <w:tcPr>
            <w:tcW w:w="493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9CE28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定义与采集要求</w:t>
            </w:r>
          </w:p>
        </w:tc>
      </w:tr>
      <w:tr w14:paraId="41937DD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361B6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是否采纳AI</w:t>
            </w:r>
          </w:p>
        </w:tc>
        <w:tc>
          <w:tcPr>
            <w:tcW w:w="2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9A5E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accepted_ai</w:t>
            </w:r>
          </w:p>
        </w:tc>
        <w:tc>
          <w:tcPr>
            <w:tcW w:w="49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37683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二值变量。人员最终决策与AI建议一致，或明确允许AI建议执行，记为1；明确拒绝、改选或接管，记为0。无AI建议时记为“不适用”，不能用0代替。</w:t>
            </w:r>
          </w:p>
        </w:tc>
      </w:tr>
      <w:tr w14:paraId="0B1EDD8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51DE2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AI控制时间</w:t>
            </w:r>
          </w:p>
        </w:tc>
        <w:tc>
          <w:tcPr>
            <w:tcW w:w="2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824B2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ai_control_time_ms</w:t>
            </w:r>
          </w:p>
        </w:tc>
        <w:tc>
          <w:tcPr>
            <w:tcW w:w="49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0BD10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一个决策单元内AI具有有效控制权或完成建议处理的累计时长，统一使用毫秒。</w:t>
            </w:r>
          </w:p>
        </w:tc>
      </w:tr>
      <w:tr w14:paraId="4DF5CD4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D558D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人员控制时间</w:t>
            </w:r>
          </w:p>
        </w:tc>
        <w:tc>
          <w:tcPr>
            <w:tcW w:w="2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AFE0E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human_control_time_ms</w:t>
            </w:r>
          </w:p>
        </w:tc>
        <w:tc>
          <w:tcPr>
            <w:tcW w:w="49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C2C7B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一个决策单元内人员具有有效控制权、修改或接管处理的累计时长，统一使用毫秒。</w:t>
            </w:r>
          </w:p>
        </w:tc>
      </w:tr>
      <w:tr w14:paraId="29AC003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00CA2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有效总时长</w:t>
            </w:r>
          </w:p>
        </w:tc>
        <w:tc>
          <w:tcPr>
            <w:tcW w:w="2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319F6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total_effective_time_ms</w:t>
            </w:r>
          </w:p>
        </w:tc>
        <w:tc>
          <w:tcPr>
            <w:tcW w:w="49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3BA31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原则上为AI控制时间与人员控制时间之和；暂停、加载和无归属等待是否计入必须在协议中统一。</w:t>
            </w:r>
          </w:p>
        </w:tc>
      </w:tr>
      <w:tr w14:paraId="1A50428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CE088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AI时间占比</w:t>
            </w:r>
          </w:p>
        </w:tc>
        <w:tc>
          <w:tcPr>
            <w:tcW w:w="2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95FE7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ai_time_ratio</w:t>
            </w:r>
          </w:p>
        </w:tc>
        <w:tc>
          <w:tcPr>
            <w:tcW w:w="49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F63D1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AI控制时间/有效总时长，取值0–1。</w:t>
            </w:r>
          </w:p>
        </w:tc>
      </w:tr>
      <w:tr w14:paraId="4A5AE6C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FD773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人员时间占比</w:t>
            </w:r>
          </w:p>
        </w:tc>
        <w:tc>
          <w:tcPr>
            <w:tcW w:w="2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D8776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human_time_ratio</w:t>
            </w:r>
          </w:p>
        </w:tc>
        <w:tc>
          <w:tcPr>
            <w:tcW w:w="49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42D55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人员控制时间/有效总时长，通常等于1−AI时间占比。</w:t>
            </w:r>
          </w:p>
        </w:tc>
      </w:tr>
      <w:tr w14:paraId="55D8F28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1332D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人员主导度</w:t>
            </w:r>
          </w:p>
        </w:tc>
        <w:tc>
          <w:tcPr>
            <w:tcW w:w="2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B285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human_dominance</w:t>
            </w:r>
          </w:p>
        </w:tc>
        <w:tc>
          <w:tcPr>
            <w:tcW w:w="49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4509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人员控制时间/AI控制时间，用于描述人员相对AI的控制占比。AI控制时间为0时应使用统一的缺失或零值保护规则。</w:t>
            </w:r>
          </w:p>
        </w:tc>
      </w:tr>
    </w:tbl>
    <w:p w14:paraId="31CC3988">
      <w:pPr>
        <w:spacing w:after="40"/>
      </w:pPr>
    </w:p>
    <w:tbl>
      <w:tblPr>
        <w:tblStyle w:val="32"/>
        <w:tblW w:w="8700" w:type="dxa"/>
        <w:tblInd w:w="12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0"/>
      </w:tblGrid>
      <w:tr w14:paraId="13DB94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0" w:type="dxa"/>
            <w:shd w:val="clear" w:color="auto" w:fill="F7F7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B015136">
            <w:pPr>
              <w:spacing w:after="0" w:line="324" w:lineRule="auto"/>
              <w:jc w:val="both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任务语义要求：</w:t>
            </w:r>
            <w:r>
              <w:rPr>
                <w:rFonts w:ascii="宋体" w:hAnsi="宋体" w:eastAsia="宋体" w:cs="宋体"/>
                <w:color w:val="000000"/>
                <w:sz w:val="24"/>
              </w:rPr>
              <w:t>不同任务中“接受AI”的界面动作可以不同，但必须通过统一的任务级解析规则还原为accepted_ai。解析规则必须同时使用AI建议、人员最终决策和任务结果，不能仅依据某个按钮是否点击。</w:t>
            </w:r>
          </w:p>
        </w:tc>
      </w:tr>
    </w:tbl>
    <w:p w14:paraId="472A9A60">
      <w:pPr>
        <w:spacing w:after="40"/>
      </w:pPr>
    </w:p>
    <w:p w14:paraId="394C2955">
      <w:pPr>
        <w:pStyle w:val="5"/>
        <w:keepNext/>
        <w:pageBreakBefore/>
      </w:pPr>
      <w:r>
        <w:rPr>
          <w:rFonts w:ascii="黑体" w:hAnsi="黑体" w:eastAsia="黑体" w:cs="黑体"/>
          <w:b/>
          <w:color w:val="000000"/>
          <w:sz w:val="24"/>
        </w:rPr>
        <w:t>4.3 直接进入模型的20维特征</w:t>
      </w:r>
    </w:p>
    <w:tbl>
      <w:tblPr>
        <w:tblStyle w:val="32"/>
        <w:tblW w:w="8700" w:type="dxa"/>
        <w:tblInd w:w="12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  <w:gridCol w:w="719"/>
        <w:gridCol w:w="4120"/>
        <w:gridCol w:w="2567"/>
      </w:tblGrid>
      <w:tr w14:paraId="61E2856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9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B2B56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特征组</w:t>
            </w:r>
          </w:p>
        </w:tc>
        <w:tc>
          <w:tcPr>
            <w:tcW w:w="71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839F9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数量</w:t>
            </w:r>
          </w:p>
        </w:tc>
        <w:tc>
          <w:tcPr>
            <w:tcW w:w="412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A4D82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具体特征</w:t>
            </w:r>
          </w:p>
        </w:tc>
        <w:tc>
          <w:tcPr>
            <w:tcW w:w="2567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FA638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表达含义</w:t>
            </w:r>
          </w:p>
        </w:tc>
      </w:tr>
      <w:tr w14:paraId="7470A64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02190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窗口均值</w:t>
            </w:r>
          </w:p>
        </w:tc>
        <w:tc>
          <w:tcPr>
            <w:tcW w:w="7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7AF7B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5</w:t>
            </w:r>
          </w:p>
        </w:tc>
        <w:tc>
          <w:tcPr>
            <w:tcW w:w="4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F7D5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采纳AI均值；AI控制时间均值；人员控制时间均值；AI时间占比均值；人员主导度均值</w:t>
            </w:r>
          </w:p>
        </w:tc>
        <w:tc>
          <w:tcPr>
            <w:tcW w:w="256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6A3A0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描述窗口内总体依赖和控制权分配水平。</w:t>
            </w:r>
          </w:p>
        </w:tc>
      </w:tr>
      <w:tr w14:paraId="269F528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010A5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窗口标准差</w:t>
            </w:r>
          </w:p>
        </w:tc>
        <w:tc>
          <w:tcPr>
            <w:tcW w:w="7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250E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6</w:t>
            </w:r>
          </w:p>
        </w:tc>
        <w:tc>
          <w:tcPr>
            <w:tcW w:w="4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E7E4E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采纳AI、AI控制时间、人员控制时间、AI时间占比、人员时间占比、人员主导度的标准差</w:t>
            </w:r>
          </w:p>
        </w:tc>
        <w:tc>
          <w:tcPr>
            <w:tcW w:w="256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F0ADA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描述行为波动和稳定程度。</w:t>
            </w:r>
          </w:p>
        </w:tc>
      </w:tr>
      <w:tr w14:paraId="12F5E85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991CB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变异系数</w:t>
            </w:r>
          </w:p>
        </w:tc>
        <w:tc>
          <w:tcPr>
            <w:tcW w:w="7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A2BA7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6</w:t>
            </w:r>
          </w:p>
        </w:tc>
        <w:tc>
          <w:tcPr>
            <w:tcW w:w="4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561C3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上述六类变量的标准差/均值</w:t>
            </w:r>
          </w:p>
        </w:tc>
        <w:tc>
          <w:tcPr>
            <w:tcW w:w="256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90047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消除量纲影响，描述相对波动；均值接近0时使用统一保护规则。</w:t>
            </w:r>
          </w:p>
        </w:tc>
      </w:tr>
      <w:tr w14:paraId="08AD2CF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FAEE8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序列特征</w:t>
            </w:r>
          </w:p>
        </w:tc>
        <w:tc>
          <w:tcPr>
            <w:tcW w:w="7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DDDB3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</w:t>
            </w:r>
          </w:p>
        </w:tc>
        <w:tc>
          <w:tcPr>
            <w:tcW w:w="4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D30CB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最大连续采纳次数；最大连续拒绝次数；采纳AI累积序列的趋势斜率</w:t>
            </w:r>
          </w:p>
        </w:tc>
        <w:tc>
          <w:tcPr>
            <w:tcW w:w="256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08D1D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描述信任行为的连贯性和随时间的变化方向。</w:t>
            </w:r>
          </w:p>
        </w:tc>
      </w:tr>
    </w:tbl>
    <w:p w14:paraId="688F7C63">
      <w:pPr>
        <w:spacing w:after="40"/>
      </w:pPr>
    </w:p>
    <w:p w14:paraId="402787D7">
      <w:pPr>
        <w:spacing w:before="0" w:after="120" w:line="360" w:lineRule="auto"/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20维直接输入按固定顺序组成特征向量：5项均值、6项标准差、6项变异系数、3项序列特征。建模时先进行缺失值与异常值处理，再在训练数据范围内完成标准化，最后输入非线性分类器。当前分类链采用标准化与RBF核支持向量机的组合。</w:t>
      </w:r>
    </w:p>
    <w:p w14:paraId="7DABB557">
      <w:pPr>
        <w:pStyle w:val="5"/>
        <w:keepNext/>
        <w:pageBreakBefore w:val="0"/>
      </w:pPr>
      <w:r>
        <w:rPr>
          <w:rFonts w:ascii="黑体" w:hAnsi="黑体" w:eastAsia="黑体" w:cs="黑体"/>
          <w:b/>
          <w:color w:val="000000"/>
          <w:sz w:val="24"/>
        </w:rPr>
        <w:t>4.4 输入窗口与样本形成</w:t>
      </w:r>
    </w:p>
    <w:p w14:paraId="29F0D35B">
      <w:pPr>
        <w:pStyle w:val="16"/>
        <w:spacing w:before="0" w:after="60" w:line="324" w:lineRule="auto"/>
        <w:ind w:left="482" w:hanging="238"/>
        <w:jc w:val="both"/>
      </w:pPr>
      <w:r>
        <w:rPr>
          <w:rFonts w:ascii="宋体" w:hAnsi="宋体" w:eastAsia="宋体" w:cs="宋体"/>
          <w:color w:val="000000"/>
          <w:sz w:val="24"/>
        </w:rPr>
        <w:t>同一窗口内的数据必须属于同一人员、同一任务语义和同一试验条件。</w:t>
      </w:r>
    </w:p>
    <w:p w14:paraId="2B117995">
      <w:pPr>
        <w:pStyle w:val="16"/>
        <w:spacing w:before="0" w:after="60" w:line="324" w:lineRule="auto"/>
        <w:ind w:left="482" w:hanging="238"/>
        <w:jc w:val="both"/>
      </w:pPr>
      <w:r>
        <w:rPr>
          <w:rFonts w:ascii="宋体" w:hAnsi="宋体" w:eastAsia="宋体" w:cs="宋体"/>
          <w:color w:val="000000"/>
          <w:sz w:val="24"/>
        </w:rPr>
        <w:t>窗口必须包含足够的有效决策，N作为协议参数保存，不能在模拟器接口中隐含固定。</w:t>
      </w:r>
    </w:p>
    <w:p w14:paraId="30439EB6">
      <w:pPr>
        <w:pStyle w:val="16"/>
        <w:spacing w:before="0" w:after="60" w:line="324" w:lineRule="auto"/>
        <w:ind w:left="482" w:hanging="238"/>
        <w:jc w:val="both"/>
      </w:pPr>
      <w:r>
        <w:rPr>
          <w:rFonts w:ascii="宋体" w:hAnsi="宋体" w:eastAsia="宋体" w:cs="宋体"/>
          <w:color w:val="000000"/>
          <w:sz w:val="24"/>
        </w:rPr>
        <w:t>练习、失败重试、系统异常、无AI建议和缺失真值的数据应使用明确状态标识，不能与正常0值混合。</w:t>
      </w:r>
    </w:p>
    <w:p w14:paraId="4F0871C0">
      <w:pPr>
        <w:pStyle w:val="16"/>
        <w:spacing w:before="0" w:after="60" w:line="324" w:lineRule="auto"/>
        <w:ind w:left="482" w:hanging="238"/>
        <w:jc w:val="both"/>
      </w:pPr>
      <w:r>
        <w:rPr>
          <w:rFonts w:ascii="宋体" w:hAnsi="宋体" w:eastAsia="宋体" w:cs="宋体"/>
          <w:color w:val="000000"/>
          <w:sz w:val="24"/>
        </w:rPr>
        <w:t>训练集、验证集和测试集优先按人员划分；同一人员的相邻窗口不得跨集合泄漏。</w:t>
      </w:r>
    </w:p>
    <w:p w14:paraId="0D5D51F6">
      <w:pPr>
        <w:pStyle w:val="4"/>
        <w:keepNext/>
        <w:pageBreakBefore w:val="0"/>
      </w:pPr>
      <w:r>
        <w:rPr>
          <w:rFonts w:ascii="黑体" w:hAnsi="黑体" w:eastAsia="黑体" w:cs="黑体"/>
          <w:b/>
          <w:color w:val="000000"/>
          <w:sz w:val="28"/>
        </w:rPr>
        <w:t>5. 当前模型的输出：信任状态等级</w:t>
      </w:r>
    </w:p>
    <w:p w14:paraId="3FFF91C3">
      <w:pPr>
        <w:spacing w:before="0" w:after="120" w:line="360" w:lineRule="auto"/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当前模型的核心输出是人员对AI的主观信任状态等级，采用1–5级表达。等级越高表示当前窗口内的总体信任倾向越高。该输出回答的是“人员此时有多信任AI”，不回答这种信任是否与AI真实能力相匹配。</w:t>
      </w:r>
    </w:p>
    <w:tbl>
      <w:tblPr>
        <w:tblStyle w:val="32"/>
        <w:tblW w:w="8700" w:type="dxa"/>
        <w:tblInd w:w="12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5"/>
        <w:gridCol w:w="1437"/>
        <w:gridCol w:w="5538"/>
      </w:tblGrid>
      <w:tr w14:paraId="67B83F0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tblHeader/>
        </w:trPr>
        <w:tc>
          <w:tcPr>
            <w:tcW w:w="1725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D36C5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输出项</w:t>
            </w:r>
          </w:p>
        </w:tc>
        <w:tc>
          <w:tcPr>
            <w:tcW w:w="1437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2590F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类型</w:t>
            </w:r>
          </w:p>
        </w:tc>
        <w:tc>
          <w:tcPr>
            <w:tcW w:w="553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7DD4A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含义与使用方式</w:t>
            </w:r>
          </w:p>
        </w:tc>
      </w:tr>
      <w:tr w14:paraId="610BFAF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7117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trust_level</w:t>
            </w:r>
          </w:p>
        </w:tc>
        <w:tc>
          <w:tcPr>
            <w:tcW w:w="1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05E47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1–5级</w:t>
            </w:r>
          </w:p>
        </w:tc>
        <w:tc>
          <w:tcPr>
            <w:tcW w:w="55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89072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核心分类输出。1表示较低信任，5表示较高信任；等级边界依据正式数据分布和量表信度完成标定。</w:t>
            </w:r>
          </w:p>
        </w:tc>
      </w:tr>
      <w:tr w14:paraId="19D51F8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F433C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trust_score</w:t>
            </w:r>
          </w:p>
        </w:tc>
        <w:tc>
          <w:tcPr>
            <w:tcW w:w="1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FC47B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连续值</w:t>
            </w:r>
          </w:p>
        </w:tc>
        <w:tc>
          <w:tcPr>
            <w:tcW w:w="55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1CF95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建议扩展输出。由Q1–Q3综合分或模型决策值映射，保留比等级更细的变化信息。</w:t>
            </w:r>
          </w:p>
        </w:tc>
      </w:tr>
      <w:tr w14:paraId="5786385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4D666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trust_trend</w:t>
            </w:r>
          </w:p>
        </w:tc>
        <w:tc>
          <w:tcPr>
            <w:tcW w:w="1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A3A85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下降/稳定/上升</w:t>
            </w:r>
          </w:p>
        </w:tc>
        <w:tc>
          <w:tcPr>
            <w:tcW w:w="55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A1DFF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建议扩展输出。比较相邻窗口或阶段的信任变化。</w:t>
            </w:r>
          </w:p>
        </w:tc>
      </w:tr>
      <w:tr w14:paraId="40D64A6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16B17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confidence</w:t>
            </w:r>
          </w:p>
        </w:tc>
        <w:tc>
          <w:tcPr>
            <w:tcW w:w="1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73328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0–1</w:t>
            </w:r>
          </w:p>
        </w:tc>
        <w:tc>
          <w:tcPr>
            <w:tcW w:w="55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53F92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建议扩展输出。表示模型对本次信任等级判断的置信程度。</w:t>
            </w:r>
          </w:p>
        </w:tc>
      </w:tr>
      <w:tr w14:paraId="7800587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C898C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context</w:t>
            </w:r>
          </w:p>
        </w:tc>
        <w:tc>
          <w:tcPr>
            <w:tcW w:w="1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136E7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关联字段</w:t>
            </w:r>
          </w:p>
        </w:tc>
        <w:tc>
          <w:tcPr>
            <w:tcW w:w="55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2C4C9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至少携带user_id、mission/task_group_id、stage/task_id、window_id、时间戳和model_version。</w:t>
            </w:r>
          </w:p>
        </w:tc>
      </w:tr>
    </w:tbl>
    <w:p w14:paraId="4922C588">
      <w:pPr>
        <w:spacing w:after="40"/>
      </w:pPr>
    </w:p>
    <w:p w14:paraId="1BFF15B8">
      <w:pPr>
        <w:spacing w:before="0" w:after="120" w:line="360" w:lineRule="auto"/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正式建模数据中，Q1–Q3应作为主观信任标签的核心来源：保留三项原始分值，计算综合信任分，再依据正式样本分布和模型验证结果形成1–5级标签。Q4–Q6以及Q7/Q8作为解释变量或辅助评价，不与信任标签混用。</w:t>
      </w:r>
    </w:p>
    <w:tbl>
      <w:tblPr>
        <w:tblStyle w:val="32"/>
        <w:tblW w:w="8700" w:type="dxa"/>
        <w:tblInd w:w="12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0"/>
      </w:tblGrid>
      <w:tr w14:paraId="1255E4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0" w:type="dxa"/>
            <w:shd w:val="clear" w:color="auto" w:fill="F7F7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02DB502">
            <w:pPr>
              <w:spacing w:after="0" w:line="324" w:lineRule="auto"/>
              <w:jc w:val="both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必须区分：</w:t>
            </w:r>
            <w:r>
              <w:rPr>
                <w:rFonts w:ascii="宋体" w:hAnsi="宋体" w:eastAsia="宋体" w:cs="宋体"/>
                <w:color w:val="000000"/>
                <w:sz w:val="24"/>
              </w:rPr>
              <w:t>高信任不等于过度信任，低信任也不等于信任不足。信任状态等级是主观状态；过度信任、信任不足和适当信任需要结合AI正确性、人员采纳行为和客观真值另行判断。</w:t>
            </w:r>
          </w:p>
        </w:tc>
      </w:tr>
    </w:tbl>
    <w:p w14:paraId="47DE0834">
      <w:pPr>
        <w:spacing w:after="40"/>
      </w:pPr>
    </w:p>
    <w:p w14:paraId="550543C0">
      <w:pPr>
        <w:pStyle w:val="4"/>
        <w:keepNext/>
        <w:pageBreakBefore w:val="0"/>
      </w:pPr>
      <w:r>
        <w:rPr>
          <w:rFonts w:ascii="黑体" w:hAnsi="黑体" w:eastAsia="黑体" w:cs="黑体"/>
          <w:b/>
          <w:color w:val="000000"/>
          <w:sz w:val="28"/>
        </w:rPr>
        <w:t>6. 当前模型与数据的优化方向</w:t>
      </w:r>
    </w:p>
    <w:p w14:paraId="32372861">
      <w:pPr>
        <w:spacing w:before="0" w:after="120" w:line="360" w:lineRule="auto"/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新一轮正式数据将基于当前最新采集链路形成，重点不是更换汇报口径，而是在现行模型框架上提高标签质量、跨人员泛化能力和连续过程识别能力。</w:t>
      </w:r>
    </w:p>
    <w:p w14:paraId="01637F4B">
      <w:pPr>
        <w:pStyle w:val="16"/>
        <w:spacing w:before="0" w:after="60" w:line="324" w:lineRule="auto"/>
        <w:ind w:left="482" w:hanging="238"/>
        <w:jc w:val="both"/>
      </w:pPr>
      <w:r>
        <w:rPr>
          <w:rFonts w:ascii="宋体" w:hAnsi="宋体" w:eastAsia="宋体" w:cs="宋体"/>
          <w:color w:val="000000"/>
          <w:sz w:val="24"/>
        </w:rPr>
        <w:t>标签优化：以Q1–Q3综合信任分为核心，同时保留题项级信息、量表信度和感知AI正确率。</w:t>
      </w:r>
    </w:p>
    <w:p w14:paraId="4C241E65">
      <w:pPr>
        <w:pStyle w:val="16"/>
        <w:spacing w:before="0" w:after="60" w:line="324" w:lineRule="auto"/>
        <w:ind w:left="482" w:hanging="238"/>
        <w:jc w:val="both"/>
      </w:pPr>
      <w:r>
        <w:rPr>
          <w:rFonts w:ascii="宋体" w:hAnsi="宋体" w:eastAsia="宋体" w:cs="宋体"/>
          <w:color w:val="000000"/>
          <w:sz w:val="24"/>
        </w:rPr>
        <w:t>特征优化：在20维核心特征上扩展接管次数、决策修改、证据查看、响应延迟、任务绩效和生理/眼动等可选特征。</w:t>
      </w:r>
    </w:p>
    <w:p w14:paraId="33E31FBA">
      <w:pPr>
        <w:pStyle w:val="16"/>
        <w:spacing w:before="0" w:after="60" w:line="324" w:lineRule="auto"/>
        <w:ind w:left="482" w:hanging="238"/>
        <w:jc w:val="both"/>
      </w:pPr>
      <w:r>
        <w:rPr>
          <w:rFonts w:ascii="宋体" w:hAnsi="宋体" w:eastAsia="宋体" w:cs="宋体"/>
          <w:color w:val="000000"/>
          <w:sz w:val="24"/>
        </w:rPr>
        <w:t>窗口优化：从单一固定窗口扩展为阶段窗口、滑动窗口和累计窗口，比较不同时间尺度的识别效果。</w:t>
      </w:r>
    </w:p>
    <w:p w14:paraId="411E7B84">
      <w:pPr>
        <w:pStyle w:val="16"/>
        <w:spacing w:before="0" w:after="60" w:line="324" w:lineRule="auto"/>
        <w:ind w:left="482" w:hanging="238"/>
        <w:jc w:val="both"/>
      </w:pPr>
      <w:r>
        <w:rPr>
          <w:rFonts w:ascii="宋体" w:hAnsi="宋体" w:eastAsia="宋体" w:cs="宋体"/>
          <w:color w:val="000000"/>
          <w:sz w:val="24"/>
        </w:rPr>
        <w:t>验证优化：采用按人员划分、跨任务验证和外部模拟器验证，报告准确率、F1、混淆矩阵、校准度和置信区间。</w:t>
      </w:r>
    </w:p>
    <w:p w14:paraId="560B06F5">
      <w:pPr>
        <w:pStyle w:val="16"/>
        <w:spacing w:before="0" w:after="60" w:line="324" w:lineRule="auto"/>
        <w:ind w:left="482" w:hanging="238"/>
        <w:jc w:val="both"/>
      </w:pPr>
      <w:r>
        <w:rPr>
          <w:rFonts w:ascii="宋体" w:hAnsi="宋体" w:eastAsia="宋体" w:cs="宋体"/>
          <w:color w:val="000000"/>
          <w:sz w:val="24"/>
        </w:rPr>
        <w:t>工程优化：固化预处理器、模型参数、特征字典和版本号，保证训练与部署使用相同的字段顺序和计算规则。</w:t>
      </w:r>
    </w:p>
    <w:p w14:paraId="5280F68C">
      <w:pPr>
        <w:pStyle w:val="3"/>
        <w:keepNext/>
        <w:pageBreakBefore/>
      </w:pPr>
      <w:r>
        <w:rPr>
          <w:rFonts w:ascii="黑体" w:hAnsi="黑体" w:eastAsia="黑体" w:cs="黑体"/>
          <w:b/>
          <w:color w:val="000000"/>
          <w:sz w:val="32"/>
        </w:rPr>
        <w:t>第二部分  模拟器连续四阶段新任务的设计与采集</w:t>
      </w:r>
    </w:p>
    <w:p w14:paraId="7F7EEC7B">
      <w:pPr>
        <w:pStyle w:val="4"/>
        <w:keepNext/>
        <w:pageBreakBefore w:val="0"/>
      </w:pPr>
      <w:r>
        <w:rPr>
          <w:rFonts w:ascii="黑体" w:hAnsi="黑体" w:eastAsia="黑体" w:cs="黑体"/>
          <w:b/>
          <w:color w:val="000000"/>
          <w:sz w:val="28"/>
        </w:rPr>
        <w:t>7. 对模拟器任务的总体理解</w:t>
      </w:r>
    </w:p>
    <w:p w14:paraId="602ADAA9">
      <w:pPr>
        <w:spacing w:before="0" w:after="120" w:line="360" w:lineRule="auto"/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模拟器侧的四项任务是新的任务内容，并且在一次任务过程中连续发生。因此，不建议把它们视为四个彼此独立、互不关联的样本，也不要求与等效平台四类任务按名称一一对应。更合适的组织方式是：一次完整任务为一个mission_id，四项任务分别作为stage_id，按stage_sequence=1、2、3、4连续执行。</w:t>
      </w:r>
    </w:p>
    <w:p w14:paraId="3B959181">
      <w:pPr>
        <w:spacing w:before="0" w:after="120" w:line="360" w:lineRule="auto"/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阶段切换时应保留前序阶段形成的AI表现历史、人员采纳历史、任务负荷和信任状态，不重置累计变量。只有这样，模型才能分析信任在连续任务中的形成、保持、下降和修复。</w:t>
      </w:r>
    </w:p>
    <w:p w14:paraId="409EA1D5">
      <w:pPr>
        <w:pStyle w:val="4"/>
        <w:keepNext/>
        <w:pageBreakBefore w:val="0"/>
      </w:pPr>
      <w:r>
        <w:rPr>
          <w:rFonts w:ascii="黑体" w:hAnsi="黑体" w:eastAsia="黑体" w:cs="黑体"/>
          <w:b/>
          <w:color w:val="000000"/>
          <w:sz w:val="28"/>
        </w:rPr>
        <w:t>8. 任务对齐采用行为语义映射</w:t>
      </w:r>
    </w:p>
    <w:p w14:paraId="73DEED28">
      <w:pPr>
        <w:spacing w:before="0" w:after="120" w:line="360" w:lineRule="auto"/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模拟器任务名称、界面操作和业务对象可以与等效平台不同，但每个阶段都需要形成可计算的语义接口。双方应先完成四个阶段的字段映射表，再进行正式采集。</w:t>
      </w:r>
    </w:p>
    <w:tbl>
      <w:tblPr>
        <w:tblStyle w:val="32"/>
        <w:tblW w:w="8700" w:type="dxa"/>
        <w:tblInd w:w="12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3"/>
        <w:gridCol w:w="3833"/>
        <w:gridCol w:w="3334"/>
      </w:tblGrid>
      <w:tr w14:paraId="18C33E0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3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312AD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统一语义</w:t>
            </w:r>
          </w:p>
        </w:tc>
        <w:tc>
          <w:tcPr>
            <w:tcW w:w="383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3AA16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模拟器需提供</w:t>
            </w:r>
          </w:p>
        </w:tc>
        <w:tc>
          <w:tcPr>
            <w:tcW w:w="333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A27D5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无法提供时的处理</w:t>
            </w:r>
          </w:p>
        </w:tc>
      </w:tr>
      <w:tr w14:paraId="34319E6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92DF6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AI建议</w:t>
            </w:r>
          </w:p>
        </w:tc>
        <w:tc>
          <w:tcPr>
            <w:tcW w:w="38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25E5A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建议对象、建议动作、候选项、建议置信度、出现时间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63EF0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该决策单元标记为无AI建议，不参与采纳率特征。</w:t>
            </w:r>
          </w:p>
        </w:tc>
      </w:tr>
      <w:tr w14:paraId="3D7243D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48873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人员最终决策</w:t>
            </w:r>
          </w:p>
        </w:tc>
        <w:tc>
          <w:tcPr>
            <w:tcW w:w="38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E7415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最终选择/动作、提交时间、是否修改AI建议、是否接管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BA585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无法判断最终决策时，该单元不能形成模型样本。</w:t>
            </w:r>
          </w:p>
        </w:tc>
      </w:tr>
      <w:tr w14:paraId="362E074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8E328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客观真值</w:t>
            </w:r>
          </w:p>
        </w:tc>
        <w:tc>
          <w:tcPr>
            <w:tcW w:w="38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290C0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正确对象/动作或可判定的任务结果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32120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缺失真值时可计算主观状态，但不能进行信任校准判定。</w:t>
            </w:r>
          </w:p>
        </w:tc>
      </w:tr>
      <w:tr w14:paraId="23119B4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1587E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采纳关系</w:t>
            </w:r>
          </w:p>
        </w:tc>
        <w:tc>
          <w:tcPr>
            <w:tcW w:w="38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C6006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AI建议与人员最终决策的一致性解析规则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D5D6F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必须由任务方定义解析器，不能跨阶段套用同一按钮规则。</w:t>
            </w:r>
          </w:p>
        </w:tc>
      </w:tr>
    </w:tbl>
    <w:p w14:paraId="0F5D8BBA">
      <w:pPr>
        <w:spacing w:after="40"/>
      </w:pPr>
    </w:p>
    <w:p w14:paraId="4C214DDF">
      <w:pPr>
        <w:pStyle w:val="5"/>
        <w:keepNext/>
        <w:pageBreakBefore/>
      </w:pPr>
      <w:r>
        <w:rPr>
          <w:rFonts w:ascii="黑体" w:hAnsi="黑体" w:eastAsia="黑体" w:cs="黑体"/>
          <w:b/>
          <w:color w:val="000000"/>
          <w:sz w:val="24"/>
        </w:rPr>
        <w:t>8.1 控制权与任务绩效（续）</w:t>
      </w:r>
    </w:p>
    <w:tbl>
      <w:tblPr>
        <w:tblStyle w:val="32"/>
        <w:tblW w:w="8700" w:type="dxa"/>
        <w:tblInd w:w="12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3"/>
        <w:gridCol w:w="3833"/>
        <w:gridCol w:w="3334"/>
      </w:tblGrid>
      <w:tr w14:paraId="3B02CD8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3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D29FF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统一语义</w:t>
            </w:r>
          </w:p>
        </w:tc>
        <w:tc>
          <w:tcPr>
            <w:tcW w:w="383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3E76E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模拟器需提供</w:t>
            </w:r>
          </w:p>
        </w:tc>
        <w:tc>
          <w:tcPr>
            <w:tcW w:w="333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7D786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无法提供时的处理</w:t>
            </w:r>
          </w:p>
        </w:tc>
      </w:tr>
      <w:tr w14:paraId="611D8AF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FB0D1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控制权</w:t>
            </w:r>
          </w:p>
        </w:tc>
        <w:tc>
          <w:tcPr>
            <w:tcW w:w="38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1FBF9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AI/人员控制开始、结束、切换、暂停和恢复事件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5CE8C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若只有总时长，需明确统计边界，且无法分析细粒度接管过程。</w:t>
            </w:r>
          </w:p>
        </w:tc>
      </w:tr>
      <w:tr w14:paraId="7EBB70E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F1252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任务绩效</w:t>
            </w:r>
          </w:p>
        </w:tc>
        <w:tc>
          <w:tcPr>
            <w:tcW w:w="38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9C9A7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正确率、完成时间、错误类型、任务成功/失败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B93A5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至少保留统一的成功、正确性与完成时间字段。</w:t>
            </w:r>
          </w:p>
        </w:tc>
      </w:tr>
    </w:tbl>
    <w:p w14:paraId="765FB02C">
      <w:pPr>
        <w:spacing w:after="40"/>
      </w:pPr>
    </w:p>
    <w:p w14:paraId="0A7F0377">
      <w:pPr>
        <w:pStyle w:val="4"/>
        <w:keepNext/>
        <w:pageBreakBefore w:val="0"/>
      </w:pPr>
      <w:r>
        <w:rPr>
          <w:rFonts w:ascii="黑体" w:hAnsi="黑体" w:eastAsia="黑体" w:cs="黑体"/>
          <w:b/>
          <w:color w:val="000000"/>
          <w:sz w:val="28"/>
        </w:rPr>
        <w:t>9. 连续四阶段的数据层级</w:t>
      </w:r>
    </w:p>
    <w:tbl>
      <w:tblPr>
        <w:tblStyle w:val="32"/>
        <w:tblW w:w="8700" w:type="dxa"/>
        <w:tblInd w:w="12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3928"/>
        <w:gridCol w:w="3383"/>
      </w:tblGrid>
      <w:tr w14:paraId="4A443EB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8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12213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层级</w:t>
            </w:r>
          </w:p>
        </w:tc>
        <w:tc>
          <w:tcPr>
            <w:tcW w:w="392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16782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关键字段</w:t>
            </w:r>
          </w:p>
        </w:tc>
        <w:tc>
          <w:tcPr>
            <w:tcW w:w="338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8BC25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连续性要求</w:t>
            </w:r>
          </w:p>
        </w:tc>
      </w:tr>
      <w:tr w14:paraId="6842996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58180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完整任务</w:t>
            </w:r>
          </w:p>
        </w:tc>
        <w:tc>
          <w:tcPr>
            <w:tcW w:w="3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E52A8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mission_id、user_id、开始/结束时间、场景版本</w:t>
            </w:r>
          </w:p>
        </w:tc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AA771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四阶段共享同一mission_id。</w:t>
            </w:r>
          </w:p>
        </w:tc>
      </w:tr>
      <w:tr w14:paraId="201368F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D4053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阶段</w:t>
            </w:r>
          </w:p>
        </w:tc>
        <w:tc>
          <w:tcPr>
            <w:tcW w:w="3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527CB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stage_id、stage_sequence、stage_type、stage_start/end</w:t>
            </w:r>
          </w:p>
        </w:tc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0836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stage_sequence固定反映先后关系，记录阶段切换事件。</w:t>
            </w:r>
          </w:p>
        </w:tc>
      </w:tr>
      <w:tr w14:paraId="3F08B5F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922A7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任务组/条件</w:t>
            </w:r>
          </w:p>
        </w:tc>
        <w:tc>
          <w:tcPr>
            <w:tcW w:w="3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3992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control_mode、difficulty、ai_level、实际AI正确率、延迟、配置版本</w:t>
            </w:r>
          </w:p>
        </w:tc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09D4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条件若在阶段间变化，必须记录生效时间和前后值。</w:t>
            </w:r>
          </w:p>
        </w:tc>
      </w:tr>
      <w:tr w14:paraId="3AABA02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0BC9F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决策单元</w:t>
            </w:r>
          </w:p>
        </w:tc>
        <w:tc>
          <w:tcPr>
            <w:tcW w:w="3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7D962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trial_id、trial_sequence、AI建议、人员最终决策、真值、结果</w:t>
            </w:r>
          </w:p>
        </w:tc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5AC60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trial_sequence在mission内单调递增，同时记录阶段内序号。</w:t>
            </w:r>
          </w:p>
        </w:tc>
      </w:tr>
      <w:tr w14:paraId="3CE81EA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ED876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事件</w:t>
            </w:r>
          </w:p>
        </w:tc>
        <w:tc>
          <w:tcPr>
            <w:tcW w:w="3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1C9DB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event_id、event_type、actor、timestamp_ms、payload</w:t>
            </w:r>
          </w:p>
        </w:tc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7C0C3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使用统一时钟；保留原始事件，不只保存汇总结果。</w:t>
            </w:r>
          </w:p>
        </w:tc>
      </w:tr>
      <w:tr w14:paraId="6EFD9A8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3F4E6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问卷</w:t>
            </w:r>
          </w:p>
        </w:tc>
        <w:tc>
          <w:tcPr>
            <w:tcW w:w="3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2B8D7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checkpoint_id、stage_id/mission_id、题项、分值、提交时间</w:t>
            </w:r>
          </w:p>
        </w:tc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477EF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区分阶段短测与任务结束完整问卷。</w:t>
            </w:r>
          </w:p>
        </w:tc>
      </w:tr>
    </w:tbl>
    <w:p w14:paraId="5B485DF2">
      <w:pPr>
        <w:spacing w:after="40"/>
      </w:pPr>
    </w:p>
    <w:p w14:paraId="69ADC42D">
      <w:pPr>
        <w:pStyle w:val="4"/>
        <w:keepNext/>
        <w:pageBreakBefore w:val="0"/>
      </w:pPr>
      <w:r>
        <w:rPr>
          <w:rFonts w:ascii="黑体" w:hAnsi="黑体" w:eastAsia="黑体" w:cs="黑体"/>
          <w:b/>
          <w:color w:val="000000"/>
          <w:sz w:val="28"/>
        </w:rPr>
        <w:t>10. 连续任务的窗口与模型输出</w:t>
      </w:r>
    </w:p>
    <w:p w14:paraId="624DCA4D">
      <w:pPr>
        <w:spacing w:before="0" w:after="120" w:line="360" w:lineRule="auto"/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连续四阶段任务建议同时形成三类窗口：阶段窗口用于比较四个阶段，累计窗口用于表达从第一阶段到当前阶段的历史影响，滑动窗口用于实时捕捉阶段内部和阶段切换附近的快速变化。</w:t>
      </w:r>
    </w:p>
    <w:tbl>
      <w:tblPr>
        <w:tblStyle w:val="32"/>
        <w:tblW w:w="8700" w:type="dxa"/>
        <w:tblInd w:w="12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2443"/>
        <w:gridCol w:w="2779"/>
        <w:gridCol w:w="2041"/>
      </w:tblGrid>
      <w:tr w14:paraId="659D65A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37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AA2EC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窗口类型</w:t>
            </w:r>
          </w:p>
        </w:tc>
        <w:tc>
          <w:tcPr>
            <w:tcW w:w="244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5E829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数据范围</w:t>
            </w:r>
          </w:p>
        </w:tc>
        <w:tc>
          <w:tcPr>
            <w:tcW w:w="277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FAF7B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主要用途</w:t>
            </w:r>
          </w:p>
        </w:tc>
        <w:tc>
          <w:tcPr>
            <w:tcW w:w="2041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31ACA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建议输出时点</w:t>
            </w:r>
          </w:p>
        </w:tc>
      </w:tr>
      <w:tr w14:paraId="4F50B50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27EAF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阶段窗口</w:t>
            </w:r>
          </w:p>
        </w:tc>
        <w:tc>
          <w:tcPr>
            <w:tcW w:w="24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3BA42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当前stage内的有效决策</w:t>
            </w:r>
          </w:p>
        </w:tc>
        <w:tc>
          <w:tcPr>
            <w:tcW w:w="27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305B8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形成每阶段信任状态和绩效摘要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F67F8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每阶段结束</w:t>
            </w:r>
          </w:p>
        </w:tc>
      </w:tr>
      <w:tr w14:paraId="6B6E51D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5B831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累计窗口</w:t>
            </w:r>
          </w:p>
        </w:tc>
        <w:tc>
          <w:tcPr>
            <w:tcW w:w="24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5AB67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stage 1至当前stage的全部有效决策</w:t>
            </w:r>
          </w:p>
        </w:tc>
        <w:tc>
          <w:tcPr>
            <w:tcW w:w="27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66EAE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分析信任的累积与跨阶段延续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48859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每阶段结束及mission结束</w:t>
            </w:r>
          </w:p>
        </w:tc>
      </w:tr>
      <w:tr w14:paraId="6CDC701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46F13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滑动窗口</w:t>
            </w:r>
          </w:p>
        </w:tc>
        <w:tc>
          <w:tcPr>
            <w:tcW w:w="24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49020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最近N个有效决策或最近T秒</w:t>
            </w:r>
          </w:p>
        </w:tc>
        <w:tc>
          <w:tcPr>
            <w:tcW w:w="27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1E212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支持在线识别、快速下降检测和阶段切换分析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587C5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窗口更新时</w:t>
            </w:r>
          </w:p>
        </w:tc>
      </w:tr>
      <w:tr w14:paraId="6FF5A1E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8482A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任务总窗口</w:t>
            </w:r>
          </w:p>
        </w:tc>
        <w:tc>
          <w:tcPr>
            <w:tcW w:w="24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91025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完整四阶段</w:t>
            </w:r>
          </w:p>
        </w:tc>
        <w:tc>
          <w:tcPr>
            <w:tcW w:w="27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3498B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形成mission级最终信任状态与总体评价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61801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mission结束</w:t>
            </w:r>
          </w:p>
        </w:tc>
      </w:tr>
    </w:tbl>
    <w:p w14:paraId="13903174">
      <w:pPr>
        <w:spacing w:after="40"/>
      </w:pPr>
    </w:p>
    <w:p w14:paraId="397B3EDE">
      <w:pPr>
        <w:spacing w:before="0" w:after="120" w:line="360" w:lineRule="auto"/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模型接口建议至少返回mission_id、stage_id、window_id、window_start/end、trust_level、trust_score、trust_trend、confidence、model_version和generated_at。信任历史应跨阶段连续更新，不能在进入下一阶段时清零。</w:t>
      </w:r>
    </w:p>
    <w:p w14:paraId="6E322F26">
      <w:pPr>
        <w:pStyle w:val="4"/>
        <w:keepNext/>
        <w:pageBreakBefore w:val="0"/>
      </w:pPr>
      <w:r>
        <w:rPr>
          <w:rFonts w:ascii="黑体" w:hAnsi="黑体" w:eastAsia="黑体" w:cs="黑体"/>
          <w:b/>
          <w:color w:val="000000"/>
          <w:sz w:val="28"/>
        </w:rPr>
        <w:t>11. 连续任务的问卷与标签设计</w:t>
      </w:r>
    </w:p>
    <w:p w14:paraId="3A6DA571">
      <w:pPr>
        <w:spacing w:before="0" w:after="120" w:line="360" w:lineRule="auto"/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如果只在四个阶段全部结束后填写一次问卷，能够得到的是mission级信任标签，无法直接监督每个阶段的信任状态。若需要训练阶段级或在线信任模型，建议在每个阶段结束后设置极短的Q1–Q3信任检查点，并在完整任务结束后填写完整问卷。</w:t>
      </w:r>
    </w:p>
    <w:p w14:paraId="53DC5E50">
      <w:r>
        <w:rPr>
          <w:color w:val="000000"/>
        </w:rPr>
        <w:br w:type="page"/>
      </w:r>
    </w:p>
    <w:tbl>
      <w:tblPr>
        <w:tblStyle w:val="32"/>
        <w:tblW w:w="8700" w:type="dxa"/>
        <w:tblInd w:w="12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0"/>
        <w:gridCol w:w="3928"/>
        <w:gridCol w:w="2952"/>
      </w:tblGrid>
      <w:tr w14:paraId="1CC0743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2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4343E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测量时点</w:t>
            </w:r>
          </w:p>
        </w:tc>
        <w:tc>
          <w:tcPr>
            <w:tcW w:w="392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64E68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建议内容</w:t>
            </w:r>
          </w:p>
        </w:tc>
        <w:tc>
          <w:tcPr>
            <w:tcW w:w="295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BD434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可支持的标签</w:t>
            </w:r>
          </w:p>
        </w:tc>
      </w:tr>
      <w:tr w14:paraId="7A9A9C8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B4B08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阶段结束</w:t>
            </w:r>
          </w:p>
        </w:tc>
        <w:tc>
          <w:tcPr>
            <w:tcW w:w="3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918D0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Q1–Q3简短信任检查；必要时增加单项负荷/紧张度</w:t>
            </w:r>
          </w:p>
        </w:tc>
        <w:tc>
          <w:tcPr>
            <w:tcW w:w="29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D752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阶段级信任分、阶段级1–5等级、阶段变化趋势</w:t>
            </w:r>
          </w:p>
        </w:tc>
      </w:tr>
      <w:tr w14:paraId="287D80D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0D7D7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完整任务结束</w:t>
            </w:r>
          </w:p>
        </w:tc>
        <w:tc>
          <w:tcPr>
            <w:tcW w:w="3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4959F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Q1–Q3、Q4–Q6、感知AI正确率及总体评价</w:t>
            </w:r>
          </w:p>
        </w:tc>
        <w:tc>
          <w:tcPr>
            <w:tcW w:w="29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D8B9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mission级信任、负荷、警觉、紧张及感知偏差</w:t>
            </w:r>
          </w:p>
        </w:tc>
      </w:tr>
      <w:tr w14:paraId="786BCC8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017D8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关键异常后（可选）</w:t>
            </w:r>
          </w:p>
        </w:tc>
        <w:tc>
          <w:tcPr>
            <w:tcW w:w="3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575BE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单项即时信任或事件评价</w:t>
            </w:r>
          </w:p>
        </w:tc>
        <w:tc>
          <w:tcPr>
            <w:tcW w:w="29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6891E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AI失误、错误采纳、拒绝正确建议后的局部变化</w:t>
            </w:r>
          </w:p>
        </w:tc>
      </w:tr>
    </w:tbl>
    <w:p w14:paraId="0FAA5FAF">
      <w:pPr>
        <w:spacing w:after="40"/>
      </w:pPr>
    </w:p>
    <w:p w14:paraId="4AEFBE03">
      <w:pPr>
        <w:spacing w:before="0" w:after="120" w:line="360" w:lineRule="auto"/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阶段短测应控制中断时间，并将问卷弹出、开始、提交和恢复任务的时间全部记录。若业务上不能插入阶段问卷，应在汇报中明确：阶段信任输出属于弱监督或推断结果，正式监督标签仅存在于mission结束时。</w:t>
      </w:r>
    </w:p>
    <w:p w14:paraId="52FB9D50">
      <w:pPr>
        <w:pStyle w:val="4"/>
        <w:keepNext/>
        <w:pageBreakBefore w:val="0"/>
      </w:pPr>
      <w:r>
        <w:rPr>
          <w:rFonts w:ascii="黑体" w:hAnsi="黑体" w:eastAsia="黑体" w:cs="黑体"/>
          <w:b/>
          <w:color w:val="000000"/>
          <w:sz w:val="28"/>
        </w:rPr>
        <w:t>12. 模拟器数据采集与验收要求</w:t>
      </w:r>
    </w:p>
    <w:p w14:paraId="416FED1E">
      <w:pPr>
        <w:pStyle w:val="5"/>
        <w:keepNext/>
        <w:pageBreakBefore w:val="0"/>
      </w:pPr>
      <w:r>
        <w:rPr>
          <w:rFonts w:ascii="黑体" w:hAnsi="黑体" w:eastAsia="黑体" w:cs="黑体"/>
          <w:b/>
          <w:color w:val="000000"/>
          <w:sz w:val="24"/>
        </w:rPr>
        <w:t>12.1 必须采集的字段</w:t>
      </w:r>
    </w:p>
    <w:p w14:paraId="4405FF7E">
      <w:pPr>
        <w:pStyle w:val="16"/>
        <w:spacing w:before="0" w:after="60" w:line="324" w:lineRule="auto"/>
        <w:ind w:left="482" w:hanging="238"/>
        <w:jc w:val="both"/>
      </w:pPr>
      <w:r>
        <w:rPr>
          <w:rFonts w:ascii="宋体" w:hAnsi="宋体" w:eastAsia="宋体" w:cs="宋体"/>
          <w:color w:val="000000"/>
          <w:sz w:val="24"/>
        </w:rPr>
        <w:t>唯一标识：user_id、mission_id、stage_id、stage_sequence、trial_id/event_id、window_id。</w:t>
      </w:r>
    </w:p>
    <w:p w14:paraId="26DD8C64">
      <w:pPr>
        <w:pStyle w:val="16"/>
        <w:spacing w:before="0" w:after="60" w:line="324" w:lineRule="auto"/>
        <w:ind w:left="482" w:hanging="238"/>
        <w:jc w:val="both"/>
      </w:pPr>
      <w:r>
        <w:rPr>
          <w:rFonts w:ascii="宋体" w:hAnsi="宋体" w:eastAsia="宋体" w:cs="宋体"/>
          <w:color w:val="000000"/>
          <w:sz w:val="24"/>
        </w:rPr>
        <w:t>试验条件：control_mode、difficulty、ai_level、实际采样AI正确率、AI延迟、配置和算法版本。</w:t>
      </w:r>
    </w:p>
    <w:p w14:paraId="7727B2F7">
      <w:pPr>
        <w:pStyle w:val="16"/>
        <w:spacing w:before="0" w:after="60" w:line="324" w:lineRule="auto"/>
        <w:ind w:left="482" w:hanging="238"/>
        <w:jc w:val="both"/>
      </w:pPr>
      <w:r>
        <w:rPr>
          <w:rFonts w:ascii="宋体" w:hAnsi="宋体" w:eastAsia="宋体" w:cs="宋体"/>
          <w:color w:val="000000"/>
          <w:sz w:val="24"/>
        </w:rPr>
        <w:t>AI行为：建议内容、候选项、置信度、建议时间、自动执行动作及执行结果。</w:t>
      </w:r>
    </w:p>
    <w:p w14:paraId="401D99BE">
      <w:pPr>
        <w:pStyle w:val="16"/>
        <w:spacing w:before="0" w:after="60" w:line="324" w:lineRule="auto"/>
        <w:ind w:left="482" w:hanging="238"/>
        <w:jc w:val="both"/>
      </w:pPr>
      <w:r>
        <w:rPr>
          <w:rFonts w:ascii="宋体" w:hAnsi="宋体" w:eastAsia="宋体" w:cs="宋体"/>
          <w:color w:val="000000"/>
          <w:sz w:val="24"/>
        </w:rPr>
        <w:t>人员行为：最终决策、采纳/拒绝、改选、接管、恢复、证据查看和确认时间。</w:t>
      </w:r>
    </w:p>
    <w:p w14:paraId="22565B0F">
      <w:pPr>
        <w:pStyle w:val="16"/>
        <w:spacing w:before="0" w:after="60" w:line="324" w:lineRule="auto"/>
        <w:ind w:left="482" w:hanging="238"/>
        <w:jc w:val="both"/>
      </w:pPr>
      <w:r>
        <w:rPr>
          <w:rFonts w:ascii="宋体" w:hAnsi="宋体" w:eastAsia="宋体" w:cs="宋体"/>
          <w:color w:val="000000"/>
          <w:sz w:val="24"/>
        </w:rPr>
        <w:t>客观结果：ground_truth、ai_correct、human_correct、任务成功、错误类型和任务绩效。</w:t>
      </w:r>
    </w:p>
    <w:p w14:paraId="5A2D5ADA">
      <w:pPr>
        <w:pStyle w:val="16"/>
        <w:spacing w:before="0" w:after="60" w:line="324" w:lineRule="auto"/>
        <w:ind w:left="482" w:hanging="238"/>
        <w:jc w:val="both"/>
      </w:pPr>
      <w:r>
        <w:rPr>
          <w:rFonts w:ascii="宋体" w:hAnsi="宋体" w:eastAsia="宋体" w:cs="宋体"/>
          <w:color w:val="000000"/>
          <w:sz w:val="24"/>
        </w:rPr>
        <w:t>时间数据：统一毫秒时间戳和统一时钟来源，能够还原阶段、决策和事件顺序。</w:t>
      </w:r>
    </w:p>
    <w:p w14:paraId="151F97E6">
      <w:pPr>
        <w:pStyle w:val="16"/>
        <w:spacing w:before="0" w:after="60" w:line="324" w:lineRule="auto"/>
        <w:ind w:left="482" w:hanging="238"/>
        <w:jc w:val="both"/>
      </w:pPr>
      <w:r>
        <w:rPr>
          <w:rFonts w:ascii="宋体" w:hAnsi="宋体" w:eastAsia="宋体" w:cs="宋体"/>
          <w:color w:val="000000"/>
          <w:sz w:val="24"/>
        </w:rPr>
        <w:t>主观数据：问卷题项、原始分值、提交时点，并与stage_id或mission_id准确关联。</w:t>
      </w:r>
    </w:p>
    <w:p w14:paraId="785331D8">
      <w:pPr>
        <w:pStyle w:val="5"/>
        <w:keepNext/>
        <w:pageBreakBefore/>
      </w:pPr>
      <w:r>
        <w:rPr>
          <w:rFonts w:ascii="黑体" w:hAnsi="黑体" w:eastAsia="黑体" w:cs="黑体"/>
          <w:b/>
          <w:color w:val="000000"/>
          <w:sz w:val="24"/>
        </w:rPr>
        <w:t>12.2 数据质量规则</w:t>
      </w:r>
    </w:p>
    <w:tbl>
      <w:tblPr>
        <w:tblStyle w:val="32"/>
        <w:tblW w:w="8700" w:type="dxa"/>
        <w:tblInd w:w="12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0"/>
        <w:gridCol w:w="6880"/>
      </w:tblGrid>
      <w:tr w14:paraId="33EE8E4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2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AD504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验收项</w:t>
            </w:r>
          </w:p>
        </w:tc>
        <w:tc>
          <w:tcPr>
            <w:tcW w:w="688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F359B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要求</w:t>
            </w:r>
          </w:p>
        </w:tc>
      </w:tr>
      <w:tr w14:paraId="11E3681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BD211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完整性</w:t>
            </w:r>
          </w:p>
        </w:tc>
        <w:tc>
          <w:tcPr>
            <w:tcW w:w="6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3059F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每个模型样本均能追溯到原始事件、试验条件和问卷标签；关键字段缺失率可统计。</w:t>
            </w:r>
          </w:p>
        </w:tc>
      </w:tr>
      <w:tr w14:paraId="22F75F0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CEB43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唯一性</w:t>
            </w:r>
          </w:p>
        </w:tc>
        <w:tc>
          <w:tcPr>
            <w:tcW w:w="6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F1266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标识不重复，trial_sequence和event timestamp能够确定唯一顺序。</w:t>
            </w:r>
          </w:p>
        </w:tc>
      </w:tr>
      <w:tr w14:paraId="2E5D25C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6B75D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时间一致性</w:t>
            </w:r>
          </w:p>
        </w:tc>
        <w:tc>
          <w:tcPr>
            <w:tcW w:w="6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45432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阶段时间不交叉，事件位于所属阶段与任务区间内，AI/人员控制时长不为负。</w:t>
            </w:r>
          </w:p>
        </w:tc>
      </w:tr>
      <w:tr w14:paraId="2839545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5DD26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语义一致性</w:t>
            </w:r>
          </w:p>
        </w:tc>
        <w:tc>
          <w:tcPr>
            <w:tcW w:w="6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14FD2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0、缺失、不适用、未发生和采集失败采用不同编码，不相互替代。</w:t>
            </w:r>
          </w:p>
        </w:tc>
      </w:tr>
      <w:tr w14:paraId="7D3DD80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30069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真值闭环</w:t>
            </w:r>
          </w:p>
        </w:tc>
        <w:tc>
          <w:tcPr>
            <w:tcW w:w="6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79B93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AI建议、人员最终决策和ground_truth能够落到同一业务对象和同一决策单元。</w:t>
            </w:r>
          </w:p>
        </w:tc>
      </w:tr>
      <w:tr w14:paraId="26D8E71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B3CD9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版本可追溯</w:t>
            </w:r>
          </w:p>
        </w:tc>
        <w:tc>
          <w:tcPr>
            <w:tcW w:w="6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F78B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任务脚本、场景、AI参数、字段字典、解析规则和模型均有版本号。</w:t>
            </w:r>
          </w:p>
        </w:tc>
      </w:tr>
      <w:tr w14:paraId="07B0AFF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0DA9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可复现</w:t>
            </w:r>
          </w:p>
        </w:tc>
        <w:tc>
          <w:tcPr>
            <w:tcW w:w="6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4F429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保留原始事件和派生规则，能够重新计算accepted_ai、时长、20维特征和输出。</w:t>
            </w:r>
          </w:p>
        </w:tc>
      </w:tr>
      <w:tr w14:paraId="5D25235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D25AA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样本平衡</w:t>
            </w:r>
          </w:p>
        </w:tc>
        <w:tc>
          <w:tcPr>
            <w:tcW w:w="6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9859F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正式采集前检查各控制模式、难度、AI等级、阶段和人员的有效样本分布。</w:t>
            </w:r>
          </w:p>
        </w:tc>
      </w:tr>
    </w:tbl>
    <w:p w14:paraId="1F6F9D42">
      <w:pPr>
        <w:spacing w:after="40"/>
      </w:pPr>
    </w:p>
    <w:p w14:paraId="6CCE0DB8">
      <w:pPr>
        <w:pStyle w:val="5"/>
        <w:keepNext/>
        <w:pageBreakBefore w:val="0"/>
      </w:pPr>
      <w:r>
        <w:rPr>
          <w:rFonts w:ascii="黑体" w:hAnsi="黑体" w:eastAsia="黑体" w:cs="黑体"/>
          <w:b/>
          <w:color w:val="000000"/>
          <w:sz w:val="24"/>
        </w:rPr>
        <w:t>12.3 建议的联调顺序</w:t>
      </w:r>
    </w:p>
    <w:p w14:paraId="2F8CF6E6">
      <w:pPr>
        <w:pStyle w:val="13"/>
        <w:spacing w:after="80" w:line="324" w:lineRule="auto"/>
        <w:ind w:left="510" w:hanging="255"/>
        <w:jc w:val="both"/>
      </w:pPr>
      <w:r>
        <w:rPr>
          <w:rFonts w:ascii="宋体" w:hAnsi="宋体" w:eastAsia="宋体" w:cs="宋体"/>
          <w:color w:val="000000"/>
          <w:sz w:val="24"/>
        </w:rPr>
        <w:t>先选一个阶段完成字段字典、事件时序和真值闭环的单阶段联调。</w:t>
      </w:r>
    </w:p>
    <w:p w14:paraId="4F58B223">
      <w:pPr>
        <w:pStyle w:val="13"/>
        <w:spacing w:after="80" w:line="324" w:lineRule="auto"/>
        <w:ind w:left="510" w:hanging="255"/>
        <w:jc w:val="both"/>
      </w:pPr>
      <w:r>
        <w:rPr>
          <w:rFonts w:ascii="宋体" w:hAnsi="宋体" w:eastAsia="宋体" w:cs="宋体"/>
          <w:color w:val="000000"/>
          <w:sz w:val="24"/>
        </w:rPr>
        <w:t>再贯通四阶段mission_id、stage_sequence和跨阶段状态继承。</w:t>
      </w:r>
    </w:p>
    <w:p w14:paraId="51C33867">
      <w:pPr>
        <w:pStyle w:val="13"/>
        <w:spacing w:after="80" w:line="324" w:lineRule="auto"/>
        <w:ind w:left="510" w:hanging="255"/>
        <w:jc w:val="both"/>
      </w:pPr>
      <w:r>
        <w:rPr>
          <w:rFonts w:ascii="宋体" w:hAnsi="宋体" w:eastAsia="宋体" w:cs="宋体"/>
          <w:color w:val="000000"/>
          <w:sz w:val="24"/>
        </w:rPr>
        <w:t>使用少量试运行数据离线重算20维特征，核对双方计算结果。</w:t>
      </w:r>
    </w:p>
    <w:p w14:paraId="5E8AA731">
      <w:pPr>
        <w:pStyle w:val="13"/>
        <w:spacing w:after="80" w:line="324" w:lineRule="auto"/>
        <w:ind w:left="510" w:hanging="255"/>
        <w:jc w:val="both"/>
      </w:pPr>
      <w:r>
        <w:rPr>
          <w:rFonts w:ascii="宋体" w:hAnsi="宋体" w:eastAsia="宋体" w:cs="宋体"/>
          <w:color w:val="000000"/>
          <w:sz w:val="24"/>
        </w:rPr>
        <w:t>检查阶段短测与mission结束问卷的关联关系。</w:t>
      </w:r>
    </w:p>
    <w:p w14:paraId="7ADCEB56">
      <w:pPr>
        <w:pStyle w:val="13"/>
        <w:spacing w:after="80" w:line="324" w:lineRule="auto"/>
        <w:ind w:left="510" w:hanging="255"/>
        <w:jc w:val="both"/>
      </w:pPr>
      <w:r>
        <w:rPr>
          <w:rFonts w:ascii="宋体" w:hAnsi="宋体" w:eastAsia="宋体" w:cs="宋体"/>
          <w:color w:val="000000"/>
          <w:sz w:val="24"/>
        </w:rPr>
        <w:t>完成缺失、异常、重试、无AI建议和任务中断等边界场景测试。</w:t>
      </w:r>
    </w:p>
    <w:p w14:paraId="33CF1345">
      <w:pPr>
        <w:pStyle w:val="13"/>
        <w:spacing w:after="80" w:line="324" w:lineRule="auto"/>
        <w:ind w:left="510" w:hanging="255"/>
        <w:jc w:val="both"/>
      </w:pPr>
      <w:r>
        <w:rPr>
          <w:rFonts w:ascii="宋体" w:hAnsi="宋体" w:eastAsia="宋体" w:cs="宋体"/>
          <w:color w:val="000000"/>
          <w:sz w:val="24"/>
        </w:rPr>
        <w:t>通过数据验收后再开展正式批量采集和模型训练。</w:t>
      </w:r>
    </w:p>
    <w:p w14:paraId="10A5F9B4">
      <w:pPr>
        <w:pStyle w:val="3"/>
        <w:keepNext/>
        <w:pageBreakBefore/>
      </w:pPr>
      <w:r>
        <w:rPr>
          <w:rFonts w:ascii="黑体" w:hAnsi="黑体" w:eastAsia="黑体" w:cs="黑体"/>
          <w:b/>
          <w:color w:val="000000"/>
          <w:sz w:val="32"/>
        </w:rPr>
        <w:t>第三部分  信任校准与信任调控</w:t>
      </w:r>
    </w:p>
    <w:p w14:paraId="5264E761">
      <w:pPr>
        <w:pStyle w:val="4"/>
        <w:keepNext/>
        <w:pageBreakBefore w:val="0"/>
      </w:pPr>
      <w:r>
        <w:rPr>
          <w:rFonts w:ascii="黑体" w:hAnsi="黑体" w:eastAsia="黑体" w:cs="黑体"/>
          <w:b/>
          <w:color w:val="000000"/>
          <w:sz w:val="28"/>
        </w:rPr>
        <w:t>13. 信任校准判定</w:t>
      </w:r>
    </w:p>
    <w:p w14:paraId="4941EE1C">
      <w:pPr>
        <w:spacing w:before="0" w:after="120" w:line="360" w:lineRule="auto"/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信任校准判定回答的是“人员对AI的依赖是否与AI在该次决策中的真实表现相匹配”。它是基于行为和真值的客观判定，与第五章的主观信任状态等级分别计算。</w:t>
      </w:r>
    </w:p>
    <w:tbl>
      <w:tblPr>
        <w:tblStyle w:val="32"/>
        <w:tblW w:w="8700" w:type="dxa"/>
        <w:tblInd w:w="12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0"/>
        <w:gridCol w:w="2012"/>
        <w:gridCol w:w="1725"/>
        <w:gridCol w:w="3143"/>
      </w:tblGrid>
      <w:tr w14:paraId="09C6651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2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C3704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AI是否正确</w:t>
            </w:r>
          </w:p>
        </w:tc>
        <w:tc>
          <w:tcPr>
            <w:tcW w:w="201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047E4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人员是否采纳AI</w:t>
            </w:r>
          </w:p>
        </w:tc>
        <w:tc>
          <w:tcPr>
            <w:tcW w:w="1725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53196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校准判定</w:t>
            </w:r>
          </w:p>
        </w:tc>
        <w:tc>
          <w:tcPr>
            <w:tcW w:w="314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A076B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解释</w:t>
            </w:r>
          </w:p>
        </w:tc>
      </w:tr>
      <w:tr w14:paraId="6297B9E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1871E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正确</w:t>
            </w:r>
          </w:p>
        </w:tc>
        <w:tc>
          <w:tcPr>
            <w:tcW w:w="20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5655A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采纳</w:t>
            </w:r>
          </w:p>
        </w:tc>
        <w:tc>
          <w:tcPr>
            <w:tcW w:w="17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2033E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适当信任</w:t>
            </w:r>
          </w:p>
        </w:tc>
        <w:tc>
          <w:tcPr>
            <w:tcW w:w="3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40390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正确建议被有效采用。</w:t>
            </w:r>
          </w:p>
        </w:tc>
      </w:tr>
      <w:tr w14:paraId="08D643A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B99F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正确</w:t>
            </w:r>
          </w:p>
        </w:tc>
        <w:tc>
          <w:tcPr>
            <w:tcW w:w="20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64ECE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拒绝</w:t>
            </w:r>
          </w:p>
        </w:tc>
        <w:tc>
          <w:tcPr>
            <w:tcW w:w="17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210BA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信任不足</w:t>
            </w:r>
          </w:p>
        </w:tc>
        <w:tc>
          <w:tcPr>
            <w:tcW w:w="3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B8307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人员拒绝了正确建议。</w:t>
            </w:r>
          </w:p>
        </w:tc>
      </w:tr>
      <w:tr w14:paraId="4D6864D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FAA7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错误</w:t>
            </w:r>
          </w:p>
        </w:tc>
        <w:tc>
          <w:tcPr>
            <w:tcW w:w="20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ED2F0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采纳</w:t>
            </w:r>
          </w:p>
        </w:tc>
        <w:tc>
          <w:tcPr>
            <w:tcW w:w="17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9FFC0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过度信任</w:t>
            </w:r>
          </w:p>
        </w:tc>
        <w:tc>
          <w:tcPr>
            <w:tcW w:w="3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9F9C9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人员采纳了错误建议。</w:t>
            </w:r>
          </w:p>
        </w:tc>
      </w:tr>
      <w:tr w14:paraId="4249327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873D2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错误</w:t>
            </w:r>
          </w:p>
        </w:tc>
        <w:tc>
          <w:tcPr>
            <w:tcW w:w="20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DA03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拒绝</w:t>
            </w:r>
          </w:p>
        </w:tc>
        <w:tc>
          <w:tcPr>
            <w:tcW w:w="17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93D59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适当信任</w:t>
            </w:r>
          </w:p>
        </w:tc>
        <w:tc>
          <w:tcPr>
            <w:tcW w:w="3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49928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人员识别并拒绝了错误建议。</w:t>
            </w:r>
          </w:p>
        </w:tc>
      </w:tr>
    </w:tbl>
    <w:p w14:paraId="0E31E2A7">
      <w:pPr>
        <w:spacing w:after="40"/>
      </w:pPr>
    </w:p>
    <w:p w14:paraId="047A346C">
      <w:pPr>
        <w:spacing w:before="0" w:after="120" w:line="360" w:lineRule="auto"/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建议按人员、任务、难度、AI等级、阶段和时间窗口统计适当信任率、信任不足率、过度信任率、错误采纳率和错误拒绝率，并同步展示AI历史真实正确率与人员感知正确率。</w:t>
      </w:r>
    </w:p>
    <w:p w14:paraId="0DC752B8">
      <w:pPr>
        <w:pStyle w:val="4"/>
        <w:keepNext/>
        <w:pageBreakBefore w:val="0"/>
      </w:pPr>
      <w:r>
        <w:rPr>
          <w:rFonts w:ascii="黑体" w:hAnsi="黑体" w:eastAsia="黑体" w:cs="黑体"/>
          <w:b/>
          <w:color w:val="000000"/>
          <w:sz w:val="28"/>
        </w:rPr>
        <w:t>14. 信任调控机制（最后汇报）</w:t>
      </w:r>
    </w:p>
    <w:p w14:paraId="2CA84AA1">
      <w:pPr>
        <w:spacing w:before="0" w:after="120" w:line="360" w:lineRule="auto"/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信任调控是在完成信任状态识别和信任校准判定之后，对界面提示、证据呈现、人工复核和自动化权限进行选择。它的输出是“采取什么干预”，不是再次输出信任等级。</w:t>
      </w:r>
    </w:p>
    <w:tbl>
      <w:tblPr>
        <w:tblStyle w:val="32"/>
        <w:tblW w:w="8700" w:type="dxa"/>
        <w:tblInd w:w="12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0"/>
        <w:gridCol w:w="3162"/>
        <w:gridCol w:w="3718"/>
      </w:tblGrid>
      <w:tr w14:paraId="4D0162F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2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41059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调控输入</w:t>
            </w:r>
          </w:p>
        </w:tc>
        <w:tc>
          <w:tcPr>
            <w:tcW w:w="316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A9306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判断重点</w:t>
            </w:r>
          </w:p>
        </w:tc>
        <w:tc>
          <w:tcPr>
            <w:tcW w:w="371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061F4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可选调控动作</w:t>
            </w:r>
          </w:p>
        </w:tc>
      </w:tr>
      <w:tr w14:paraId="27DA47E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7898F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主观信任状态</w:t>
            </w:r>
          </w:p>
        </w:tc>
        <w:tc>
          <w:tcPr>
            <w:tcW w:w="31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08FAB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信任等级、连续得分、趋势和置信度</w:t>
            </w:r>
          </w:p>
        </w:tc>
        <w:tc>
          <w:tcPr>
            <w:tcW w:w="37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ACEF9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调整信息密度、解释深度或提示强度。</w:t>
            </w:r>
          </w:p>
        </w:tc>
      </w:tr>
      <w:tr w14:paraId="0B69FF5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7FDEB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客观校准状态</w:t>
            </w:r>
          </w:p>
        </w:tc>
        <w:tc>
          <w:tcPr>
            <w:tcW w:w="31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1E6F0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适当信任、信任不足、过度信任及其连续发生情况</w:t>
            </w:r>
          </w:p>
        </w:tc>
        <w:tc>
          <w:tcPr>
            <w:tcW w:w="37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9775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针对错误采纳或错误拒绝实施差异化提醒。</w:t>
            </w:r>
          </w:p>
        </w:tc>
      </w:tr>
      <w:tr w14:paraId="5B15E9A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74338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AI实际能力</w:t>
            </w:r>
          </w:p>
        </w:tc>
        <w:tc>
          <w:tcPr>
            <w:tcW w:w="31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C8199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当前与历史正确率、建议置信度、近期错误类型</w:t>
            </w:r>
          </w:p>
        </w:tc>
        <w:tc>
          <w:tcPr>
            <w:tcW w:w="37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438AC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展示可靠性证据，避免仅依赖固定AI等级名称。</w:t>
            </w:r>
          </w:p>
        </w:tc>
      </w:tr>
      <w:tr w14:paraId="27D3D13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AA165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任务风险与人员状态</w:t>
            </w:r>
          </w:p>
        </w:tc>
        <w:tc>
          <w:tcPr>
            <w:tcW w:w="31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07D29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任务难度、阶段、错误代价、负荷、警觉和紧张</w:t>
            </w:r>
          </w:p>
        </w:tc>
        <w:tc>
          <w:tcPr>
            <w:tcW w:w="37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92549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决定是否要求人工复核、降低自动化或延迟执行。</w:t>
            </w:r>
          </w:p>
        </w:tc>
      </w:tr>
    </w:tbl>
    <w:p w14:paraId="0E720B1F">
      <w:pPr>
        <w:spacing w:after="40"/>
      </w:pPr>
    </w:p>
    <w:p w14:paraId="4894B019">
      <w:pPr>
        <w:pStyle w:val="5"/>
        <w:keepNext/>
        <w:pageBreakBefore w:val="0"/>
      </w:pPr>
      <w:r>
        <w:rPr>
          <w:rFonts w:ascii="黑体" w:hAnsi="黑体" w:eastAsia="黑体" w:cs="黑体"/>
          <w:b/>
          <w:color w:val="000000"/>
          <w:sz w:val="24"/>
        </w:rPr>
        <w:t>14.1 调控类型</w:t>
      </w:r>
    </w:p>
    <w:tbl>
      <w:tblPr>
        <w:tblStyle w:val="32"/>
        <w:tblW w:w="8700" w:type="dxa"/>
        <w:tblInd w:w="12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9"/>
        <w:gridCol w:w="3401"/>
        <w:gridCol w:w="3670"/>
      </w:tblGrid>
      <w:tr w14:paraId="7B9404C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2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000A8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调控类型</w:t>
            </w:r>
          </w:p>
        </w:tc>
        <w:tc>
          <w:tcPr>
            <w:tcW w:w="3401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AD4C2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适用情形</w:t>
            </w:r>
          </w:p>
        </w:tc>
        <w:tc>
          <w:tcPr>
            <w:tcW w:w="367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C297D">
            <w:pPr>
              <w:spacing w:after="0" w:line="276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示例动作</w:t>
            </w:r>
          </w:p>
        </w:tc>
      </w:tr>
      <w:tr w14:paraId="16B57E4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E8D25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抑制过度信任</w:t>
            </w:r>
          </w:p>
        </w:tc>
        <w:tc>
          <w:tcPr>
            <w:tcW w:w="34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02F0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错误建议被采纳，或高信任与AI低可靠性并存</w:t>
            </w:r>
          </w:p>
        </w:tc>
        <w:tc>
          <w:tcPr>
            <w:tcW w:w="36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523FB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突出证据与不确定性；要求二次确认；触发人工复核；限制高风险自动执行。</w:t>
            </w:r>
          </w:p>
        </w:tc>
      </w:tr>
      <w:tr w14:paraId="787C831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B068B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促进合理信任</w:t>
            </w:r>
          </w:p>
        </w:tc>
        <w:tc>
          <w:tcPr>
            <w:tcW w:w="34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461EF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正确建议持续被拒绝，或低信任与AI稳定高可靠性并存</w:t>
            </w:r>
          </w:p>
        </w:tc>
        <w:tc>
          <w:tcPr>
            <w:tcW w:w="36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19785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呈现历史表现和依据；提供可验证解释；降低不必要的反复确认成本。</w:t>
            </w:r>
          </w:p>
        </w:tc>
      </w:tr>
      <w:tr w14:paraId="61D9B80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90BB6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信任修复</w:t>
            </w:r>
          </w:p>
        </w:tc>
        <w:tc>
          <w:tcPr>
            <w:tcW w:w="34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BC860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AI失误后信任明显下降，但系统能力已恢复或问题已定位</w:t>
            </w:r>
          </w:p>
        </w:tc>
        <w:tc>
          <w:tcPr>
            <w:tcW w:w="36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4E362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说明错误原因、影响范围和恢复证据；逐步恢复自动化权限。</w:t>
            </w:r>
          </w:p>
        </w:tc>
      </w:tr>
      <w:tr w14:paraId="3F24A13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EF692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维持适当信任</w:t>
            </w:r>
          </w:p>
        </w:tc>
        <w:tc>
          <w:tcPr>
            <w:tcW w:w="34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6163B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采纳与AI真实表现总体匹配</w:t>
            </w:r>
          </w:p>
        </w:tc>
        <w:tc>
          <w:tcPr>
            <w:tcW w:w="36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4B4D8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保持当前协同方式，避免频繁干预造成额外负荷。</w:t>
            </w:r>
          </w:p>
        </w:tc>
      </w:tr>
    </w:tbl>
    <w:p w14:paraId="1F319583">
      <w:pPr>
        <w:spacing w:after="40"/>
      </w:pPr>
    </w:p>
    <w:p w14:paraId="2035241B">
      <w:pPr>
        <w:pStyle w:val="5"/>
        <w:keepNext/>
        <w:pageBreakBefore w:val="0"/>
      </w:pPr>
      <w:r>
        <w:rPr>
          <w:rFonts w:ascii="黑体" w:hAnsi="黑体" w:eastAsia="黑体" w:cs="黑体"/>
          <w:b/>
          <w:color w:val="000000"/>
          <w:sz w:val="24"/>
        </w:rPr>
        <w:t>14.2 调控输出与闭环</w:t>
      </w:r>
    </w:p>
    <w:p w14:paraId="09154F8A">
      <w:pPr>
        <w:spacing w:before="0" w:after="120" w:line="360" w:lineRule="auto"/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调控模块建议输出ui_mode、intervention_type、intervention_reason、evidence_to_show、review_required、automation_limit、effective_from和policy_version。每次干预后继续记录人员是否查看证据、是否完成复核、是否改变最终决策、任务绩效和后续信任状态，从而形成“状态识别—校准判断—调控动作—行为与绩效反馈”的闭环。</w:t>
      </w:r>
    </w:p>
    <w:sectPr>
      <w:headerReference r:id="rId5" w:type="default"/>
      <w:footerReference r:id="rId6" w:type="default"/>
      <w:pgSz w:w="11906" w:h="16838"/>
      <w:pgMar w:top="1440" w:right="1587" w:bottom="1440" w:left="1587" w:header="709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C1D3AC">
    <w:pPr>
      <w:pStyle w:val="24"/>
      <w:jc w:val="center"/>
    </w:pPr>
    <w:r>
      <w:rPr>
        <w:rFonts w:ascii="宋体" w:hAnsi="宋体" w:eastAsia="宋体" w:cs="宋体"/>
        <w:color w:val="737373"/>
        <w:sz w:val="18"/>
      </w:rPr>
      <w:t xml:space="preserve">第 </w:t>
    </w:r>
    <w:r>
      <w:rPr>
        <w:rFonts w:ascii="宋体" w:hAnsi="宋体" w:eastAsia="宋体" w:cs="宋体"/>
        <w:color w:val="737373"/>
        <w:sz w:val="18"/>
      </w:rPr>
      <w:fldChar w:fldCharType="begin"/>
    </w:r>
    <w:r>
      <w:rPr>
        <w:rFonts w:ascii="宋体" w:hAnsi="宋体" w:eastAsia="宋体" w:cs="宋体"/>
        <w:color w:val="737373"/>
        <w:sz w:val="18"/>
      </w:rPr>
      <w:instrText xml:space="preserve"> PAGE </w:instrText>
    </w:r>
    <w:r>
      <w:rPr>
        <w:rFonts w:ascii="宋体" w:hAnsi="宋体" w:eastAsia="宋体" w:cs="宋体"/>
        <w:color w:val="737373"/>
        <w:sz w:val="18"/>
      </w:rPr>
      <w:fldChar w:fldCharType="end"/>
    </w:r>
    <w:r>
      <w:rPr>
        <w:rFonts w:ascii="宋体" w:hAnsi="宋体" w:eastAsia="宋体" w:cs="宋体"/>
        <w:color w:val="737373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46432">
    <w:pPr>
      <w:pStyle w:val="25"/>
      <w:spacing w:after="0"/>
      <w:jc w:val="center"/>
    </w:pPr>
    <w:r>
      <w:rPr>
        <w:rFonts w:ascii="宋体" w:hAnsi="宋体" w:eastAsia="宋体" w:cs="宋体"/>
        <w:color w:val="737373"/>
        <w:sz w:val="18"/>
      </w:rPr>
      <w:t>等效平台模型输入输出与模拟器数据对齐汇报提纲（审阅稿）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1E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60" w:lineRule="auto"/>
    </w:pPr>
    <w:rPr>
      <w:rFonts w:ascii="宋体" w:hAnsi="宋体" w:eastAsia="宋体" w:cs="宋体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160" w:line="288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20" w:line="288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 w:line="288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宋体" w:hAnsi="宋体" w:eastAsia="宋体" w:cs="宋体"/>
      <w:color w:val="000000"/>
      <w:sz w:val="24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宋体" w:hAnsi="宋体" w:eastAsia="宋体" w:cs="宋体"/>
      <w:color w:val="000000"/>
      <w:sz w:val="24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宋体" w:hAnsi="宋体" w:eastAsia="宋体" w:cs="宋体"/>
      <w:color w:val="000000"/>
      <w:sz w:val="24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宋体" w:hAnsi="宋体" w:eastAsia="宋体" w:cs="宋体"/>
      <w:color w:val="000000"/>
      <w:sz w:val="24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281</Words>
  <Characters>281</Characters>
  <Lines>0</Lines>
  <Paragraphs>0</Paragraphs>
  <TotalTime>287</TotalTime>
  <ScaleCrop>false</ScaleCrop>
  <LinksUpToDate>false</LinksUpToDate>
  <CharactersWithSpaces>281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项目组</dc:creator>
  <dc:description>generated by python-docx</dc:description>
  <cp:keywords>等效平台, 模拟器, 信任状态, 模型输入输出, 数据采集</cp:keywords>
  <cp:lastModifiedBy>安培蓉</cp:lastModifiedBy>
  <dcterms:modified xsi:type="dcterms:W3CDTF">2026-08-24T12:04:31Z</dcterms:modified>
  <dc:subject>面向模拟器厂家的试验设计、模型输入输出和数据采集对齐说明</dc:subject>
  <dc:title>等效平台模型输入输出与模拟器数据对齐汇报提纲（审阅稿）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eyJoZGlkIjoiODVjZDhhNWIzOTljZjI1YzZjNDhjMzk0OWFkZTZiMWEiLCJ1c2VySWQiOiI4NDU4NDMyMTgifQ==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C7FC615DA36D4AECB7120E9981ECA11A_12</vt:lpwstr>
  </property>
</Properties>
</file>