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汽車電子部件產線人員配置優化分析報告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版本：V1.0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日期：2025 年 8 月 19 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一、業務背景與目標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產線加工流程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產品類別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生產模式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數量(PCS)</w:t>
            </w:r>
          </w:p>
        </w:tc>
        <w:tc>
          <w:tcPr>
            <w:tcW w:w="5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加工流程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車用電子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9,800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製程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分板加工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測試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入庫</w:t>
            </w: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人數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工位關鍵屬性：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模式：SMT→（人工搬運）→浸膠→（人工搬運）→分板→（人工搬運）→入庫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製程順序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製程設備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上料時間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作業時間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下料時間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換線時間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電子零件倉領料至線邊倉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線倉庫領料後投料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SMT設備</w:t>
            </w:r>
          </w:p>
        </w:tc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SMT加工後放置暫存區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暫存區物料搬運至浸膠區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浸膠設備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浸膠後搬運至分板區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分板加工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分板加工後搬運至待測區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PCBA半成品入PCBA半成品倉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分析對象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依照當前產線加工流程，本次分析模擬對比當需要生產 9800pcs 時，工廠滿員狀態與未滿員狀態下 A 模式產線的傳遞方式。其中未滿員狀態指在滿員基礎上適當縮減人工數量（不影響核心工藝實施的前提下），縮減範圍包括加工工位人員與工位間搬運工位人員。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優化目標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核心指標：</w:t>
      </w:r>
      <w:r>
        <w:rPr>
          <w:rFonts w:eastAsia="等线" w:ascii="Arial" w:cs="Arial" w:hAnsi="Arial"/>
          <w:sz w:val="22"/>
        </w:rPr>
        <w:t>在人工缩减（實現成本降低）的情况下，保證產能和 OEE 不變。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關鍵約束：</w:t>
      </w:r>
      <w:r>
        <w:rPr>
          <w:rFonts w:eastAsia="等线" w:ascii="Arial" w:cs="Arial" w:hAnsi="Arial"/>
          <w:sz w:val="22"/>
        </w:rPr>
        <w:t>缩减人工需確保各工位基本操作能正常開展。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對比方案：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1：满員傳遞（當前模式）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2：未满員傳遞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二、模擬實驗數據對比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模擬方案詳情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1：满員傳遞（基線）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165"/>
        <w:gridCol w:w="342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模式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加工工位及满員人數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搬運工位及满員人數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SMT（2）、浸膠加工（1）、分板（1）、入庫（1）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 - 浸膠（1）、浸膠 - 分板（1）、分板 -入库（1）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人員配置：按照原報告中各模式標準人員配置，保證每個工位人員齊全，無人員空缺。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傳遞特點：各工位間傳遞由專門人員負責，傳遞流程按常規方式進行，無因人員不足導致的傳遞延遲等情況。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2：未满員傳遞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人員配置：</w:t>
      </w:r>
      <w:r>
        <w:rPr>
          <w:rFonts w:eastAsia="等线" w:ascii="Arial" w:cs="Arial" w:hAnsi="Arial"/>
          <w:sz w:val="22"/>
        </w:rPr>
        <w:t>在满員基礎上進行人工缩减，具体缩减情况如下：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加工工位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满員人數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未满員人數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搬運工位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满員人數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未满員人數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貼片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 - 浸膠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1（合併任務）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浸膠加工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1（不可縮減）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浸膠 - 分板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0（由浸膠工位人員兼職）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1（不可縮減）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分板 - 入庫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0（由分板工位人員兼職）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1（不可縮減）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傳遞特點：</w:t>
      </w:r>
      <w:r>
        <w:rPr>
          <w:rFonts w:eastAsia="等线" w:ascii="Arial" w:cs="Arial" w:hAnsi="Arial"/>
          <w:sz w:val="22"/>
        </w:rPr>
        <w:t>通過優化傳遞流程，如調整傳遞時機、合併部分傳遞任務等，由剩餘人員負責工位間傳遞，確保傳遞效率。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核心指標對比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2.2.1 詳細數據對比表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550"/>
        <w:gridCol w:w="255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評估指標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满員 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未满員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實際產能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9800 件 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9800 件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9800pcs 所需時間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 小時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 小時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OEE 效率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65.2%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65.2%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人工成本（日）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¥8000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¥5200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傳遞時間占比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18.7%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19.0%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錯誤率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1.8%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1.7%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機台設備稼動率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73.5%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73.5%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2.2.2 產能、完成時間與 OEE 對比分析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以下為產能、完成時間與 OEE 對比圖，橫軸為狀態（满員、未满員），縱軸分別為實際產能（件）、完成時間（小时）和 OEE 效率（%）。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 xml:space="preserve"> A 模式下，在需生产 9800pcs 时，未满員狀態與满員狀態的實際產能完全相同，均达到 9800 件，完成该产能所需时间均为 8.5 小时，OEE 效率也保持一致，均为 65.2%。這表明在合理缩减加工工位與搬運工位人工的情况下，通過優化傳遞等環節，能夠在相同时间内維持原有的生產能力和設備综合效率。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 xml:space="preserve"> 雖然未满員狀態下部分加工工位人員減少，且多個搬運工位取消專職人員改由加工人員兼職，但由於所缩减人員的工位並非核心瓶頸工位，且对傳遞流程進行了優化（如提前協調傳遞時機），各环节节奏衔接紧密，避免了因人員减少而出现的傳遞滯後等問題，因此能和满员状态一样在 8.5 小时内完成 9800pcs 的生产，產能、完成时间和 OEE 均未受影響。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2.2.3 人工成本對比分析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以下為日人工成本對比柱狀圖，橫軸為狀態（满員、未满員），縱軸為日人工成本（元）。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>A 模式下，在需生产 9800pcs 时，未满員狀態相比满員狀態日人工成本降低 ¥2800，</w:t>
      </w:r>
      <w:r>
        <w:rPr>
          <w:rFonts w:eastAsia="等线" w:ascii="Arial" w:cs="Arial" w:hAnsi="Arial"/>
          <w:b w:val="true"/>
          <w:sz w:val="22"/>
        </w:rPr>
        <w:t>加工工位與搬運工位同步缩减人工</w:t>
      </w:r>
      <w:r>
        <w:rPr>
          <w:rFonts w:eastAsia="等线" w:ascii="Arial" w:cs="Arial" w:hAnsi="Arial"/>
          <w:sz w:val="22"/>
        </w:rPr>
        <w:t>實現了更為明顯的成本降低。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通過精簡非核心加工工位的人員數量，同時取消部分搬運工位的專職人員、由加工工位人員兼職搬運任務，在不影響生产 9800pcs 及完成时间的前提下，大幅减少了人工費用開支，為企業節約了生產成本。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2.2.4 傳遞時間與錯誤率對比分析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以下為傳遞時間占比與錯誤率對比折線圖，橫軸為狀態（满員、未满員），縱軸為占比 / 率（%）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 xml:space="preserve"> A 模式下，在需生产 9800pcs 时，未满員狀態的傳遞時間占比與满員狀態相比略有上升，但上升幅度極小（0.3%）；錯誤率則略有下降，整體處於穩定可控範圍。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傳遞時間占比的微小上升是由於搬運工位人員减少、部分加工人員兼職搬運後工作負荷略有增加，但通過合理安排傳遞路線和時序，將其影響控制在最小範圍。錯誤率的下降說明剩餘人員在傳遞過程中能夠保持較高的認真程度，未因人員减少而出現更多失誤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2.2.5機台設備稼動率與人員稼動率對比分析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以下為機台設備稼動率與人員稼動率對比柱狀圖，橫軸為狀態（满員、未满員），縱軸為稼動率。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總結：</w:t>
        <w:br/>
      </w:r>
      <w:r>
        <w:rPr>
          <w:rFonts w:eastAsia="等线" w:ascii="Arial" w:cs="Arial" w:hAnsi="Arial"/>
          <w:sz w:val="22"/>
        </w:rPr>
        <w:t xml:space="preserve"> A 模式下，在需生产 9800pcs 时，未满員狀態的機台設備稼動率與满員狀態持平，均为 73.5%；人員稼動率则从 67.2% 提升至 78.3%，人員利用效率得到明顯提高。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  <w:br/>
      </w:r>
      <w:r>
        <w:rPr>
          <w:rFonts w:eastAsia="等线" w:ascii="Arial" w:cs="Arial" w:hAnsi="Arial"/>
          <w:sz w:val="22"/>
        </w:rPr>
        <w:t>機台設備稼動率未受影響，表明人工縮減未對設備的正常運行造成干擾，能保障在 8.5 小時內完成 9800pcs 的生產；人員稼動率的提升是由於合理調整了剩餘人員的工作安排，減少了人員閒置時間，提高了整體勞動生產率。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三、產線平衡率對比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關鍵改善點分析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3825"/>
        <w:gridCol w:w="276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生產模式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满員方案問題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未满員解決方案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SMT 工位人員閒置時間較多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缩减 1 名 SMT 工位人員，優化工作安排，減少閒置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各模式產線平衡率對比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模式下，在需生产 9800pcs 时，未满員狀態的產線平衡率與满員狀態相比基本持平：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满員產線平衡率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未满員產線平衡率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62.3%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62.1%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整體指標對比分析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整體來看，A 模式未满員狀態在需生产 9800pcs 时，在產能、完成时间、OEE、機台設備稼動率、產線平衡率等關鍵生產指標上與满員狀態基本一致，同時因加工工位與搬運工位同步缩减，大幅降低了人工成本，人員稼動率有所提升，傳遞時間和錯誤率等指標也保持穩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四、可執行優化方案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人員配置優化步驟</w:t>
      </w:r>
      <w:bookmarkEnd w:id="1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工位重要性與搬運需求聯合評估</w:t>
      </w:r>
      <w:r>
        <w:rPr>
          <w:rFonts w:eastAsia="等线" w:ascii="Arial" w:cs="Arial" w:hAnsi="Arial"/>
          <w:sz w:val="22"/>
        </w:rPr>
        <w:t>：組織生產、技術及管理團隊，不僅劃分核心與非核心加工工位，同時評估各搬運工位的傳遞頻次與難度 —— 傳遞頻次高、物料體量大的搬運工位（如 A 模式 SMT - 浸膠）可保留部分專職人員，頻次低、物料體量小的（如 A 模式浸膠 - 分板）可規劃為兼職搬運。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人員技能與搬運能力雙重摸底</w:t>
      </w:r>
      <w:r>
        <w:rPr>
          <w:rFonts w:eastAsia="等线" w:ascii="Arial" w:cs="Arial" w:hAnsi="Arial"/>
          <w:sz w:val="22"/>
        </w:rPr>
        <w:t>：對非核心加工工位人員與搬運人員開展聯合考核，除加工技能外，重點評估人員對搬運路線熟悉度、物料保護意識等，優先保留「加工技能扎實 + 搬運能力強」的複合型人員。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分步驟缩减實施（含加工與搬運）：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 模式的 SMT 工位缩减 1 人，同時取消 A 模式浸膠 - 分板、分板 - 測試搬運工位專職人員（分別由浸膠、分板工位人員兼職），試點 1 周，監控在生产 9800pcs 时的各項指标，指标稳定后正式推行。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量化指標與圖表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070"/>
        <w:gridCol w:w="3210"/>
      </w:tblGrid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指標項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具體數據（元）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滿員狀態單日人工成本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未滿員狀態單日人工成本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5200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單日人工成本降低額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2800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成本降低幅度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月均人工成本降低額（按 22 個工作日計）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6.16 萬元</w:t>
            </w:r>
          </w:p>
        </w:tc>
      </w:tr>
      <w:tr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年均人工成本降低額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73.92 萬元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傳遞流程優化措施</w:t>
      </w:r>
      <w:bookmarkEnd w:id="1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搬運任務與加工任務協同合併：</w:t>
      </w:r>
      <w:r>
        <w:rPr>
          <w:rFonts w:eastAsia="等线" w:ascii="Arial" w:cs="Arial" w:hAnsi="Arial"/>
          <w:sz w:val="22"/>
        </w:rPr>
        <w:t>為兼職搬運的加工人員制定「加工 - 搬運」時序表，如 A 模式浸膠工位人員，可在完成每批次浸膠後的工序間隙，同步完成至分板工位的物料搬運，避免兩類任務疊加。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搬運路線與加工區域協同優化：</w:t>
      </w:r>
      <w:r>
        <w:rPr>
          <w:rFonts w:eastAsia="等线" w:ascii="Arial" w:cs="Arial" w:hAnsi="Arial"/>
          <w:sz w:val="22"/>
        </w:rPr>
        <w:t>結合加工工位布局調整搬運路線，如 A 模式將浸膠工位與分板工位的臨時物料存放點設置在兩工位中間，縮短兼職人員的搬運距離，降低額外時間消耗。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搬運工具與兼職操作匹配規範：</w:t>
      </w:r>
      <w:r>
        <w:rPr>
          <w:rFonts w:eastAsia="等线" w:ascii="Arial" w:cs="Arial" w:hAnsi="Arial"/>
          <w:sz w:val="22"/>
        </w:rPr>
        <w:t>為兼職人員配備輕便型搬運工具（如可移動物料架），工具把手、盛放槽等按人體工學設計，減少搬運對加工人員體力的消耗。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監控與調整機制建立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日常數據採集</w:t>
      </w:r>
      <w:r>
        <w:rPr>
          <w:rFonts w:eastAsia="等线" w:ascii="Arial" w:cs="Arial" w:hAnsi="Arial"/>
          <w:sz w:val="22"/>
        </w:rPr>
        <w:t>：安排專人每日記錄產能、OEE、傳遞時間占比、錯誤率等關鍵指標，建立數據台賬，確保數據的及時性與準確性。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周度分析會議</w:t>
      </w:r>
      <w:r>
        <w:rPr>
          <w:rFonts w:eastAsia="等线" w:ascii="Arial" w:cs="Arial" w:hAnsi="Arial"/>
          <w:sz w:val="22"/>
        </w:rPr>
        <w:t>：每周召開生產協調會議，對採集的數據進行分析，若發現某一指標出現異常（如 OEE 下降超過 1%），及時排查原因。若因人員負荷過高導致，適當調整人員工作分工或暫時恢復部分人員配置。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月度效果評估</w:t>
      </w:r>
      <w:r>
        <w:rPr>
          <w:rFonts w:eastAsia="等线" w:ascii="Arial" w:cs="Arial" w:hAnsi="Arial"/>
          <w:sz w:val="22"/>
        </w:rPr>
        <w:t>：每月對優化方案的實施效果進行。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五、AI 優化建議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關鍵問題深度診斷（含搬運環節）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基於 AI 技術對產線現有數據的挖掘與分析，結合需生產 9800pcs 的場景，可精準識別人工搬運模式下的核心問題，爲後續優化提供靶向方向。通過構建搬運環節多維度分析模型，整合近 12 個月的搬運時長、頻次、錯誤率、人員負荷等數據，診斷結果如下表：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關鍵問題類型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涉及搬運工位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核心數據指標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現狀描述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搬運效率波动大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模式各搬運工位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日均搬運時長波動幅度、節拍匹配度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人工搬運日均時長波動達 12%-18%（A 模式浸膠 - 分板工位最高），因人員操作節奏差異，與加工工位節拍匹配度僅 68%-75%，在生產 9800pcs 時多次出現物料等待或堆積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人員負荷失衡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模式分板 - 測試工位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搬運人員工時利用率、峯值負荷佔比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該工位專職搬運人員日均工時利用率僅 52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進階仿真方案設計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藉助 AI 驅動的數字孿生技術，搭建產線虛擬仿真環境，對「人工搬運替換為 AGV 小車搬運」方案進行多場景仿真驗證，明確 AGV 配置參數、路徑規劃及協同策略的最優方案。仿真以「保留核心加工工位人員、取消全部專職搬運人員」為基礎，關鍵仿真方案及結果如下：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5.2.1 AGV 配置與路徑優化仿真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針對不同模式搬運需求差異，設計 AGV 型號（潛伏式 / 牽引式）、數量及專屬路徑，仿真參數與預測效果如下表：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2250"/>
        <w:gridCol w:w="1815"/>
        <w:gridCol w:w="283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配置參數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仿真優化措施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仿真預測效果指標（與人工搬運對比）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台潛伏式 AGV（載重 50kg）、路徑設 3 個站點（SMT 出口、浸膠入口、分板入口、測試入口）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動態規劃路徑（避開加工工位操作區）、設置站點自動對接裝置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搬運時間占比從 18.7% 降至 12.3%，路徑無效折返距離減少 92%，日均擁堵次數降至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5.2.2 成本與效益綜合仿真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對比 AGV 初期投入與長期效益，仿真 5 年周期內成本變化如下：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成本類型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模式（5 年週期）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模式（5 年週期）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模式（5 年週期）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初期投入（含設備、路徑改造）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萬元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人工搬運成本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 萬元（按 3 名專職搬運人員年均 ¥5.6 萬元計算）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¥66 萬元（按 2 名專職搬運人員年均 ¥5.5 萬元計算）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 萬元（按 4 名專職搬運人員年均 ¥5.25 萬元計算）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AGV 運營成本（維護 + 能耗）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萬元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淨成本節約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 萬元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 萬元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仿真結論</w:t>
      </w:r>
      <w:r>
        <w:rPr>
          <w:rFonts w:eastAsia="等线" w:ascii="Arial" w:cs="Arial" w:hAnsi="Arial"/>
          <w:sz w:val="22"/>
        </w:rPr>
        <w:t>：三種模式下替換為 AGV 搬運後，均能在 1.5-2 年內收回初期投入，且長期可實現顯著成本節約，同時在效率穩定性、錯誤率控制等方面優於人工搬運模式。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9069">
    <w:lvl>
      <w:start w:val="1"/>
      <w:numFmt w:val="decimal"/>
      <w:suff w:val="tab"/>
      <w:lvlText w:val="%1."/>
      <w:rPr>
        <w:color w:val="3370ff"/>
      </w:rPr>
    </w:lvl>
  </w:abstractNum>
  <w:abstractNum w:abstractNumId="779070">
    <w:lvl>
      <w:start w:val="2"/>
      <w:numFmt w:val="decimal"/>
      <w:suff w:val="tab"/>
      <w:lvlText w:val="%1."/>
      <w:rPr>
        <w:color w:val="3370ff"/>
      </w:rPr>
    </w:lvl>
  </w:abstractNum>
  <w:abstractNum w:abstractNumId="779071">
    <w:lvl>
      <w:start w:val="1"/>
      <w:numFmt w:val="decimal"/>
      <w:suff w:val="tab"/>
      <w:lvlText w:val="%1."/>
      <w:rPr>
        <w:color w:val="3370ff"/>
      </w:rPr>
    </w:lvl>
  </w:abstractNum>
  <w:abstractNum w:abstractNumId="779072">
    <w:lvl>
      <w:start w:val="2"/>
      <w:numFmt w:val="decimal"/>
      <w:suff w:val="tab"/>
      <w:lvlText w:val="%1."/>
      <w:rPr>
        <w:color w:val="3370ff"/>
      </w:rPr>
    </w:lvl>
  </w:abstractNum>
  <w:abstractNum w:abstractNumId="779073">
    <w:lvl>
      <w:start w:val="1"/>
      <w:numFmt w:val="decimal"/>
      <w:suff w:val="tab"/>
      <w:lvlText w:val="%1."/>
      <w:rPr>
        <w:color w:val="3370ff"/>
      </w:rPr>
    </w:lvl>
  </w:abstractNum>
  <w:abstractNum w:abstractNumId="779074">
    <w:lvl>
      <w:start w:val="2"/>
      <w:numFmt w:val="decimal"/>
      <w:suff w:val="tab"/>
      <w:lvlText w:val="%1."/>
      <w:rPr>
        <w:color w:val="3370ff"/>
      </w:rPr>
    </w:lvl>
  </w:abstractNum>
  <w:abstractNum w:abstractNumId="779075">
    <w:lvl>
      <w:start w:val="1"/>
      <w:numFmt w:val="decimal"/>
      <w:suff w:val="tab"/>
      <w:lvlText w:val="%1."/>
      <w:rPr>
        <w:color w:val="3370ff"/>
      </w:rPr>
    </w:lvl>
  </w:abstractNum>
  <w:abstractNum w:abstractNumId="779076">
    <w:lvl>
      <w:start w:val="2"/>
      <w:numFmt w:val="decimal"/>
      <w:suff w:val="tab"/>
      <w:lvlText w:val="%1."/>
      <w:rPr>
        <w:color w:val="3370ff"/>
      </w:rPr>
    </w:lvl>
  </w:abstractNum>
  <w:abstractNum w:abstractNumId="779077">
    <w:lvl>
      <w:start w:val="1"/>
      <w:numFmt w:val="decimal"/>
      <w:suff w:val="tab"/>
      <w:lvlText w:val="%1."/>
      <w:rPr>
        <w:color w:val="3370ff"/>
      </w:rPr>
    </w:lvl>
  </w:abstractNum>
  <w:abstractNum w:abstractNumId="779078">
    <w:lvl>
      <w:start w:val="2"/>
      <w:numFmt w:val="decimal"/>
      <w:suff w:val="tab"/>
      <w:lvlText w:val="%1."/>
      <w:rPr>
        <w:color w:val="3370ff"/>
      </w:rPr>
    </w:lvl>
  </w:abstractNum>
  <w:abstractNum w:abstractNumId="779079">
    <w:lvl>
      <w:start w:val="1"/>
      <w:numFmt w:val="decimal"/>
      <w:suff w:val="tab"/>
      <w:lvlText w:val="%1."/>
      <w:rPr>
        <w:color w:val="3370ff"/>
      </w:rPr>
    </w:lvl>
  </w:abstractNum>
  <w:abstractNum w:abstractNumId="779080">
    <w:lvl>
      <w:start w:val="2"/>
      <w:numFmt w:val="decimal"/>
      <w:suff w:val="tab"/>
      <w:lvlText w:val="%1."/>
      <w:rPr>
        <w:color w:val="3370ff"/>
      </w:rPr>
    </w:lvl>
  </w:abstractNum>
  <w:abstractNum w:abstractNumId="779081">
    <w:lvl>
      <w:start w:val="3"/>
      <w:numFmt w:val="decimal"/>
      <w:suff w:val="tab"/>
      <w:lvlText w:val="%1."/>
      <w:rPr>
        <w:color w:val="3370ff"/>
      </w:rPr>
    </w:lvl>
  </w:abstractNum>
  <w:abstractNum w:abstractNumId="779082">
    <w:lvl>
      <w:numFmt w:val="bullet"/>
      <w:suff w:val="tab"/>
      <w:lvlText w:val="•"/>
      <w:rPr>
        <w:color w:val="3370ff"/>
      </w:rPr>
    </w:lvl>
  </w:abstractNum>
  <w:abstractNum w:abstractNumId="779083">
    <w:lvl>
      <w:start w:val="1"/>
      <w:numFmt w:val="decimal"/>
      <w:suff w:val="tab"/>
      <w:lvlText w:val="%1."/>
      <w:rPr>
        <w:color w:val="3370ff"/>
      </w:rPr>
    </w:lvl>
  </w:abstractNum>
  <w:abstractNum w:abstractNumId="779084">
    <w:lvl>
      <w:start w:val="2"/>
      <w:numFmt w:val="decimal"/>
      <w:suff w:val="tab"/>
      <w:lvlText w:val="%1."/>
      <w:rPr>
        <w:color w:val="3370ff"/>
      </w:rPr>
    </w:lvl>
  </w:abstractNum>
  <w:abstractNum w:abstractNumId="779085">
    <w:lvl>
      <w:start w:val="3"/>
      <w:numFmt w:val="decimal"/>
      <w:suff w:val="tab"/>
      <w:lvlText w:val="%1."/>
      <w:rPr>
        <w:color w:val="3370ff"/>
      </w:rPr>
    </w:lvl>
  </w:abstractNum>
  <w:abstractNum w:abstractNumId="779086">
    <w:lvl>
      <w:start w:val="1"/>
      <w:numFmt w:val="decimal"/>
      <w:suff w:val="tab"/>
      <w:lvlText w:val="%1."/>
      <w:rPr>
        <w:color w:val="3370ff"/>
      </w:rPr>
    </w:lvl>
  </w:abstractNum>
  <w:abstractNum w:abstractNumId="779087">
    <w:lvl>
      <w:start w:val="2"/>
      <w:numFmt w:val="decimal"/>
      <w:suff w:val="tab"/>
      <w:lvlText w:val="%1."/>
      <w:rPr>
        <w:color w:val="3370ff"/>
      </w:rPr>
    </w:lvl>
  </w:abstractNum>
  <w:abstractNum w:abstractNumId="77908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79069"/>
  </w:num>
  <w:num w:numId="2">
    <w:abstractNumId w:val="779070"/>
  </w:num>
  <w:num w:numId="3">
    <w:abstractNumId w:val="779071"/>
  </w:num>
  <w:num w:numId="4">
    <w:abstractNumId w:val="779072"/>
  </w:num>
  <w:num w:numId="5">
    <w:abstractNumId w:val="779073"/>
  </w:num>
  <w:num w:numId="6">
    <w:abstractNumId w:val="779074"/>
  </w:num>
  <w:num w:numId="7">
    <w:abstractNumId w:val="779075"/>
  </w:num>
  <w:num w:numId="8">
    <w:abstractNumId w:val="779076"/>
  </w:num>
  <w:num w:numId="9">
    <w:abstractNumId w:val="779077"/>
  </w:num>
  <w:num w:numId="10">
    <w:abstractNumId w:val="779078"/>
  </w:num>
  <w:num w:numId="11">
    <w:abstractNumId w:val="779079"/>
  </w:num>
  <w:num w:numId="12">
    <w:abstractNumId w:val="779080"/>
  </w:num>
  <w:num w:numId="13">
    <w:abstractNumId w:val="779081"/>
  </w:num>
  <w:num w:numId="14">
    <w:abstractNumId w:val="779082"/>
  </w:num>
  <w:num w:numId="15">
    <w:abstractNumId w:val="779083"/>
  </w:num>
  <w:num w:numId="16">
    <w:abstractNumId w:val="779084"/>
  </w:num>
  <w:num w:numId="17">
    <w:abstractNumId w:val="779085"/>
  </w:num>
  <w:num w:numId="18">
    <w:abstractNumId w:val="779086"/>
  </w:num>
  <w:num w:numId="19">
    <w:abstractNumId w:val="779087"/>
  </w:num>
  <w:num w:numId="20">
    <w:abstractNumId w:val="7790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2025-08-21T01:18:37Z</dcterms:created>
  <dc:creator>Apache POI</dc:creator>
</cp:coreProperties>
</file>