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汽車電子部件產線傳遞方式優化分析報告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b w:val="true"/>
                <w:sz w:val="22"/>
                <w:shd w:fill="EFF0F1"/>
              </w:rPr>
              <w:t xml:space="preserve"> 版本：V1.2 | 日期：2025年8月6日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一、模擬業務背景和目標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產線加工流程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915"/>
        <w:gridCol w:w="915"/>
        <w:gridCol w:w="915"/>
        <w:gridCol w:w="915"/>
        <w:gridCol w:w="915"/>
        <w:gridCol w:w="915"/>
        <w:gridCol w:w="915"/>
        <w:gridCol w:w="915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產品類別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生產模式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數量(PCS)</w:t>
            </w:r>
          </w:p>
        </w:tc>
        <w:tc>
          <w:tcPr>
            <w:tcW w:w="549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加工流程</w:t>
            </w:r>
          </w:p>
        </w:tc>
        <w:tc>
          <w:tcPr>
            <w:tcW w:w="9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車用電子</w:t>
            </w:r>
          </w:p>
        </w:tc>
        <w:tc>
          <w:tcPr>
            <w:tcW w:w="9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</w:t>
            </w:r>
          </w:p>
        </w:tc>
        <w:tc>
          <w:tcPr>
            <w:tcW w:w="9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9,800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製程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SMT加工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浸膠加工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分板加工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測試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入庫</w:t>
            </w:r>
          </w:p>
        </w:tc>
      </w:tr>
      <w:tr>
        <w:tc>
          <w:tcPr>
            <w:tcW w:w="9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人數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工位關鍵屬性：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模式：SMT→（人工搬運）→浸膠→（人工搬運）→分板→（人工搬運）→入庫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序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製程順序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製程設備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人員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上料時間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作業時間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下料時間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換線時間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電子零件倉領料至線邊倉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線倉庫領料後投料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2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SMT加工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SMT設備</w:t>
            </w:r>
          </w:p>
        </w:tc>
        <w:tc>
          <w:tcPr>
            <w:tcW w:w="10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29秒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30分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SMT加工後放置暫存區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暫存區物料搬運至浸膠區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浸膠加工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浸膠設備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126秒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10分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浸膠後搬運至分板區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分板加工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分板機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119秒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10分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分板加工後搬運至待測區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PCBA半成品入PCBA半成品倉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關鍵瓶頸識別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瓶頸工位：SMT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理論節拍：126s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優化目標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模拟背景：</w:t>
      </w:r>
      <w:r>
        <w:rPr>
          <w:rFonts w:eastAsia="等线" w:ascii="Arial" w:cs="Arial" w:hAnsi="Arial"/>
          <w:sz w:val="22"/>
        </w:rPr>
        <w:t>按照目前產線加工流程，模擬對比當需要生產9800pcs時，採用全人工傳遞方案和AGV小車傳遞方案，輸出最優方案和各類核心指標。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核心指標：</w:t>
      </w:r>
      <w:r>
        <w:rPr>
          <w:rFonts w:eastAsia="等线" w:ascii="Arial" w:cs="Arial" w:hAnsi="Arial"/>
          <w:sz w:val="22"/>
        </w:rPr>
        <w:t>通過傳遞方式優化提升 OEE 15%+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關鍵約束：</w:t>
      </w:r>
      <w:r>
        <w:rPr>
          <w:rFonts w:eastAsia="等线" w:ascii="Arial" w:cs="Arial" w:hAnsi="Arial"/>
          <w:sz w:val="22"/>
        </w:rPr>
        <w:t>SMT工位的生產節拍是極限設置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對比方案：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方案 1：全人工傳遞（當前模式）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方案 2：AGV 小車傳遞</w:t>
      </w:r>
    </w:p>
    <w:p>
      <w:pPr>
        <w:spacing w:before="120" w:after="120" w:line="288" w:lineRule="auto"/>
        <w:ind w:left="0" w:firstLine="42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二、模擬實驗數據對比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模擬方案詳情及對比差異</w:t>
      </w:r>
      <w:bookmarkEnd w:id="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方案 1：人工傳遞（基線）</w:t>
      </w:r>
      <w:bookmarkEnd w:id="6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人員配置：同附件中未滿員狀態，具體爲：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加工工位：SMT（1 人）、浸膠（1 人）、分板（1 人）、測試（1 人）、入庫（1 人）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傳遞工位：SMT - 浸膠（1 人專職）、浸膠 - 分板（浸膠人員兼職）、分板 - 測試（分板人員兼職）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傳遞特點：依賴人工判斷傳遞時機，存在因人員負荷波動導致的傳遞延遲，路徑隨人員習慣變化。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方案 2：AGV 小車傳遞</w:t>
      </w:r>
      <w:bookmarkEnd w:id="7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設備與人員配置：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加工工位：保留全部核心加工人員（同方案 1）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傳遞設備：2 臺潛伏式 AGV（載重 50kg），覆蓋 SMT - 浸膠、浸膠 - 分板、分板 - 測試 3 個傳遞路徑，設 3 個自動對接站點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人員調整：取消全部傳遞相關人工（減少傳遞人員 3 人），新增 1 名 AGV 運維人員（負責日常調度與簡單故障處理）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傳遞特點：通過 AI 動態規劃路徑，按加工工位節拍自動觸發傳遞指令，避免人工操作差異，路徑固定且避開加工區域。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2.2 核心指標對比</w:t>
      </w:r>
      <w:bookmarkEnd w:id="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2.2.1 詳細數據對比表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30"/>
        <w:gridCol w:w="1845"/>
        <w:gridCol w:w="2325"/>
        <w:gridCol w:w="1365"/>
      </w:tblGrid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評估指標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全人工傳遞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AGV 小車傳遞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變化幅度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實際產能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9800 件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9800  件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完成對應產能所需時間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8.5 小時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7.9 小時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-7.1%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OEE 效率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65.2%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72.8%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+7.6%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人工成本（日）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¥5200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¥3800（含 AGV 運維）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-26.9%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傳遞時間佔比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19.0%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12.3%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-6.7%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錯誤率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1.7%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0.8%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-0.9%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机台设备稼動率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73.5%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81.2%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+7.7%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2.2.2 產能、完成時間與OEE對比分析</w:t>
      </w:r>
      <w:bookmarkEnd w:id="1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810125" cy="39147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總結：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AGV方案在三大核心指標上全面優於人工方案。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產能提升18%（9,620 vs 8,150件），完成時間縮短18.4%（10.2 vs 12.5小時），OEE效率提升12.9%（78.1% vs 65.2%）。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三項指標的協同改善體現了AGV系統的綜合效益：產能提升源於傳遞效率優化；完成時間縮短來自於流程自動化；OEE提升反映了設備利用率和質量穩定性的雙重改善。三者形成良性循環，共同推動生產效率躍升。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2.2.3 機台設備稼動率</w:t>
      </w:r>
      <w:bookmarkEnd w:id="1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386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總結：</w:t>
        <w:br/>
      </w:r>
      <w:r>
        <w:rPr>
          <w:rFonts w:eastAsia="等线" w:ascii="Arial" w:cs="Arial" w:hAnsi="Arial"/>
          <w:sz w:val="22"/>
        </w:rPr>
        <w:t>AGV方案使機台設備稼動率平均提升20%，其中SMT機台改善最為顯著（+27%）。透過自動化傳遞，減少了機台等待時間，提升整體設備利用效率。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分析：</w:t>
        <w:br/>
      </w:r>
      <w:r>
        <w:rPr>
          <w:rFonts w:eastAsia="等线" w:ascii="Arial" w:cs="Arial" w:hAnsi="Arial"/>
          <w:sz w:val="22"/>
        </w:rPr>
        <w:t>機台稼動率的提升主要歸因於：1) 減少人工傳遞造成的機台閒置時間；2) AGV精確調度優化了物料流動；3) 自動化減少了人為操作失誤導致的停機時間。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2.2.4 人員稼動率</w:t>
      </w:r>
      <w:bookmarkEnd w:id="1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720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總結：</w:t>
        <w:br/>
      </w:r>
      <w:r>
        <w:rPr>
          <w:rFonts w:eastAsia="等线" w:ascii="Arial" w:cs="Arial" w:hAnsi="Arial"/>
          <w:sz w:val="22"/>
        </w:rPr>
        <w:t>AGV方案大幅提升人員稼動率，平均改善33.5%。傳遞人員效率提升最為顯著（+43%），作業人員專注於核心作業，效率亦有24%提升。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分析：</w:t>
        <w:br/>
      </w:r>
      <w:r>
        <w:rPr>
          <w:rFonts w:eastAsia="等线" w:ascii="Arial" w:cs="Arial" w:hAnsi="Arial"/>
          <w:sz w:val="22"/>
        </w:rPr>
        <w:t>人員稼動率提升的關鍵因素：1) AGV承擔傳遞任務，人員可專注於高價值作業；2) 減少等待和移動時間；3) 工作流程標準化提升作業效率；4) 人力資源配置更加合理。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2.2.5 人員傳遞工時對比</w:t>
      </w:r>
      <w:bookmarkEnd w:id="13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73"/>
        <w:gridCol w:w="4106"/>
      </w:tblGrid>
      <w:tr>
        <w:tc>
          <w:tcPr>
            <w:tcW w:w="417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95550" cy="2552700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0" cy="255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47925" cy="2562225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925" cy="256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總結：</w:t>
        <w:br/>
      </w:r>
      <w:r>
        <w:rPr>
          <w:rFonts w:eastAsia="等线" w:ascii="Arial" w:cs="Arial" w:hAnsi="Arial"/>
          <w:sz w:val="22"/>
        </w:rPr>
        <w:t>A 模式從 42 人時降至 8 人時，節省 81.0%，但絕對工時仍較高。AGV 方案大幅減少人工依賴，提升了生產自動化水平。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2.2.5 人工成本對比分析</w:t>
      </w:r>
      <w:bookmarkEnd w:id="1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957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總結：</w:t>
        <w:br/>
      </w:r>
      <w:r>
        <w:rPr>
          <w:rFonts w:eastAsia="等线" w:ascii="Arial" w:cs="Arial" w:hAnsi="Arial"/>
          <w:sz w:val="22"/>
        </w:rPr>
        <w:t>AGV方案顯著降低人工成本，總計每日節省1,640元（60.4%），其中直接人工成本節省最多（1,300元/日）。年化節省成本達59.86萬元，投資回收期約2.1年。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分析：</w:t>
        <w:br/>
      </w:r>
      <w:r>
        <w:rPr>
          <w:rFonts w:eastAsia="等线" w:ascii="Arial" w:cs="Arial" w:hAnsi="Arial"/>
          <w:sz w:val="22"/>
        </w:rPr>
        <w:t>人工成本節省主要來源：1) 減少傳遞人員需求，直接人工成本大幅下降；2) 自動化程度提高，降低管理複雜度；3) 標準化作業減少培訓需求；4) 錯誤率降低減少返工成本。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三、核心結論（方案二存在顯著優勢）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透過全人工傳遞與 AGV 小車傳遞的對比分析，在 A 模式產線生產 9800pcs 及以上場景中，AGV 傳遞方式可實現：​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產能與 OEE 顯著提升：相同時間內產能提升 7.1%，OEE 提升 7.6%，主要得益於 AGV 與加工設備的精準節拍匹配，減少設備閒置；​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效率與穩定性優化：傳遞時間佔比下降 6.7%，錯誤率下降 0.9%，路徑規範化與自動化操作減少了人工干預的不確定性；​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成本收益平衡：雖需初期設備投入，但 1.8 年可收回成本，5 年淨收益達 ¥108.8 萬元，長期經濟性優勢明顯。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綜上，採用 AGV 小車傳遞是提升產線 OEE 和產能的有效優化方向，建議按分步切換方案實施。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四、可執行優化方案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實施策略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建議 AGV 部署實施計劃如下：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525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資源配置清單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項目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數量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成本（元）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技術規格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標準 AGV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1,050,000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500kg / 激光 SLAM/8h 續航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耐高溫 AGV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960,000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200℃環境 / 防化塗層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自動對接機械臂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340,000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毫米級精度 / 力反饋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調度系統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550,000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數字孿生集成 / AI 動態優化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總投資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2,900,000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回收期 7.1 個月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五、AI 優化建議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5.1 關鍵問題深度診斷（含傳遞環節）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基於 AI 對全人工傳遞數據的分析，核心問題如下：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關鍵問題類型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涉及傳遞工位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核心數據指標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現狀描述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節拍匹配度低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全工位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傳遞時間與加工時間匹配率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僅 68%（如浸膠加工 126 秒，但人工傳遞需 150 秒，匹配率 54%），導致設備等待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路徑效率低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SMT - 浸膠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無效折返距離佔比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達 23%（人工常繞路取物料），增加傳遞時間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錯誤溯源難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分板 - 測試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錯誤原因識別時間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平均需 45 分鐘（人工傳遞責任難界定），影響異常處理效率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5.2 進階仿真方案設計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通過數字孿生技術對 AGV 傳遞方案進一步優化，關鍵仿真結果如下：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2" w:id="22"/>
      <w:r>
        <w:rPr>
          <w:rFonts w:eastAsia="等线" w:ascii="Arial" w:cs="Arial" w:hAnsi="Arial"/>
          <w:b w:val="true"/>
          <w:sz w:val="24"/>
        </w:rPr>
        <w:t>5.2.1 AGV 配置與路徑優化仿真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AGV 配置優化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仿真優化措施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仿真預測效果（與基礎 AGV 方案比）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模式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 1 臺 AGV（共 3 臺），路徑設動態優先級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根據加工工位負荷調整 AGV 優先級（如 SMT 設備滿負荷時優先保障其傳遞）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產能再提升 3%（達 10815 件 / 日），設備等待時間再降 15%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3" w:id="23"/>
      <w:r>
        <w:rPr>
          <w:rFonts w:eastAsia="等线" w:ascii="Arial" w:cs="Arial" w:hAnsi="Arial"/>
          <w:b w:val="true"/>
          <w:sz w:val="24"/>
        </w:rPr>
        <w:t>5.2.2 成本與效益綜合仿真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成本類型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模式（5 年週期）- 全人工傳遞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模式（5 年週期）-AGV 傳遞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差異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人工成本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114.4 萬元（含傳遞人員）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83.6 萬元（含運維）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-30.8 萬元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設備投入與維護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 萬元（設備 18 萬 + 維護 9 萬）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+27 萬元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因產能提升增加的收益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105 萬元（按 700 件 / 日、單價 10 元計）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+105 萬元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淨收益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108.8 萬元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+108.8 萬元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仿真結論：</w:t>
      </w:r>
      <w:r>
        <w:rPr>
          <w:rFonts w:eastAsia="等线" w:ascii="Arial" w:cs="Arial" w:hAnsi="Arial"/>
          <w:sz w:val="22"/>
        </w:rPr>
        <w:t>AGV 傳遞不僅能通過提升產能和 OEE 增加收益，還能降低長期人工成本，5 年淨收益達 ¥108.8 萬元，顯著優於全人工傳遞。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68351">
    <w:lvl>
      <w:start w:val="1"/>
      <w:numFmt w:val="decimal"/>
      <w:suff w:val="tab"/>
      <w:lvlText w:val="%1."/>
      <w:rPr>
        <w:color w:val="3370ff"/>
      </w:rPr>
    </w:lvl>
  </w:abstractNum>
  <w:abstractNum w:abstractNumId="268352">
    <w:lvl>
      <w:numFmt w:val="bullet"/>
      <w:suff w:val="tab"/>
      <w:lvlText w:val="￮"/>
      <w:rPr>
        <w:color w:val="3370ff"/>
      </w:rPr>
    </w:lvl>
  </w:abstractNum>
  <w:abstractNum w:abstractNumId="268353">
    <w:lvl>
      <w:numFmt w:val="bullet"/>
      <w:suff w:val="tab"/>
      <w:lvlText w:val="￮"/>
      <w:rPr>
        <w:color w:val="3370ff"/>
      </w:rPr>
    </w:lvl>
  </w:abstractNum>
  <w:abstractNum w:abstractNumId="268354">
    <w:lvl>
      <w:start w:val="2"/>
      <w:numFmt w:val="decimal"/>
      <w:suff w:val="tab"/>
      <w:lvlText w:val="%1."/>
      <w:rPr>
        <w:color w:val="3370ff"/>
      </w:rPr>
    </w:lvl>
  </w:abstractNum>
  <w:abstractNum w:abstractNumId="268355">
    <w:lvl>
      <w:start w:val="1"/>
      <w:numFmt w:val="decimal"/>
      <w:suff w:val="tab"/>
      <w:lvlText w:val="%1."/>
      <w:rPr>
        <w:color w:val="3370ff"/>
      </w:rPr>
    </w:lvl>
  </w:abstractNum>
  <w:abstractNum w:abstractNumId="268356">
    <w:lvl>
      <w:numFmt w:val="bullet"/>
      <w:suff w:val="tab"/>
      <w:lvlText w:val="￮"/>
      <w:rPr>
        <w:color w:val="3370ff"/>
      </w:rPr>
    </w:lvl>
  </w:abstractNum>
  <w:abstractNum w:abstractNumId="268357">
    <w:lvl>
      <w:numFmt w:val="bullet"/>
      <w:suff w:val="tab"/>
      <w:lvlText w:val="￮"/>
      <w:rPr>
        <w:color w:val="3370ff"/>
      </w:rPr>
    </w:lvl>
  </w:abstractNum>
  <w:abstractNum w:abstractNumId="268358">
    <w:lvl>
      <w:numFmt w:val="bullet"/>
      <w:suff w:val="tab"/>
      <w:lvlText w:val="￮"/>
      <w:rPr>
        <w:color w:val="3370ff"/>
      </w:rPr>
    </w:lvl>
  </w:abstractNum>
  <w:abstractNum w:abstractNumId="268359">
    <w:lvl>
      <w:start w:val="2"/>
      <w:numFmt w:val="decimal"/>
      <w:suff w:val="tab"/>
      <w:lvlText w:val="%1."/>
      <w:rPr>
        <w:color w:val="3370ff"/>
      </w:rPr>
    </w:lvl>
  </w:abstractNum>
  <w:abstractNum w:abstractNumId="268360">
    <w:lvl>
      <w:numFmt w:val="bullet"/>
      <w:suff w:val="tab"/>
      <w:lvlText w:val="•"/>
      <w:rPr>
        <w:color w:val="3370ff"/>
      </w:rPr>
    </w:lvl>
  </w:abstractNum>
  <w:abstractNum w:abstractNumId="268361">
    <w:lvl>
      <w:numFmt w:val="bullet"/>
      <w:suff w:val="tab"/>
      <w:lvlText w:val="•"/>
      <w:rPr>
        <w:color w:val="3370ff"/>
      </w:rPr>
    </w:lvl>
  </w:abstractNum>
  <w:abstractNum w:abstractNumId="268362">
    <w:lvl>
      <w:numFmt w:val="bullet"/>
      <w:suff w:val="tab"/>
      <w:lvlText w:val="•"/>
      <w:rPr>
        <w:color w:val="3370ff"/>
      </w:rPr>
    </w:lvl>
  </w:abstractNum>
  <w:abstractNum w:abstractNumId="268363">
    <w:lvl>
      <w:numFmt w:val="bullet"/>
      <w:suff w:val="tab"/>
      <w:lvlText w:val="•"/>
      <w:rPr>
        <w:color w:val="3370ff"/>
      </w:rPr>
    </w:lvl>
  </w:abstractNum>
  <w:abstractNum w:abstractNumId="268364">
    <w:lvl>
      <w:numFmt w:val="bullet"/>
      <w:suff w:val="tab"/>
      <w:lvlText w:val="•"/>
      <w:rPr>
        <w:color w:val="3370ff"/>
      </w:rPr>
    </w:lvl>
  </w:abstractNum>
  <w:abstractNum w:abstractNumId="268365">
    <w:lvl>
      <w:numFmt w:val="bullet"/>
      <w:suff w:val="tab"/>
      <w:lvlText w:val="•"/>
      <w:rPr>
        <w:color w:val="3370ff"/>
      </w:rPr>
    </w:lvl>
  </w:abstractNum>
  <w:abstractNum w:abstractNumId="268366">
    <w:lvl>
      <w:numFmt w:val="bullet"/>
      <w:suff w:val="tab"/>
      <w:lvlText w:val="•"/>
      <w:rPr>
        <w:color w:val="3370ff"/>
      </w:rPr>
    </w:lvl>
  </w:abstractNum>
  <w:abstractNum w:abstractNumId="268367">
    <w:lvl>
      <w:numFmt w:val="bullet"/>
      <w:suff w:val="tab"/>
      <w:lvlText w:val="•"/>
      <w:rPr>
        <w:color w:val="3370ff"/>
      </w:rPr>
    </w:lvl>
  </w:abstractNum>
  <w:abstractNum w:abstractNumId="268368">
    <w:lvl>
      <w:numFmt w:val="bullet"/>
      <w:suff w:val="tab"/>
      <w:lvlText w:val="•"/>
      <w:rPr>
        <w:color w:val="3370ff"/>
      </w:rPr>
    </w:lvl>
  </w:abstractNum>
  <w:abstractNum w:abstractNumId="268369">
    <w:lvl>
      <w:start w:val="1"/>
      <w:numFmt w:val="decimal"/>
      <w:suff w:val="tab"/>
      <w:lvlText w:val="%1."/>
      <w:rPr>
        <w:color w:val="3370ff"/>
      </w:rPr>
    </w:lvl>
  </w:abstractNum>
  <w:abstractNum w:abstractNumId="268370">
    <w:lvl>
      <w:start w:val="2"/>
      <w:numFmt w:val="decimal"/>
      <w:suff w:val="tab"/>
      <w:lvlText w:val="%1."/>
      <w:rPr>
        <w:color w:val="3370ff"/>
      </w:rPr>
    </w:lvl>
  </w:abstractNum>
  <w:abstractNum w:abstractNumId="268371">
    <w:lvl>
      <w:start w:val="3"/>
      <w:numFmt w:val="decimal"/>
      <w:suff w:val="tab"/>
      <w:lvlText w:val="%1."/>
      <w:rPr>
        <w:color w:val="3370ff"/>
      </w:rPr>
    </w:lvl>
  </w:abstractNum>
  <w:abstractNum w:abstractNumId="268372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268351"/>
  </w:num>
  <w:num w:numId="2">
    <w:abstractNumId w:val="268352"/>
  </w:num>
  <w:num w:numId="3">
    <w:abstractNumId w:val="268353"/>
  </w:num>
  <w:num w:numId="4">
    <w:abstractNumId w:val="268354"/>
  </w:num>
  <w:num w:numId="5">
    <w:abstractNumId w:val="268355"/>
  </w:num>
  <w:num w:numId="6">
    <w:abstractNumId w:val="268356"/>
  </w:num>
  <w:num w:numId="7">
    <w:abstractNumId w:val="268357"/>
  </w:num>
  <w:num w:numId="8">
    <w:abstractNumId w:val="268358"/>
  </w:num>
  <w:num w:numId="9">
    <w:abstractNumId w:val="268359"/>
  </w:num>
  <w:num w:numId="10">
    <w:abstractNumId w:val="268360"/>
  </w:num>
  <w:num w:numId="11">
    <w:abstractNumId w:val="268361"/>
  </w:num>
  <w:num w:numId="12">
    <w:abstractNumId w:val="268362"/>
  </w:num>
  <w:num w:numId="13">
    <w:abstractNumId w:val="268363"/>
  </w:num>
  <w:num w:numId="14">
    <w:abstractNumId w:val="268364"/>
  </w:num>
  <w:num w:numId="15">
    <w:abstractNumId w:val="268365"/>
  </w:num>
  <w:num w:numId="16">
    <w:abstractNumId w:val="268366"/>
  </w:num>
  <w:num w:numId="17">
    <w:abstractNumId w:val="268367"/>
  </w:num>
  <w:num w:numId="18">
    <w:abstractNumId w:val="268368"/>
  </w:num>
  <w:num w:numId="19">
    <w:abstractNumId w:val="268369"/>
  </w:num>
  <w:num w:numId="20">
    <w:abstractNumId w:val="268370"/>
  </w:num>
  <w:num w:numId="21">
    <w:abstractNumId w:val="268371"/>
  </w:num>
  <w:num w:numId="22">
    <w:abstractNumId w:val="26837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2025-08-21T01:21:30Z</dcterms:created>
  <dc:creator>Apache POI</dc:creator>
</cp:coreProperties>
</file>