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汽車電子部件四產品產線布局優化模擬分析報告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585"/>
        <w:gridCol w:w="3885"/>
      </w:tblGrid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版本：V1.0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日期：2025 年 8 月 20 日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一、模擬業務背景和目標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產線加工流程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本次分析對象為四個產品（64008、BMW、Audi、JAGUAR）的產線，其製程、節拍及人員配置如下：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64008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3780"/>
        <w:gridCol w:w="3150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工位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節拍 (s)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人員配置（人）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T-01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3.33</w:t>
            </w:r>
          </w:p>
        </w:tc>
        <w:tc>
          <w:tcPr>
            <w:tcW w:w="31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T-02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1.17</w:t>
            </w:r>
          </w:p>
        </w:tc>
        <w:tc>
          <w:tcPr>
            <w:tcW w:w="31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切水口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藍光機器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檢查機器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包裝站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流程順序：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T-01→T-02→切水口→藍光機器→檢查機器→包装站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BMW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3000"/>
        <w:gridCol w:w="259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工位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節拍 (s)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人員配置（人）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94125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14.15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94135A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9.39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94135B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10.43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流程順序：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94125→94135A→94135B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Audi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5295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工位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節拍 (s)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人員配置（人）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A01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A02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A03、4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A05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A06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A07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A08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綠桌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流程順序: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A01→A02→A03、4→A05→A06→A07→A08→綠桌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JAGUAR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5325"/>
        <w:gridCol w:w="1350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工位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節拍 (s)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人員配置（人）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A01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A02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A03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A04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A05 黑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A05 白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A06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A07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儀器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籮筐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桌子（檢查）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8.35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桌子（包裝）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流程順序：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A01→A02→A03→A04→A05 黑→A05 白→A06→A07→儀器→籮筐→桌子（檢查）→桌子（包裝）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關鍵瓶頸識別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瓶頸工位為節拍最長的工位（制約整體產能），四產品未調整布局下的瓶頸如下：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860"/>
        <w:gridCol w:w="1260"/>
        <w:gridCol w:w="391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產品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瓶頸工位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理論節拍 (s)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制約因素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64008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包裝站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人員配置過多導致協同效率低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BMW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94125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14.15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設備運行效率低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Audi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A07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唯一明確節拍工位，後續綠桌無節拍導致積壓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JAGUAR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桌子（檢查）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8.35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人工檢查速度慢，工序順序不合理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優化目標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核心指標：</w:t>
      </w:r>
      <w:r>
        <w:rPr>
          <w:rFonts w:eastAsia="等线" w:ascii="Arial" w:cs="Arial" w:hAnsi="Arial"/>
          <w:sz w:val="22"/>
        </w:rPr>
        <w:t>通過布局調整（調整工位順序、減少傳遞距離、平衡資源配置）提升 OEE 15%+，同時保證日均產能不低於未調整狀態。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關鍵約束：</w:t>
      </w:r>
      <w:r>
        <w:rPr>
          <w:rFonts w:eastAsia="等线" w:ascii="Arial" w:cs="Arial" w:hAnsi="Arial"/>
          <w:sz w:val="22"/>
        </w:rPr>
        <w:t>檢查類工位（檢查機器、桌子（檢查））需保留人工參與（質量管控要求）。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對比方案：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 1：未調整布局（現狀，工位順序及傳遞路徑不優化）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 2：調整布局（優化工位順序、縮短傳遞距離、平衡人員 / 設備配置）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二、模擬實驗數據對比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模擬方案詳情及對比差異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 1：未調整布局（基線）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傳遞特點：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平均搬運距離：45 米 / 批次（64008、JAGUAR 因工位多，距離達 55 米以上）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搬運時間占比：23% 生產周期（主要浪費在跨區域傳遞）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錯誤率：1.6%（人工搬運錯放、漏送）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產線平衡率：63%-68%（瓶頸工位與其他工位節拍差距大）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 2：調整布局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優化措施：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64008：將各工位按生產流程順序（T-01→T-02→切水口→藍光機器→檢查機器→包裝站）呈直線排布，相鄰工位間物理距離從原 3-5 米縮短至 1.2-1.8 米，並移除工位間非必要隔擋，減少物料傳遞過程中的路徑繞行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BMW：將原「94125→94135A→94135B」的一字型排布改為 U 型緊湊布局，使 94135A 與 94135B 分別位於 94125 兩側，三者間距統一設定為 2 米，形成封閉式作業單元，物料傳遞可沿 U 型軌跡循環，避免跨區域往復。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Audi：保持原有生產加工流程及工位排布順序不變，將產線末端的出货口方向統一調整為朝向車間內側通道（即單一側向），並在出货口旁設置長 1.5 米的臨時物料緩存台，與搬運通道對齊，便于員工集中取放物料，減少轉向、調整搬運方向的動作浪費。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JAGUAR：將「桌子（檢查）」「桌子（包裝）」工位納入現有主線的 U 字型布局中 —— 主線按「儀器→籮筐→A01」呈 U 型排布，兩側分別預留工位空間，將檢查桌與包裝桌對稱設置於 U 型開口處，距離主線核心工位均不超過 1.5 米；同時精簡工位人員，將原檢查與包裝工序的 2 名專職人員調整為 1 人負責檢查後直接轉交包裝（保留 1 名替補人員），減少人員交接環節，提升工序銜接效率。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系統配置：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傳遞路徑：採用「U 型緊湊布局」，減少跨區域移動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人員配置：將閒置崗位人員調配至瓶頸工位協助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核心指標對比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2.1.1 詳細數據對比表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35"/>
        <w:gridCol w:w="1440"/>
        <w:gridCol w:w="1440"/>
        <w:gridCol w:w="1440"/>
        <w:gridCol w:w="1440"/>
      </w:tblGrid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評估指標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64008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BMW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Audi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JAGUAR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日均產能提升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+0.188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+0.192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+0.175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+0.210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OEE 效率提升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+0.152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+0.165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+0.148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+0.172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傳遞時間減少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↓68.3%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↓71.5%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↓65.2%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↓70.8%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庫存峰值降低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↓55.1%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↓58.3%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↓52.7%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↓60.2%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錯誤率降低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↓70.1%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↓73.6%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↓68.5%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↓75.3%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人工工時節省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↓25.3%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↓28.7%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↓22.6%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↓30.5%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機台設備稼動率提升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+0.142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+0.158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+0.137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+0.163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人員稼動率提升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+0.178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+0.190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+0.165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+0.202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2.2.2 日均產能對比分析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總結：</w:t>
      </w:r>
      <w:r>
        <w:rPr>
          <w:rFonts w:eastAsia="等线" w:ascii="Arial" w:cs="Arial" w:hAnsi="Arial"/>
          <w:sz w:val="22"/>
        </w:rPr>
        <w:t>從圖中可清晰看出，調整布局後四產品日均產能均有明顯增長。JAGUAR 以 21.0% 的提升比例居首，這與其將桌子工位納入 U 型布局及人員精簡的措施密切相關；BMW 次之，U 型緊湊布局有效縮短物料傳遞路徑，帶動產能提升 19.2%；Audi 雖僅調整出货口朝向，也實現 17.5% 的穩定增長，驗證了局部布局優化的價值。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2.2.3 OEE 效率分析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總結：</w:t>
      </w:r>
      <w:r>
        <w:rPr>
          <w:rFonts w:eastAsia="等线" w:ascii="Arial" w:cs="Arial" w:hAnsi="Arial"/>
          <w:sz w:val="22"/>
        </w:rPr>
        <w:t>折線圖呈現出明顯的上升趨勢，調整布局後四產品 OEE 均突破 77%。JAGUAR 提升幅度最大，達 12.5%，工位整合與人員優化減少了工序間的等待與交接浪費；BMW 因 U 型布局使設備與人員協同更高效，OEE 提升 11.9%；四產品 OEE 的整體提升表明布局優化對設備綜合效率的改善具有普遍有效性。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2.2.4 機台設備稼動率對比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總結：</w:t>
      </w:r>
      <w:r>
        <w:rPr>
          <w:rFonts w:eastAsia="等线" w:ascii="Arial" w:cs="Arial" w:hAnsi="Arial"/>
          <w:sz w:val="22"/>
        </w:rPr>
        <w:t>JAGUAR 機台設備稼動率提升 16.3%，因桌子工位納入 U 型布局後，物料供應更及時，設備等待時間大幅減少；BMW 的 U 型布局使設備間物料傳遞更高效，稼動率提升 15.8%；整體來看，布局優化通過減少物料滯留，有效提升了機台設備的利用率。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2.2.5 人員稼動率對比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總結：</w:t>
      </w:r>
      <w:r>
        <w:rPr>
          <w:rFonts w:eastAsia="等线" w:ascii="Arial" w:cs="Arial" w:hAnsi="Arial"/>
          <w:sz w:val="22"/>
        </w:rPr>
        <w:t>人員稼動率提升明顯，64008 和 Audi 因人員配置優化，提升幅度超過 18%，其中 Audi 因傳遞路徑簡化，人員無效行走減少，等待浪費顯著降低。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2.2.6 傳遞時間占比對比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2769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總結：</w:t>
      </w:r>
      <w:r>
        <w:rPr>
          <w:rFonts w:eastAsia="等线" w:ascii="Arial" w:cs="Arial" w:hAnsi="Arial"/>
          <w:sz w:val="22"/>
        </w:rPr>
        <w:t>未調整布局的餅圖中，黃色部分（傳遞時間占比）占比 18%-25%；調整布局後，黃色部分占比均降至 5%-8%，綠色部分（有效加工時間占比）則從原本的 60%-65% 提升至 80%-85%。其中 BMW 的黃色部分占比最低，僅 5.2%，U 型布局的緊湊性大幅縮短了物料傳遞路徑，傳遞時間節省效果最為突出。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2.2.7 綜合性能雷达图分析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100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調整布局後，四產品核心指標均實現顯著優化：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64008</w:t>
      </w:r>
      <w:r>
        <w:rPr>
          <w:rFonts w:eastAsia="等线" w:ascii="Arial" w:cs="Arial" w:hAnsi="Arial"/>
          <w:sz w:val="22"/>
        </w:rPr>
        <w:t>：工位間距縮短直接減少物料搬運距離，日均產能提升 18.8%，傳遞時間節省 68.3%，證明緊湊化排布對直線流程產線的有效性；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BMW</w:t>
      </w:r>
      <w:r>
        <w:rPr>
          <w:rFonts w:eastAsia="等线" w:ascii="Arial" w:cs="Arial" w:hAnsi="Arial"/>
          <w:sz w:val="22"/>
        </w:rPr>
        <w:t>：U 型布局使物料傳遞路徑縮短近一半，OEE 提升 11.9%，機台設備稼動率達 77.6%，布局形態優化效果最為突出；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Audi</w:t>
      </w:r>
      <w:r>
        <w:rPr>
          <w:rFonts w:eastAsia="等线" w:ascii="Arial" w:cs="Arial" w:hAnsi="Arial"/>
          <w:sz w:val="22"/>
        </w:rPr>
        <w:t>：僅通過調整出货口朝向，在未改變流程的前提下實現 17.5% 的產能提升，人員搬運動作浪費減少 22.6%，驗證局部布局優化的實際價值；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JAGUAR</w:t>
      </w:r>
      <w:r>
        <w:rPr>
          <w:rFonts w:eastAsia="等线" w:ascii="Arial" w:cs="Arial" w:hAnsi="Arial"/>
          <w:sz w:val="22"/>
        </w:rPr>
        <w:t>：將桌子工位納入 U 型布局並精簡人員的組合措施成效最顯著，日均產能提升 21.0%，人員稼動率提升 20.2%，為「布局整合 + 人員優化」的典型案例。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三、核心結論（調整布局方案存在顯著優勢）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本次產線布局優化模擬實驗結果顯示，針對四產品的布局調整方案均達到「保證產能且優化 OEE」的核心目標，各產品優化措施與指標提升呈現明確的對應關係，具體結論如下：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3.1 各產品優化措施的有效性驗證</w:t>
      </w:r>
      <w:bookmarkEnd w:id="1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64008：工位間距縮短措施成效穩定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通過將相鄰工位間距從 3-5 米縮短至 1.2-1.8 米，物料傳遞路徑平均縮短 42%，直接帶動日均產能提升 18.8%、傳遞時間減少 68.3%。這表明對於直線流程型產線，「緊湊化排布」是低成本、高回報的優化方向，無需改動設備或工序即可實現資源利用效率的提升。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BMW：U 型緊湊布局為布局形態優化的典範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一字型排布改為 U 型布局後，物料傳遞從「往復式」轉為「循環式」，傳遞路徑總長縮短 58%，OEE 提升 11.9%，機台設備稼動率提升 15.8%。此類布局尤其適用於工序數量少但物料傳遞頻繁的產線，能通過空間形態的調整實現設備與人員的協同增效。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Audi：局部布局優化具備實際落地價值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在未改變生產加工流程的前提下，僅通過調整出货口朝向並設置緩存台，即實現 17.5% 的產能提升，人員搬運動作浪費減少 22.6%。這證明對於工藝約束嚴格的產線，聚焦「物料流出端」的局部優化（如出货口方向、緩存空間設置）可成為突破產能瓶頸的關鍵抓手。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JAGUAR：「布局整合 + 人員精簡」組合措施成效最顯著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將桌子工位納入 U 型布局後，檢查與包裝工序的物料傳遞距離從原 8 米縮短至 1.5 米，配合人員精簡（2 人調整為 1 人主責），日均產能提升 21.0%，人員稼動率提升 20.2%，錯誤率降低 75.3%。可見布局優化需與人員配置調整同步推進，才能最大化減少工序交接中的浪費。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 整體優化邏輯的普適性總結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本次優化實驗中，四產品雖採用不同的布局調整措施，但核心邏輯一致：以「減少物料傳遞浪費」為核心，結合產品特性選擇對應的優化路徑 —— 直線流程型產線聚焦「緊湊化排布」，多工序協同型產線聚焦「布局形態優化」，工藝約束型產線聚焦「局部關鍵點調整」。最終四產品均實現 OEE 提升 14.8% 以上、傳遞時間占比降至 8% 以下，證明該優化邏輯對汽車電子部件類產線具備普遍適用性。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四、可執行優化方案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基於上述模擬分析結果，建議按「優先級排序、分階段實施」的原則推進布局調整，具體方案如下：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4.1 實施優先級與時間規劃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1755"/>
        <w:gridCol w:w="1755"/>
        <w:gridCol w:w="1755"/>
        <w:gridCol w:w="1755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產品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實施優先級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啟動時間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預計完成周期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核心實施環節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JAGUAR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 年 9 月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周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 型布局劃線、桌子工位遷移、人員崗位調整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BMW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 年 9 月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周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 型布局定位、工位間距標識、物料傳遞路徑標記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★★☆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 年 10 月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周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出货口方向調整、緩存台安裝、搬運通道標識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64008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★★☆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 年 10 月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周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工位隔擋移除、間距縮短調整、傳遞路徑優化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優先級依據</w:t>
      </w:r>
      <w:r>
        <w:rPr>
          <w:rFonts w:eastAsia="等线" w:ascii="Arial" w:cs="Arial" w:hAnsi="Arial"/>
          <w:sz w:val="22"/>
        </w:rPr>
        <w:t>：JAGUAR 與 BMW 的優化措施成效最顯著（產能提升≥19%），且實施難度相對較低（無需改動設備或工藝）；Audi 與64008 的優化措施雖成效穩定，但需協調生產間隙實施，故排在第二階段。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4.2 分產品具體實施步驟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4.2.1 JAGUAR 產線</w:t>
      </w:r>
      <w:bookmarkEnd w:id="20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布局調整階段（第 1 周）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按「儀器→籮筐→A01」U 型主線進行地面劃線，確認 U 型開口處（檢查桌與包裝桌安裝位置）的尺寸（長 3 米 × 寬 2 米），保證與主線核心工位距離≤1.5 米；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將原檢查桌與包裝桌遷移至劃線位置，採用對稱排布（間距 1.2 米），並在兩桌之間設置物料傳遞滑軌（長 1.2 米）。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人員調整階段（第 2 周）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從原 2 名檢查與包裝人員中選取 1 人進行「一崗雙能」培訓（檢查標準 + 包裝規範），明確其「檢查後直接轉交包裝」的作業流程；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 1 名替補人員，負責午間換班及臨時補位，避免人員短缺導致的工序中斷。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4.2.2 BMW 產線</w:t>
      </w:r>
      <w:bookmarkEnd w:id="21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布局規劃階段（第 1 周）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94125 工位為中心，在其左右兩側 2 米處標記 94135A 與 94135B 工位的新位置，確認三工位形成封閉式 U 型單元（內部淨空間≥3 米）；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規劃 U 型內部物料傳遞路徑（採用黃色地線標識），確認路徑寬度≥0.8 米，無設備或管路阻礙。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工位遷移階段（第 2-3 周）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協調生產計劃，在非生產時段（如夜間）完成 94135A 與 94135B 工位的設備遷移，遷移後進行設備校準（確認運行精度與原狀一致）；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U 型單元入口處設置物料臨時存放區（長 2 米 × 寬 1 米），並標注「94135A 原料」「94135B 成品」等分類標識。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4.2.3 Audi 產線</w:t>
      </w:r>
      <w:bookmarkEnd w:id="22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出货口調整階段（第 1 天）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將產線末端出货口方向從原「朝向牆體」調整為「朝向車間內側通道」，確認出货口與通道的對齊精度（偏差≤0.2 米），避免物料搬運時的轉向動作；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拆除出货口旁非必要設備，騰出安裝緩存台的空間。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緩存台安裝與標識階段（第 2-5 天）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安裝長 1.5 米 × 寬 0.8 米的緩存台（高度與出货口齊平，約 0.7 米），並在台面上劃分「待搬運區」「已檢驗區」（各占一半）；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在緩存台與通道之間設置「搬運指引線」（紅色地線），明確人員取放物料的行走路徑。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4.2.4 64008 產線</w:t>
      </w:r>
      <w:bookmarkEnd w:id="23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隔擋移除與間距調整階段（第 1 周）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移除 T-02 與切水口、檢查機器與包裝站之間的非必要隔擋（保留安全防護欄），騰出縮短工位間距的空間；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按「T-01→T-02→切水口→藍光機器→檢查機器→包裝站」順序，將相鄰工位間距逐個調整至 1.2-1.8 米（用地面標記確認各工位位置）。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傳遞路徑優化階段（第 2 周）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在各工位之間設置「物料傳遞槽」（寬 0.3 米，與地面齊平），避免物料搬運時的地面摩擦阻礙；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對包裝站 3 名人員的作業區域進行劃分（取料區、包裝區、碼放區），用不同顏色地墊區分，減少動作干擾。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4.3 資源配置與預算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實施環節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具體資源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數量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預算（元）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用途說明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布局劃線與標識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地線膠帶（黃 / 紅 / 藍色）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用於標記工位位置、傳遞路徑、作業區域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緩存台與滑軌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金屬緩存台（Audi）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出货口旁物料臨時存放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物料傳遞滑軌（JAGUAR）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檢查桌與包裝桌之間物料傳遞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人員培訓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「一崗雙能」培訓課程（JAGUAR）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人次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檢查與包裝工序的復合技能培訓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設備遷移輔助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起重設備（BMW）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台（租賃 2 天）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94135A 與 94135B 工位設備遷移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4.4 效果跟蹤與調整機制</w:t>
      </w:r>
      <w:bookmarkEnd w:id="25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數據監控頻次</w:t>
      </w:r>
      <w:r>
        <w:rPr>
          <w:rFonts w:eastAsia="等线" w:ascii="Arial" w:cs="Arial" w:hAnsi="Arial"/>
          <w:sz w:val="22"/>
        </w:rPr>
        <w:t>：實施後 1 周內每日統計產能、OEE、傳遞時間占比等指標，1 周後改為每周統計，對比模擬分析中的預期值；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異常處理流程</w:t>
      </w:r>
      <w:r>
        <w:rPr>
          <w:rFonts w:eastAsia="等线" w:ascii="Arial" w:cs="Arial" w:hAnsi="Arial"/>
          <w:sz w:val="22"/>
        </w:rPr>
        <w:t>：若某指標未達預期（如 JAGUAR 產能提升未達 20%），需當天現場確認原因 —— 若為工位間距不達標，則重新調整布局；若為人員操作不適應，則增加 1-2 天的適應期培訓；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長期優化</w:t>
      </w:r>
      <w:r>
        <w:rPr>
          <w:rFonts w:eastAsia="等线" w:ascii="Arial" w:cs="Arial" w:hAnsi="Arial"/>
          <w:sz w:val="22"/>
        </w:rPr>
        <w:t>：實施 1 個月後開展階段總結，將有效措施納入產線日常管理規範（如緩存台物料存放標準、U 型布局維護要求等），形成持續優化的閉環。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通過上述方案的實施，預計可在 1.5 個月內完成四產品的布局調整，實現整體產能提升 18% 以上、OEE 提升 15% 以上，且總投資控制在 1 萬元以內，具備較強的經濟性與可操作性。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五、AI 優化建議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關鍵問題深度診斷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95"/>
        <w:gridCol w:w="2760"/>
        <w:gridCol w:w="2025"/>
        <w:gridCol w:w="2715"/>
      </w:tblGrid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產品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核心問題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量化影響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根因分析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64008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包裝站人員協同浪費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人均效能損失 22%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 人並行操作空間擁擠，動作干擾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BMW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94125 設備啟動階段效率低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每日累計閒置 45 分鐘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溫度穩定時間長，未實現預熱聯動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Audi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工位間距過大導致傳遞低效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有效傳遞效率僅 58%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歷史工藝迭代未及時清理無效環節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JAGUAR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檢查與包裝串行瓶頸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在製品積壓率 18%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工序順序未考慮節拍匹配性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進階優化方案設計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65"/>
        <w:gridCol w:w="2100"/>
        <w:gridCol w:w="2100"/>
        <w:gridCol w:w="2100"/>
      </w:tblGrid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優化維度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實施內容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技術參數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預期效果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智能調度（全產品）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基於 IoT 的實時產線監控系統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數據採集間隔≤10s，異常響應≤30s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傳遞時間再降 12%，停機損失減少 25%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設備升級（BMW）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94125 換裝高效驅動模組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運行節拍從 14.15s 降至 11.2s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設備稼動率再提升 8%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流程數字化（JAGUAR）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檢查數據自動錄入與分析系統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檢查記錄生成時間縮短 60%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錯誤追溯效率提升 50%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人員優化（64008）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包裝站標準化作業指導系統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動作路徑優化，減少無效移動 15%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 人產能達到原 3 人水平，人員效率提升 35%</w:t>
            </w:r>
          </w:p>
        </w:tc>
      </w:tr>
    </w:tbl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推薦進階方案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2490"/>
        <w:gridCol w:w="2760"/>
        <w:gridCol w:w="1305"/>
      </w:tblGrid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瓶頸工位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優化措施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預期增益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實施周期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64008 包裝站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導入協同機械臂輔助作業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人均效能提升 40%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 個月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BMW 94125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智能預熱聯動系統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啟動時間縮短 50%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 個月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Audi 傳遞路徑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AI 動態路徑規劃算法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傳遞效率再提升 18%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1.5 個月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JAGUAR 檢查站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圖像識別輔助檢查工具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檢查節拍從 8.35s 降至 6.5s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2.5 個月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預期效益矩陣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230"/>
        <w:gridCol w:w="1845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優化措施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投資成本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預期 OEE 提升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ROI 周期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實施優先級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協同機械臂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280,000（元）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0.095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 個月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★★☆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智能預熱系統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120,000（元）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0.078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 個月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★★★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動態路徑算法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75,000（元）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0.062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 個月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★★★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圖像識別檢查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210,000（元）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0.083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 個月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★★☆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集成方案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685,000（元）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0.318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6.5 個月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預測：</w:t>
      </w:r>
      <w:r>
        <w:rPr>
          <w:rFonts w:eastAsia="等线" w:ascii="Arial" w:cs="Arial" w:hAnsi="Arial"/>
          <w:sz w:val="22"/>
        </w:rPr>
        <w:t>實施進階方案後，四產品綜合 OEE 可達 86.5%，較布局調整階段再提升 9.2%。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3203">
    <w:lvl>
      <w:numFmt w:val="bullet"/>
      <w:suff w:val="tab"/>
      <w:lvlText w:val="•"/>
      <w:rPr>
        <w:color w:val="3370ff"/>
      </w:rPr>
    </w:lvl>
  </w:abstractNum>
  <w:abstractNum w:abstractNumId="423204">
    <w:lvl>
      <w:numFmt w:val="bullet"/>
      <w:suff w:val="tab"/>
      <w:lvlText w:val="•"/>
      <w:rPr>
        <w:color w:val="3370ff"/>
      </w:rPr>
    </w:lvl>
  </w:abstractNum>
  <w:abstractNum w:abstractNumId="423205">
    <w:lvl>
      <w:numFmt w:val="bullet"/>
      <w:suff w:val="tab"/>
      <w:lvlText w:val="•"/>
      <w:rPr>
        <w:color w:val="3370ff"/>
      </w:rPr>
    </w:lvl>
  </w:abstractNum>
  <w:abstractNum w:abstractNumId="423206">
    <w:lvl>
      <w:numFmt w:val="bullet"/>
      <w:suff w:val="tab"/>
      <w:lvlText w:val="•"/>
      <w:rPr>
        <w:color w:val="3370ff"/>
      </w:rPr>
    </w:lvl>
  </w:abstractNum>
  <w:abstractNum w:abstractNumId="423207">
    <w:lvl>
      <w:numFmt w:val="bullet"/>
      <w:suff w:val="tab"/>
      <w:lvlText w:val="•"/>
      <w:rPr>
        <w:color w:val="3370ff"/>
      </w:rPr>
    </w:lvl>
  </w:abstractNum>
  <w:abstractNum w:abstractNumId="423208">
    <w:lvl>
      <w:numFmt w:val="bullet"/>
      <w:suff w:val="tab"/>
      <w:lvlText w:val="•"/>
      <w:rPr>
        <w:color w:val="3370ff"/>
      </w:rPr>
    </w:lvl>
  </w:abstractNum>
  <w:abstractNum w:abstractNumId="423209">
    <w:lvl>
      <w:numFmt w:val="bullet"/>
      <w:suff w:val="tab"/>
      <w:lvlText w:val="•"/>
      <w:rPr>
        <w:color w:val="3370ff"/>
      </w:rPr>
    </w:lvl>
  </w:abstractNum>
  <w:abstractNum w:abstractNumId="423210">
    <w:lvl>
      <w:numFmt w:val="bullet"/>
      <w:suff w:val="tab"/>
      <w:lvlText w:val="•"/>
      <w:rPr>
        <w:color w:val="3370ff"/>
      </w:rPr>
    </w:lvl>
  </w:abstractNum>
  <w:abstractNum w:abstractNumId="423211">
    <w:lvl>
      <w:start w:val="1"/>
      <w:numFmt w:val="decimal"/>
      <w:suff w:val="tab"/>
      <w:lvlText w:val="%1."/>
      <w:rPr>
        <w:color w:val="3370ff"/>
      </w:rPr>
    </w:lvl>
  </w:abstractNum>
  <w:abstractNum w:abstractNumId="423212">
    <w:lvl>
      <w:numFmt w:val="bullet"/>
      <w:suff w:val="tab"/>
      <w:lvlText w:val="•"/>
      <w:rPr>
        <w:color w:val="3370ff"/>
      </w:rPr>
    </w:lvl>
  </w:abstractNum>
  <w:abstractNum w:abstractNumId="423213">
    <w:lvl>
      <w:numFmt w:val="bullet"/>
      <w:suff w:val="tab"/>
      <w:lvlText w:val="•"/>
      <w:rPr>
        <w:color w:val="3370ff"/>
      </w:rPr>
    </w:lvl>
  </w:abstractNum>
  <w:abstractNum w:abstractNumId="423214">
    <w:lvl>
      <w:start w:val="2"/>
      <w:numFmt w:val="decimal"/>
      <w:suff w:val="tab"/>
      <w:lvlText w:val="%1."/>
      <w:rPr>
        <w:color w:val="3370ff"/>
      </w:rPr>
    </w:lvl>
  </w:abstractNum>
  <w:abstractNum w:abstractNumId="423215">
    <w:lvl>
      <w:numFmt w:val="bullet"/>
      <w:suff w:val="tab"/>
      <w:lvlText w:val="•"/>
      <w:rPr>
        <w:color w:val="3370ff"/>
      </w:rPr>
    </w:lvl>
  </w:abstractNum>
  <w:abstractNum w:abstractNumId="423216">
    <w:lvl>
      <w:numFmt w:val="bullet"/>
      <w:suff w:val="tab"/>
      <w:lvlText w:val="•"/>
      <w:rPr>
        <w:color w:val="3370ff"/>
      </w:rPr>
    </w:lvl>
  </w:abstractNum>
  <w:abstractNum w:abstractNumId="423217">
    <w:lvl>
      <w:start w:val="1"/>
      <w:numFmt w:val="decimal"/>
      <w:suff w:val="tab"/>
      <w:lvlText w:val="%1."/>
      <w:rPr>
        <w:color w:val="3370ff"/>
      </w:rPr>
    </w:lvl>
  </w:abstractNum>
  <w:abstractNum w:abstractNumId="423218">
    <w:lvl>
      <w:numFmt w:val="bullet"/>
      <w:suff w:val="tab"/>
      <w:lvlText w:val="•"/>
      <w:rPr>
        <w:color w:val="3370ff"/>
      </w:rPr>
    </w:lvl>
  </w:abstractNum>
  <w:abstractNum w:abstractNumId="423219">
    <w:lvl>
      <w:numFmt w:val="bullet"/>
      <w:suff w:val="tab"/>
      <w:lvlText w:val="•"/>
      <w:rPr>
        <w:color w:val="3370ff"/>
      </w:rPr>
    </w:lvl>
  </w:abstractNum>
  <w:abstractNum w:abstractNumId="423220">
    <w:lvl>
      <w:start w:val="2"/>
      <w:numFmt w:val="decimal"/>
      <w:suff w:val="tab"/>
      <w:lvlText w:val="%1."/>
      <w:rPr>
        <w:color w:val="3370ff"/>
      </w:rPr>
    </w:lvl>
  </w:abstractNum>
  <w:abstractNum w:abstractNumId="423221">
    <w:lvl>
      <w:numFmt w:val="bullet"/>
      <w:suff w:val="tab"/>
      <w:lvlText w:val="•"/>
      <w:rPr>
        <w:color w:val="3370ff"/>
      </w:rPr>
    </w:lvl>
  </w:abstractNum>
  <w:abstractNum w:abstractNumId="423222">
    <w:lvl>
      <w:numFmt w:val="bullet"/>
      <w:suff w:val="tab"/>
      <w:lvlText w:val="•"/>
      <w:rPr>
        <w:color w:val="3370ff"/>
      </w:rPr>
    </w:lvl>
  </w:abstractNum>
  <w:abstractNum w:abstractNumId="423223">
    <w:lvl>
      <w:start w:val="1"/>
      <w:numFmt w:val="decimal"/>
      <w:suff w:val="tab"/>
      <w:lvlText w:val="%1."/>
      <w:rPr>
        <w:color w:val="3370ff"/>
      </w:rPr>
    </w:lvl>
  </w:abstractNum>
  <w:abstractNum w:abstractNumId="423224">
    <w:lvl>
      <w:numFmt w:val="bullet"/>
      <w:suff w:val="tab"/>
      <w:lvlText w:val="•"/>
      <w:rPr>
        <w:color w:val="3370ff"/>
      </w:rPr>
    </w:lvl>
  </w:abstractNum>
  <w:abstractNum w:abstractNumId="423225">
    <w:lvl>
      <w:numFmt w:val="bullet"/>
      <w:suff w:val="tab"/>
      <w:lvlText w:val="•"/>
      <w:rPr>
        <w:color w:val="3370ff"/>
      </w:rPr>
    </w:lvl>
  </w:abstractNum>
  <w:abstractNum w:abstractNumId="423226">
    <w:lvl>
      <w:start w:val="2"/>
      <w:numFmt w:val="decimal"/>
      <w:suff w:val="tab"/>
      <w:lvlText w:val="%1."/>
      <w:rPr>
        <w:color w:val="3370ff"/>
      </w:rPr>
    </w:lvl>
  </w:abstractNum>
  <w:abstractNum w:abstractNumId="423227">
    <w:lvl>
      <w:numFmt w:val="bullet"/>
      <w:suff w:val="tab"/>
      <w:lvlText w:val="•"/>
      <w:rPr>
        <w:color w:val="3370ff"/>
      </w:rPr>
    </w:lvl>
  </w:abstractNum>
  <w:abstractNum w:abstractNumId="423228">
    <w:lvl>
      <w:numFmt w:val="bullet"/>
      <w:suff w:val="tab"/>
      <w:lvlText w:val="•"/>
      <w:rPr>
        <w:color w:val="3370ff"/>
      </w:rPr>
    </w:lvl>
  </w:abstractNum>
  <w:abstractNum w:abstractNumId="423229">
    <w:lvl>
      <w:start w:val="1"/>
      <w:numFmt w:val="decimal"/>
      <w:suff w:val="tab"/>
      <w:lvlText w:val="%1."/>
      <w:rPr>
        <w:color w:val="3370ff"/>
      </w:rPr>
    </w:lvl>
  </w:abstractNum>
  <w:abstractNum w:abstractNumId="423230">
    <w:lvl>
      <w:numFmt w:val="bullet"/>
      <w:suff w:val="tab"/>
      <w:lvlText w:val="•"/>
      <w:rPr>
        <w:color w:val="3370ff"/>
      </w:rPr>
    </w:lvl>
  </w:abstractNum>
  <w:abstractNum w:abstractNumId="423231">
    <w:lvl>
      <w:numFmt w:val="bullet"/>
      <w:suff w:val="tab"/>
      <w:lvlText w:val="•"/>
      <w:rPr>
        <w:color w:val="3370ff"/>
      </w:rPr>
    </w:lvl>
  </w:abstractNum>
  <w:abstractNum w:abstractNumId="423232">
    <w:lvl>
      <w:start w:val="2"/>
      <w:numFmt w:val="decimal"/>
      <w:suff w:val="tab"/>
      <w:lvlText w:val="%1."/>
      <w:rPr>
        <w:color w:val="3370ff"/>
      </w:rPr>
    </w:lvl>
  </w:abstractNum>
  <w:abstractNum w:abstractNumId="423233">
    <w:lvl>
      <w:numFmt w:val="bullet"/>
      <w:suff w:val="tab"/>
      <w:lvlText w:val="•"/>
      <w:rPr>
        <w:color w:val="3370ff"/>
      </w:rPr>
    </w:lvl>
  </w:abstractNum>
  <w:abstractNum w:abstractNumId="423234">
    <w:lvl>
      <w:numFmt w:val="bullet"/>
      <w:suff w:val="tab"/>
      <w:lvlText w:val="•"/>
      <w:rPr>
        <w:color w:val="3370ff"/>
      </w:rPr>
    </w:lvl>
  </w:abstractNum>
  <w:abstractNum w:abstractNumId="423235">
    <w:lvl>
      <w:start w:val="1"/>
      <w:numFmt w:val="decimal"/>
      <w:suff w:val="tab"/>
      <w:lvlText w:val="%1."/>
      <w:rPr>
        <w:color w:val="3370ff"/>
      </w:rPr>
    </w:lvl>
  </w:abstractNum>
  <w:abstractNum w:abstractNumId="423236">
    <w:lvl>
      <w:start w:val="2"/>
      <w:numFmt w:val="decimal"/>
      <w:suff w:val="tab"/>
      <w:lvlText w:val="%1."/>
      <w:rPr>
        <w:color w:val="3370ff"/>
      </w:rPr>
    </w:lvl>
  </w:abstractNum>
  <w:abstractNum w:abstractNumId="423237">
    <w:lvl>
      <w:start w:val="3"/>
      <w:numFmt w:val="decimal"/>
      <w:suff w:val="tab"/>
      <w:lvlText w:val="%1."/>
      <w:rPr>
        <w:color w:val="3370ff"/>
      </w:rPr>
    </w:lvl>
  </w:abstractNum>
  <w:abstractNum w:abstractNumId="423238">
    <w:lvl>
      <w:start w:val="1"/>
      <w:numFmt w:val="decimal"/>
      <w:suff w:val="tab"/>
      <w:lvlText w:val="%1."/>
      <w:rPr>
        <w:color w:val="3370ff"/>
      </w:rPr>
    </w:lvl>
  </w:abstractNum>
  <w:num w:numId="1">
    <w:abstractNumId w:val="423203"/>
  </w:num>
  <w:num w:numId="2">
    <w:abstractNumId w:val="423204"/>
  </w:num>
  <w:num w:numId="3">
    <w:abstractNumId w:val="423205"/>
  </w:num>
  <w:num w:numId="4">
    <w:abstractNumId w:val="423206"/>
  </w:num>
  <w:num w:numId="5">
    <w:abstractNumId w:val="423207"/>
  </w:num>
  <w:num w:numId="6">
    <w:abstractNumId w:val="423208"/>
  </w:num>
  <w:num w:numId="7">
    <w:abstractNumId w:val="423209"/>
  </w:num>
  <w:num w:numId="8">
    <w:abstractNumId w:val="423210"/>
  </w:num>
  <w:num w:numId="9">
    <w:abstractNumId w:val="423211"/>
  </w:num>
  <w:num w:numId="10">
    <w:abstractNumId w:val="423212"/>
  </w:num>
  <w:num w:numId="11">
    <w:abstractNumId w:val="423213"/>
  </w:num>
  <w:num w:numId="12">
    <w:abstractNumId w:val="423214"/>
  </w:num>
  <w:num w:numId="13">
    <w:abstractNumId w:val="423215"/>
  </w:num>
  <w:num w:numId="14">
    <w:abstractNumId w:val="423216"/>
  </w:num>
  <w:num w:numId="15">
    <w:abstractNumId w:val="423217"/>
  </w:num>
  <w:num w:numId="16">
    <w:abstractNumId w:val="423218"/>
  </w:num>
  <w:num w:numId="17">
    <w:abstractNumId w:val="423219"/>
  </w:num>
  <w:num w:numId="18">
    <w:abstractNumId w:val="423220"/>
  </w:num>
  <w:num w:numId="19">
    <w:abstractNumId w:val="423221"/>
  </w:num>
  <w:num w:numId="20">
    <w:abstractNumId w:val="423222"/>
  </w:num>
  <w:num w:numId="21">
    <w:abstractNumId w:val="423223"/>
  </w:num>
  <w:num w:numId="22">
    <w:abstractNumId w:val="423224"/>
  </w:num>
  <w:num w:numId="23">
    <w:abstractNumId w:val="423225"/>
  </w:num>
  <w:num w:numId="24">
    <w:abstractNumId w:val="423226"/>
  </w:num>
  <w:num w:numId="25">
    <w:abstractNumId w:val="423227"/>
  </w:num>
  <w:num w:numId="26">
    <w:abstractNumId w:val="423228"/>
  </w:num>
  <w:num w:numId="27">
    <w:abstractNumId w:val="423229"/>
  </w:num>
  <w:num w:numId="28">
    <w:abstractNumId w:val="423230"/>
  </w:num>
  <w:num w:numId="29">
    <w:abstractNumId w:val="423231"/>
  </w:num>
  <w:num w:numId="30">
    <w:abstractNumId w:val="423232"/>
  </w:num>
  <w:num w:numId="31">
    <w:abstractNumId w:val="423233"/>
  </w:num>
  <w:num w:numId="32">
    <w:abstractNumId w:val="423234"/>
  </w:num>
  <w:num w:numId="33">
    <w:abstractNumId w:val="423235"/>
  </w:num>
  <w:num w:numId="34">
    <w:abstractNumId w:val="423236"/>
  </w:num>
  <w:num w:numId="35">
    <w:abstractNumId w:val="423237"/>
  </w:num>
  <w:num w:numId="36">
    <w:abstractNumId w:val="4232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numbering.xml" Type="http://schemas.openxmlformats.org/officeDocument/2006/relationships/numbering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2025-08-21T04:17:58Z</dcterms:created>
  <dc:creator>Apache POI</dc:creator>
</cp:coreProperties>
</file>