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DFS白皮书</w:t>
      </w:r>
    </w:p>
    <w:p>
      <w:pPr>
        <w:spacing w:before="120" w:after="120" w:line="288" w:lineRule="auto"/>
        <w:ind w:left="0"/>
        <w:jc w:val="left"/>
      </w:pPr>
      <w:r>
        <w:rPr>
          <w:rFonts w:eastAsia="等线" w:ascii="Arial" w:cs="Arial" w:hAnsi="Arial"/>
          <w:b w:val="true"/>
          <w:sz w:val="22"/>
        </w:rPr>
        <w:t>副标题：</w:t>
      </w:r>
      <w:r>
        <w:rPr>
          <w:rFonts w:eastAsia="等线" w:ascii="Arial" w:cs="Arial" w:hAnsi="Arial"/>
          <w:sz w:val="22"/>
        </w:rPr>
        <w:t xml:space="preserve"> 构建企业数据核心能力，驱动业务持续增长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color w:val="3370ff"/>
          <w:sz w:val="30"/>
        </w:rPr>
        <w:t xml:space="preserve">1. </w:t>
      </w:r>
      <w:r>
        <w:rPr>
          <w:rFonts w:eastAsia="等线" w:ascii="Arial" w:cs="Arial" w:hAnsi="Arial"/>
          <w:b w:val="true"/>
          <w:sz w:val="30"/>
        </w:rPr>
        <w:t xml:space="preserve"> 封面</w:t>
      </w:r>
      <w:bookmarkEnd w:id="0"/>
    </w:p>
    <w:p>
      <w:pPr>
        <w:numPr>
          <w:numId w:val="1"/>
        </w:numPr>
        <w:spacing w:before="120" w:after="120" w:line="288" w:lineRule="auto"/>
        <w:ind w:left="0"/>
        <w:jc w:val="left"/>
      </w:pPr>
      <w:r>
        <w:rPr>
          <w:rFonts w:eastAsia="等线" w:ascii="Arial" w:cs="Arial" w:hAnsi="Arial"/>
          <w:sz w:val="22"/>
        </w:rPr>
        <w:t xml:space="preserve">Data Fusion Service  </w:t>
      </w:r>
    </w:p>
    <w:p>
      <w:pPr>
        <w:numPr>
          <w:numId w:val="2"/>
        </w:numPr>
        <w:spacing w:before="120" w:after="120" w:line="288" w:lineRule="auto"/>
        <w:ind w:left="0"/>
        <w:jc w:val="left"/>
      </w:pPr>
      <w:r>
        <w:rPr>
          <w:rFonts w:eastAsia="等线" w:ascii="Arial" w:cs="Arial" w:hAnsi="Arial"/>
          <w:sz w:val="22"/>
        </w:rPr>
        <w:t xml:space="preserve">核心价值标语（示例：*全域融合·智能治理·敏捷赋能*）  </w:t>
      </w:r>
    </w:p>
    <w:p>
      <w:pPr>
        <w:numPr>
          <w:numId w:val="3"/>
        </w:numPr>
        <w:spacing w:before="120" w:after="120" w:line="288" w:lineRule="auto"/>
        <w:ind w:left="0"/>
        <w:jc w:val="left"/>
      </w:pPr>
      <w:r>
        <w:rPr>
          <w:rFonts w:eastAsia="等线" w:ascii="Arial" w:cs="Arial" w:hAnsi="Arial"/>
          <w:sz w:val="22"/>
        </w:rPr>
        <w:t xml:space="preserve">DFS 7.4.0/发布日期  </w:t>
      </w:r>
    </w:p>
    <w:p>
      <w:pPr>
        <w:numPr>
          <w:numId w:val="4"/>
        </w:numPr>
        <w:spacing w:before="120" w:after="120" w:line="288" w:lineRule="auto"/>
        <w:ind w:left="0"/>
        <w:jc w:val="left"/>
      </w:pPr>
      <w:r>
        <w:rPr>
          <w:rFonts w:eastAsia="等线" w:ascii="Arial" w:cs="Arial" w:hAnsi="Arial"/>
          <w:sz w:val="22"/>
        </w:rPr>
        <w:t xml:space="preserve">DataMesh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2. </w:t>
      </w:r>
      <w:r>
        <w:rPr>
          <w:rFonts w:eastAsia="等线" w:ascii="Arial" w:cs="Arial" w:hAnsi="Arial"/>
          <w:b w:val="true"/>
          <w:sz w:val="30"/>
        </w:rPr>
        <w:t>执行摘要</w:t>
      </w:r>
      <w:bookmarkEnd w:id="1"/>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3. </w:t>
      </w:r>
      <w:r>
        <w:rPr>
          <w:rFonts w:eastAsia="等线" w:ascii="Arial" w:cs="Arial" w:hAnsi="Arial"/>
          <w:b w:val="true"/>
          <w:sz w:val="30"/>
        </w:rPr>
        <w:t>目录</w:t>
      </w:r>
      <w:bookmarkEnd w:id="2"/>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封面</w:t>
              </w:r>
            </w:hyperlink>
          </w:p>
          <w:p>
            <w:pPr>
              <w:spacing w:before="120" w:after="120" w:line="288" w:lineRule="auto"/>
            </w:pPr>
            <w:hyperlink w:anchor="heading_1">
              <w:r>
                <w:rPr>
                  <w:rFonts w:eastAsia="等线" w:ascii="Arial" w:cs="Arial" w:hAnsi="Arial"/>
                  <w:b w:val="true"/>
                  <w:sz w:val="22"/>
                </w:rPr>
                <w:t>2. 执行摘要</w:t>
              </w:r>
            </w:hyperlink>
          </w:p>
          <w:p>
            <w:pPr>
              <w:spacing w:before="120" w:after="120" w:line="288" w:lineRule="auto"/>
            </w:pPr>
            <w:hyperlink w:anchor="heading_2">
              <w:r>
                <w:rPr>
                  <w:rFonts w:eastAsia="等线" w:ascii="Arial" w:cs="Arial" w:hAnsi="Arial"/>
                  <w:b w:val="true"/>
                  <w:sz w:val="22"/>
                </w:rPr>
                <w:t>3. 目录</w:t>
              </w:r>
            </w:hyperlink>
          </w:p>
          <w:p>
            <w:pPr>
              <w:spacing w:before="120" w:after="120" w:line="288" w:lineRule="auto"/>
            </w:pPr>
            <w:hyperlink w:anchor="heading_3">
              <w:r>
                <w:rPr>
                  <w:rFonts w:eastAsia="等线" w:ascii="Arial" w:cs="Arial" w:hAnsi="Arial"/>
                  <w:b w:val="true"/>
                  <w:sz w:val="22"/>
                </w:rPr>
                <w:t>4. 数据驱动时代的挑战与行动指南</w:t>
              </w:r>
            </w:hyperlink>
          </w:p>
          <w:p>
            <w:pPr>
              <w:spacing w:before="120" w:after="120" w:line="288" w:lineRule="auto"/>
            </w:pPr>
            <w:hyperlink w:anchor="heading_4">
              <w:r>
                <w:rPr>
                  <w:rFonts w:eastAsia="等线" w:ascii="Arial" w:cs="Arial" w:hAnsi="Arial"/>
                  <w:b w:val="true"/>
                  <w:sz w:val="22"/>
                </w:rPr>
                <w:t xml:space="preserve">    4.1 核心挑战：</w:t>
              </w:r>
            </w:hyperlink>
          </w:p>
          <w:p>
            <w:pPr>
              <w:spacing w:before="120" w:after="120" w:line="288" w:lineRule="auto"/>
            </w:pPr>
            <w:hyperlink w:anchor="heading_5">
              <w:r>
                <w:rPr>
                  <w:rFonts w:eastAsia="等线" w:ascii="Arial" w:cs="Arial" w:hAnsi="Arial"/>
                  <w:b w:val="true"/>
                  <w:sz w:val="22"/>
                </w:rPr>
                <w:t xml:space="preserve">    4.2 行动指南：从挑战到机遇的实践路径：</w:t>
              </w:r>
            </w:hyperlink>
          </w:p>
          <w:p>
            <w:pPr>
              <w:spacing w:before="120" w:after="120" w:line="288" w:lineRule="auto"/>
            </w:pPr>
            <w:hyperlink w:anchor="heading_6">
              <w:r>
                <w:rPr>
                  <w:rFonts w:eastAsia="等线" w:ascii="Arial" w:cs="Arial" w:hAnsi="Arial"/>
                  <w:b w:val="true"/>
                  <w:sz w:val="22"/>
                </w:rPr>
                <w:t>5. 产品关键能力与业务场景赋能</w:t>
              </w:r>
            </w:hyperlink>
          </w:p>
          <w:p>
            <w:pPr>
              <w:spacing w:before="120" w:after="120" w:line="288" w:lineRule="auto"/>
            </w:pPr>
            <w:hyperlink w:anchor="heading_7">
              <w:r>
                <w:rPr>
                  <w:rFonts w:eastAsia="等线" w:ascii="Arial" w:cs="Arial" w:hAnsi="Arial"/>
                  <w:b w:val="true"/>
                  <w:sz w:val="22"/>
                </w:rPr>
                <w:t xml:space="preserve">    5.1  核心能力  </w:t>
              </w:r>
            </w:hyperlink>
          </w:p>
          <w:p>
            <w:pPr>
              <w:spacing w:before="120" w:after="120" w:line="288" w:lineRule="auto"/>
            </w:pPr>
            <w:hyperlink w:anchor="heading_8">
              <w:r>
                <w:rPr>
                  <w:rFonts w:eastAsia="等线" w:ascii="Arial" w:cs="Arial" w:hAnsi="Arial"/>
                  <w:b w:val="true"/>
                  <w:sz w:val="22"/>
                </w:rPr>
                <w:t xml:space="preserve">    5.2 典型业务场景赋能  </w:t>
              </w:r>
            </w:hyperlink>
          </w:p>
          <w:p>
            <w:pPr>
              <w:spacing w:before="120" w:after="120" w:line="288" w:lineRule="auto"/>
            </w:pPr>
            <w:hyperlink w:anchor="heading_9">
              <w:r>
                <w:rPr>
                  <w:rFonts w:eastAsia="等线" w:ascii="Arial" w:cs="Arial" w:hAnsi="Arial"/>
                  <w:b w:val="true"/>
                  <w:sz w:val="22"/>
                </w:rPr>
                <w:t>6. 产品全景：一站式、高效率、低门槛的数据能力中心</w:t>
              </w:r>
            </w:hyperlink>
          </w:p>
          <w:p>
            <w:pPr>
              <w:spacing w:before="120" w:after="120" w:line="288" w:lineRule="auto"/>
            </w:pPr>
            <w:hyperlink w:anchor="heading_10">
              <w:r>
                <w:rPr>
                  <w:rFonts w:eastAsia="等线" w:ascii="Arial" w:cs="Arial" w:hAnsi="Arial"/>
                  <w:b w:val="true"/>
                  <w:sz w:val="22"/>
                </w:rPr>
                <w:t xml:space="preserve">    6.1 整体架构图 ：</w:t>
              </w:r>
            </w:hyperlink>
          </w:p>
          <w:p>
            <w:pPr>
              <w:spacing w:before="120" w:after="120" w:line="288" w:lineRule="auto"/>
            </w:pPr>
            <w:hyperlink w:anchor="heading_11">
              <w:r>
                <w:rPr>
                  <w:rFonts w:eastAsia="等线" w:ascii="Arial" w:cs="Arial" w:hAnsi="Arial"/>
                  <w:b w:val="true"/>
                  <w:sz w:val="22"/>
                </w:rPr>
                <w:t xml:space="preserve">    6.2  各模块说明：</w:t>
              </w:r>
            </w:hyperlink>
          </w:p>
          <w:p>
            <w:pPr>
              <w:spacing w:before="120" w:after="120" w:line="288" w:lineRule="auto"/>
            </w:pPr>
            <w:hyperlink w:anchor="heading_12">
              <w:r>
                <w:rPr>
                  <w:rFonts w:eastAsia="等线" w:ascii="Arial" w:cs="Arial" w:hAnsi="Arial"/>
                  <w:b w:val="true"/>
                  <w:sz w:val="22"/>
                </w:rPr>
                <w:t xml:space="preserve">    6.3 各模块关联关系：</w:t>
              </w:r>
            </w:hyperlink>
          </w:p>
          <w:p>
            <w:pPr>
              <w:spacing w:before="120" w:after="120" w:line="288" w:lineRule="auto"/>
            </w:pPr>
            <w:hyperlink w:anchor="heading_13">
              <w:r>
                <w:rPr>
                  <w:rFonts w:eastAsia="等线" w:ascii="Arial" w:cs="Arial" w:hAnsi="Arial"/>
                  <w:b w:val="true"/>
                  <w:sz w:val="22"/>
                </w:rPr>
                <w:t xml:space="preserve">    6.4 功能说明：</w:t>
              </w:r>
            </w:hyperlink>
          </w:p>
          <w:p>
            <w:pPr>
              <w:spacing w:before="120" w:after="120" w:line="288" w:lineRule="auto"/>
            </w:pPr>
            <w:hyperlink w:anchor="heading_14">
              <w:r>
                <w:rPr>
                  <w:rFonts w:eastAsia="等线" w:ascii="Arial" w:cs="Arial" w:hAnsi="Arial"/>
                  <w:b w:val="true"/>
                  <w:sz w:val="22"/>
                </w:rPr>
                <w:t xml:space="preserve">        6.4.1 数据映射到3D场景</w:t>
              </w:r>
            </w:hyperlink>
          </w:p>
          <w:p>
            <w:pPr>
              <w:spacing w:before="120" w:after="120" w:line="288" w:lineRule="auto"/>
            </w:pPr>
            <w:hyperlink w:anchor="heading_15">
              <w:r>
                <w:rPr>
                  <w:rFonts w:eastAsia="等线" w:ascii="Arial" w:cs="Arial" w:hAnsi="Arial"/>
                  <w:b w:val="true"/>
                  <w:sz w:val="22"/>
                </w:rPr>
                <w:t xml:space="preserve">            6.4.1.1 数据接入并配置：</w:t>
              </w:r>
            </w:hyperlink>
          </w:p>
          <w:p>
            <w:pPr>
              <w:spacing w:before="120" w:after="120" w:line="288" w:lineRule="auto"/>
            </w:pPr>
            <w:hyperlink w:anchor="heading_16">
              <w:r>
                <w:rPr>
                  <w:rFonts w:eastAsia="等线" w:ascii="Arial" w:cs="Arial" w:hAnsi="Arial"/>
                  <w:b w:val="true"/>
                  <w:sz w:val="22"/>
                </w:rPr>
                <w:t xml:space="preserve">        6.4.2 数据映射到3D场景：</w:t>
              </w:r>
            </w:hyperlink>
          </w:p>
          <w:p>
            <w:pPr>
              <w:spacing w:before="120" w:after="120" w:line="288" w:lineRule="auto"/>
            </w:pPr>
            <w:hyperlink w:anchor="heading_17">
              <w:r>
                <w:rPr>
                  <w:rFonts w:eastAsia="等线" w:ascii="Arial" w:cs="Arial" w:hAnsi="Arial"/>
                  <w:b w:val="true"/>
                  <w:sz w:val="22"/>
                </w:rPr>
                <w:t xml:space="preserve">        6.4.3 模拟任务数据源管理：</w:t>
              </w:r>
            </w:hyperlink>
          </w:p>
          <w:p>
            <w:pPr>
              <w:spacing w:before="120" w:after="120" w:line="288" w:lineRule="auto"/>
            </w:pPr>
            <w:hyperlink w:anchor="heading_18">
              <w:r>
                <w:rPr>
                  <w:rFonts w:eastAsia="等线" w:ascii="Arial" w:cs="Arial" w:hAnsi="Arial"/>
                  <w:b w:val="true"/>
                  <w:sz w:val="22"/>
                </w:rPr>
                <w:t xml:space="preserve">        6.4.4 数据集管理：</w:t>
              </w:r>
            </w:hyperlink>
          </w:p>
          <w:p>
            <w:pPr>
              <w:spacing w:before="120" w:after="120" w:line="288" w:lineRule="auto"/>
            </w:pPr>
            <w:hyperlink w:anchor="heading_19">
              <w:r>
                <w:rPr>
                  <w:rFonts w:eastAsia="等线" w:ascii="Arial" w:cs="Arial" w:hAnsi="Arial"/>
                  <w:b w:val="true"/>
                  <w:sz w:val="22"/>
                </w:rPr>
                <w:t xml:space="preserve">        6.4.5 数据可视化：</w:t>
              </w:r>
            </w:hyperlink>
          </w:p>
          <w:p>
            <w:pPr>
              <w:spacing w:before="120" w:after="120" w:line="288" w:lineRule="auto"/>
            </w:pPr>
            <w:hyperlink w:anchor="heading_20">
              <w:r>
                <w:rPr>
                  <w:rFonts w:eastAsia="等线" w:ascii="Arial" w:cs="Arial" w:hAnsi="Arial"/>
                  <w:b w:val="true"/>
                  <w:sz w:val="22"/>
                </w:rPr>
                <w:t xml:space="preserve">        6.4.6 数据清洗与计算方法管理：</w:t>
              </w:r>
            </w:hyperlink>
          </w:p>
          <w:p>
            <w:pPr>
              <w:spacing w:before="120" w:after="120" w:line="288" w:lineRule="auto"/>
            </w:pPr>
            <w:hyperlink w:anchor="heading_21">
              <w:r>
                <w:rPr>
                  <w:rFonts w:eastAsia="等线" w:ascii="Arial" w:cs="Arial" w:hAnsi="Arial"/>
                  <w:b w:val="true"/>
                  <w:sz w:val="22"/>
                </w:rPr>
                <w:t xml:space="preserve">        6.4.7 新增专业的数据清洗与计算方法：</w:t>
              </w:r>
            </w:hyperlink>
          </w:p>
          <w:p>
            <w:pPr>
              <w:spacing w:before="120" w:after="120" w:line="288" w:lineRule="auto"/>
            </w:pPr>
            <w:hyperlink w:anchor="heading_22">
              <w:r>
                <w:rPr>
                  <w:rFonts w:eastAsia="等线" w:ascii="Arial" w:cs="Arial" w:hAnsi="Arial"/>
                  <w:b w:val="true"/>
                  <w:sz w:val="22"/>
                </w:rPr>
                <w:t xml:space="preserve">        6.4.8 数据清洗和数据计算画布：</w:t>
              </w:r>
            </w:hyperlink>
          </w:p>
          <w:p>
            <w:pPr>
              <w:spacing w:before="120" w:after="120" w:line="288" w:lineRule="auto"/>
            </w:pPr>
            <w:hyperlink w:anchor="heading_23">
              <w:r>
                <w:rPr>
                  <w:rFonts w:eastAsia="等线" w:ascii="Arial" w:cs="Arial" w:hAnsi="Arial"/>
                  <w:b w:val="true"/>
                  <w:sz w:val="22"/>
                </w:rPr>
                <w:t xml:space="preserve">        6.4.9 数据集标签：</w:t>
              </w:r>
            </w:hyperlink>
          </w:p>
          <w:p>
            <w:pPr>
              <w:spacing w:before="120" w:after="120" w:line="288" w:lineRule="auto"/>
            </w:pPr>
            <w:hyperlink w:anchor="heading_24">
              <w:r>
                <w:rPr>
                  <w:rFonts w:eastAsia="等线" w:ascii="Arial" w:cs="Arial" w:hAnsi="Arial"/>
                  <w:b w:val="true"/>
                  <w:sz w:val="22"/>
                </w:rPr>
                <w:t xml:space="preserve">        6.4.10 告警管理：</w:t>
              </w:r>
            </w:hyperlink>
          </w:p>
          <w:p>
            <w:pPr>
              <w:spacing w:before="120" w:after="120" w:line="288" w:lineRule="auto"/>
            </w:pPr>
            <w:hyperlink w:anchor="heading_25">
              <w:r>
                <w:rPr>
                  <w:rFonts w:eastAsia="等线" w:ascii="Arial" w:cs="Arial" w:hAnsi="Arial"/>
                  <w:b w:val="true"/>
                  <w:sz w:val="22"/>
                </w:rPr>
                <w:t xml:space="preserve">        6.4.11 数据报表：</w:t>
              </w:r>
            </w:hyperlink>
          </w:p>
          <w:p>
            <w:pPr>
              <w:spacing w:before="120" w:after="120" w:line="288" w:lineRule="auto"/>
            </w:pPr>
            <w:hyperlink w:anchor="heading_26">
              <w:r>
                <w:rPr>
                  <w:rFonts w:eastAsia="等线" w:ascii="Arial" w:cs="Arial" w:hAnsi="Arial"/>
                  <w:b w:val="true"/>
                  <w:sz w:val="22"/>
                </w:rPr>
                <w:t>7. 技术架构</w:t>
              </w:r>
            </w:hyperlink>
          </w:p>
          <w:p>
            <w:pPr>
              <w:spacing w:before="120" w:after="120" w:line="288" w:lineRule="auto"/>
            </w:pPr>
            <w:hyperlink w:anchor="heading_27">
              <w:r>
                <w:rPr>
                  <w:rFonts w:eastAsia="等线" w:ascii="Arial" w:cs="Arial" w:hAnsi="Arial"/>
                  <w:b w:val="true"/>
                  <w:sz w:val="22"/>
                </w:rPr>
                <w:t>8. 配置要求和性能表现</w:t>
              </w:r>
            </w:hyperlink>
          </w:p>
          <w:p>
            <w:pPr>
              <w:spacing w:before="120" w:after="120" w:line="288" w:lineRule="auto"/>
            </w:pPr>
            <w:hyperlink w:anchor="heading_28">
              <w:r>
                <w:rPr>
                  <w:rFonts w:eastAsia="等线" w:ascii="Arial" w:cs="Arial" w:hAnsi="Arial"/>
                  <w:b w:val="true"/>
                  <w:sz w:val="22"/>
                </w:rPr>
                <w:t xml:space="preserve">    8.1 软硬件配置要求</w:t>
              </w:r>
            </w:hyperlink>
          </w:p>
          <w:p>
            <w:pPr>
              <w:spacing w:before="120" w:after="120" w:line="288" w:lineRule="auto"/>
            </w:pPr>
            <w:hyperlink w:anchor="heading_29">
              <w:r>
                <w:rPr>
                  <w:rFonts w:eastAsia="等线" w:ascii="Arial" w:cs="Arial" w:hAnsi="Arial"/>
                  <w:b w:val="true"/>
                  <w:sz w:val="22"/>
                </w:rPr>
                <w:t xml:space="preserve">    8.2 各配置性能表现</w:t>
              </w:r>
            </w:hyperlink>
          </w:p>
          <w:p>
            <w:pPr>
              <w:spacing w:before="120" w:after="120" w:line="288" w:lineRule="auto"/>
            </w:pPr>
            <w:hyperlink w:anchor="heading_30">
              <w:r>
                <w:rPr>
                  <w:rFonts w:eastAsia="等线" w:ascii="Arial" w:cs="Arial" w:hAnsi="Arial"/>
                  <w:b w:val="true"/>
                  <w:sz w:val="22"/>
                </w:rPr>
                <w:t>9. 客户成功实践</w:t>
              </w:r>
            </w:hyperlink>
          </w:p>
          <w:p>
            <w:pPr>
              <w:spacing w:before="120" w:after="120" w:line="288" w:lineRule="auto"/>
            </w:pPr>
            <w:hyperlink w:anchor="heading_31">
              <w:r>
                <w:rPr>
                  <w:rFonts w:eastAsia="等线" w:ascii="Arial" w:cs="Arial" w:hAnsi="Arial"/>
                  <w:b w:val="true"/>
                  <w:sz w:val="22"/>
                </w:rPr>
                <w:t xml:space="preserve">    9.1 某航空维修公司案例 </w:t>
              </w:r>
            </w:hyperlink>
          </w:p>
          <w:p>
            <w:pPr>
              <w:spacing w:before="120" w:after="120" w:line="288" w:lineRule="auto"/>
            </w:pPr>
            <w:hyperlink w:anchor="heading_32">
              <w:r>
                <w:rPr>
                  <w:rFonts w:eastAsia="等线" w:ascii="Arial" w:cs="Arial" w:hAnsi="Arial"/>
                  <w:b w:val="true"/>
                  <w:sz w:val="22"/>
                </w:rPr>
                <w:t xml:space="preserve">    9.2 某汽车制造3D 模拟场景分析案例  </w:t>
              </w:r>
            </w:hyperlink>
          </w:p>
          <w:p>
            <w:pPr>
              <w:spacing w:before="120" w:after="120" w:line="288" w:lineRule="auto"/>
            </w:pPr>
            <w:hyperlink w:anchor="heading_33">
              <w:r>
                <w:rPr>
                  <w:rFonts w:eastAsia="等线" w:ascii="Arial" w:cs="Arial" w:hAnsi="Arial"/>
                  <w:b w:val="true"/>
                  <w:sz w:val="22"/>
                </w:rPr>
                <w:t>10. 产品实施路径指南</w:t>
              </w:r>
            </w:hyperlink>
          </w:p>
          <w:p>
            <w:pPr>
              <w:spacing w:before="120" w:after="120" w:line="288" w:lineRule="auto"/>
            </w:pPr>
            <w:hyperlink w:anchor="heading_34">
              <w:r>
                <w:rPr>
                  <w:rFonts w:eastAsia="等线" w:ascii="Arial" w:cs="Arial" w:hAnsi="Arial"/>
                  <w:b w:val="true"/>
                  <w:sz w:val="22"/>
                </w:rPr>
                <w:t xml:space="preserve">    10.1 步骤说明（按照1、3、4、5、6）</w:t>
              </w:r>
            </w:hyperlink>
          </w:p>
          <w:p>
            <w:pPr>
              <w:spacing w:before="120" w:after="120" w:line="288" w:lineRule="auto"/>
            </w:pPr>
            <w:hyperlink w:anchor="heading_35">
              <w:r>
                <w:rPr>
                  <w:rFonts w:eastAsia="等线" w:ascii="Arial" w:cs="Arial" w:hAnsi="Arial"/>
                  <w:b w:val="true"/>
                  <w:sz w:val="22"/>
                </w:rPr>
                <w:t xml:space="preserve">    10.2 步骤说明（按照1、2、4、5、6）</w:t>
              </w:r>
            </w:hyperlink>
          </w:p>
          <w:p>
            <w:pPr>
              <w:spacing w:before="120" w:after="120" w:line="288" w:lineRule="auto"/>
            </w:pPr>
            <w:hyperlink w:anchor="heading_36">
              <w:r>
                <w:rPr>
                  <w:rFonts w:eastAsia="等线" w:ascii="Arial" w:cs="Arial" w:hAnsi="Arial"/>
                  <w:b w:val="true"/>
                  <w:sz w:val="22"/>
                </w:rPr>
                <w:t>11. 附录</w:t>
              </w:r>
            </w:hyperlink>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4. </w:t>
      </w:r>
      <w:r>
        <w:rPr>
          <w:rFonts w:eastAsia="等线" w:ascii="Arial" w:cs="Arial" w:hAnsi="Arial"/>
          <w:b w:val="true"/>
          <w:sz w:val="30"/>
        </w:rPr>
        <w:t>数据驱动时代的挑战与行动指南</w:t>
      </w:r>
      <w:bookmarkEnd w:id="3"/>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4.1 </w:t>
      </w:r>
      <w:r>
        <w:rPr>
          <w:rFonts w:eastAsia="等线" w:ascii="Arial" w:cs="Arial" w:hAnsi="Arial"/>
          <w:b w:val="true"/>
          <w:sz w:val="28"/>
        </w:rPr>
        <w:t>核心挑战：</w:t>
      </w:r>
      <w:bookmarkEnd w:id="4"/>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3pt;mso-width-percent:0;mso-height-percent:0;mso-width-percent:0;mso-height-percent:0" type="#_x0000_t75" o:ole="">
            <v:imagedata r:id="rId6" o:title=""/>
          </v:shape>
          <o:OLEObject DrawAspect="Icon" ObjectID="_1718471219" ProgID="Excel.Sheet.12" ShapeID="_x0000_i1025" Type="Embed" r:id="rId5"/>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4.2 </w:t>
      </w:r>
      <w:r>
        <w:rPr>
          <w:rFonts w:eastAsia="等线" w:ascii="Arial" w:cs="Arial" w:hAnsi="Arial"/>
          <w:b w:val="true"/>
          <w:sz w:val="28"/>
        </w:rPr>
        <w:t>行动指南：从挑战到机遇的实践路径：</w:t>
      </w:r>
      <w:bookmarkEnd w:id="5"/>
    </w:p>
    <w:p>
      <w:pPr>
        <w:spacing w:before="120" w:after="120" w:line="288" w:lineRule="auto"/>
        <w:ind w:left="453"/>
      </w:pPr>
      <w:r>
        <w:object>
          <v:shape id="_x0000_i1026" style="width:414pt;height:163pt;mso-width-percent:0;mso-height-percent:0;mso-width-percent:0;mso-height-percent:0" type="#_x0000_t75" o:ole="">
            <v:imagedata r:id="rId8" o:title=""/>
          </v:shape>
          <o:OLEObject DrawAspect="Icon" ObjectID="_1718471220" ProgID="Excel.Sheet.12" ShapeID="_x0000_i1026" Type="Embed" r:id="rId7"/>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5. </w:t>
      </w:r>
      <w:r>
        <w:rPr>
          <w:rFonts w:eastAsia="等线" w:ascii="Arial" w:cs="Arial" w:hAnsi="Arial"/>
          <w:b w:val="true"/>
          <w:sz w:val="30"/>
        </w:rPr>
        <w:t>产品关键能力与业务场景赋能</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5.1 </w:t>
      </w:r>
      <w:r>
        <w:rPr>
          <w:rFonts w:eastAsia="等线" w:ascii="Arial" w:cs="Arial" w:hAnsi="Arial"/>
          <w:b w:val="true"/>
          <w:sz w:val="28"/>
        </w:rPr>
        <w:t xml:space="preserve"> 核心能力  </w:t>
      </w:r>
      <w:bookmarkEnd w:id="7"/>
    </w:p>
    <w:p>
      <w:pPr>
        <w:numPr>
          <w:numId w:val="5"/>
        </w:numPr>
        <w:spacing w:before="120" w:after="120" w:line="288" w:lineRule="auto"/>
        <w:ind w:left="0"/>
        <w:jc w:val="left"/>
      </w:pPr>
      <w:r>
        <w:rPr>
          <w:rFonts w:eastAsia="等线" w:ascii="Arial" w:cs="Arial" w:hAnsi="Arial"/>
          <w:b w:val="true"/>
          <w:sz w:val="22"/>
        </w:rPr>
        <w:t>全域工业数据智能接入</w:t>
      </w:r>
    </w:p>
    <w:p>
      <w:pPr>
        <w:numPr>
          <w:numId w:val="6"/>
        </w:numPr>
        <w:spacing w:before="120" w:after="120" w:line="288" w:lineRule="auto"/>
        <w:ind w:left="0"/>
        <w:jc w:val="left"/>
      </w:pPr>
      <w:r>
        <w:rPr>
          <w:rFonts w:eastAsia="等线" w:ascii="Arial" w:cs="Arial" w:hAnsi="Arial"/>
          <w:sz w:val="22"/>
        </w:rPr>
        <w:t>多协议兼容：支持RS485、MQTT、HTTP、Modbus、OPC UA等工业协议，无缝对接MES/PLM/WMS/SCADA系统。</w:t>
      </w:r>
    </w:p>
    <w:p>
      <w:pPr>
        <w:numPr>
          <w:numId w:val="7"/>
        </w:numPr>
        <w:spacing w:before="120" w:after="120" w:line="288" w:lineRule="auto"/>
        <w:ind w:left="0"/>
        <w:jc w:val="left"/>
      </w:pPr>
      <w:r>
        <w:rPr>
          <w:rFonts w:eastAsia="等线" w:ascii="Arial" w:cs="Arial" w:hAnsi="Arial"/>
          <w:sz w:val="22"/>
        </w:rPr>
        <w:t>异构数据治理：基于Node-Red可视化编排数据流，解决多源数据时空一致性问题，确保高精度时序对齐。</w:t>
      </w:r>
    </w:p>
    <w:p>
      <w:pPr>
        <w:numPr>
          <w:numId w:val="8"/>
        </w:numPr>
        <w:spacing w:before="120" w:after="120" w:line="288" w:lineRule="auto"/>
        <w:ind w:left="0"/>
        <w:jc w:val="left"/>
      </w:pPr>
      <w:r>
        <w:rPr>
          <w:rFonts w:eastAsia="等线" w:ascii="Arial" w:cs="Arial" w:hAnsi="Arial"/>
          <w:sz w:val="22"/>
        </w:rPr>
        <w:t>智能数据映射：</w:t>
      </w:r>
    </w:p>
    <w:p>
      <w:pPr>
        <w:numPr>
          <w:numId w:val="9"/>
        </w:numPr>
        <w:spacing w:before="120" w:after="120" w:line="288" w:lineRule="auto"/>
        <w:ind w:left="453"/>
        <w:jc w:val="left"/>
      </w:pPr>
      <w:r>
        <w:rPr>
          <w:rFonts w:eastAsia="等线" w:ascii="Arial" w:cs="Arial" w:hAnsi="Arial"/>
          <w:sz w:val="22"/>
        </w:rPr>
        <w:t>业务数据与数字孪生实体参数自动绑定，实现业务操作全链路回溯；</w:t>
      </w:r>
    </w:p>
    <w:p>
      <w:pPr>
        <w:numPr>
          <w:numId w:val="10"/>
        </w:numPr>
        <w:spacing w:before="120" w:after="120" w:line="288" w:lineRule="auto"/>
        <w:ind w:left="453"/>
        <w:jc w:val="left"/>
      </w:pPr>
      <w:r>
        <w:rPr>
          <w:rFonts w:eastAsia="等线" w:ascii="Arial" w:cs="Arial" w:hAnsi="Arial"/>
          <w:sz w:val="22"/>
        </w:rPr>
        <w:t>内置模拟数据发生器，快速生成仿真数据，加速数字孪生场景验证。</w:t>
      </w:r>
    </w:p>
    <w:p>
      <w:pPr>
        <w:numPr>
          <w:numId w:val="11"/>
        </w:numPr>
        <w:spacing w:before="120" w:after="120" w:line="288" w:lineRule="auto"/>
        <w:ind w:left="0"/>
        <w:jc w:val="left"/>
      </w:pPr>
      <w:r>
        <w:rPr>
          <w:rFonts w:eastAsia="等线" w:ascii="Arial" w:cs="Arial" w:hAnsi="Arial"/>
          <w:b w:val="true"/>
          <w:sz w:val="22"/>
        </w:rPr>
        <w:t>智能化数据治理引擎</w:t>
      </w:r>
    </w:p>
    <w:p>
      <w:pPr>
        <w:numPr>
          <w:numId w:val="12"/>
        </w:numPr>
        <w:spacing w:before="120" w:after="120" w:line="288" w:lineRule="auto"/>
        <w:ind w:left="0"/>
        <w:jc w:val="left"/>
      </w:pPr>
      <w:r>
        <w:rPr>
          <w:rFonts w:eastAsia="等线" w:ascii="Arial" w:cs="Arial" w:hAnsi="Arial"/>
          <w:sz w:val="22"/>
        </w:rPr>
        <w:t>精准数据清洗：</w:t>
      </w:r>
    </w:p>
    <w:p>
      <w:pPr>
        <w:numPr>
          <w:numId w:val="13"/>
        </w:numPr>
        <w:spacing w:before="120" w:after="120" w:line="288" w:lineRule="auto"/>
        <w:ind w:left="453"/>
        <w:jc w:val="left"/>
      </w:pPr>
      <w:r>
        <w:rPr>
          <w:rFonts w:eastAsia="等线" w:ascii="Arial" w:cs="Arial" w:hAnsi="Arial"/>
          <w:sz w:val="22"/>
        </w:rPr>
        <w:t>从全量数据中智能提取业务核心字段，支持规则引擎+AI双模异常识别；</w:t>
      </w:r>
    </w:p>
    <w:p>
      <w:pPr>
        <w:numPr>
          <w:numId w:val="14"/>
        </w:numPr>
        <w:spacing w:before="120" w:after="120" w:line="288" w:lineRule="auto"/>
        <w:ind w:left="0"/>
        <w:jc w:val="left"/>
      </w:pPr>
      <w:r>
        <w:rPr>
          <w:rFonts w:eastAsia="等线" w:ascii="Arial" w:cs="Arial" w:hAnsi="Arial"/>
          <w:sz w:val="22"/>
        </w:rPr>
        <w:t>可扩展计算能力：</w:t>
      </w:r>
    </w:p>
    <w:p>
      <w:pPr>
        <w:numPr>
          <w:numId w:val="15"/>
        </w:numPr>
        <w:spacing w:before="120" w:after="120" w:line="288" w:lineRule="auto"/>
        <w:ind w:left="453"/>
        <w:jc w:val="left"/>
      </w:pPr>
      <w:r>
        <w:rPr>
          <w:rFonts w:eastAsia="等线" w:ascii="Arial" w:cs="Arial" w:hAnsi="Arial"/>
          <w:sz w:val="22"/>
        </w:rPr>
        <w:t>支持自定义数据标签体系，实现多维度分类治理；</w:t>
      </w:r>
    </w:p>
    <w:p>
      <w:pPr>
        <w:numPr>
          <w:numId w:val="16"/>
        </w:numPr>
        <w:spacing w:before="120" w:after="120" w:line="288" w:lineRule="auto"/>
        <w:ind w:left="453"/>
        <w:jc w:val="left"/>
      </w:pPr>
      <w:r>
        <w:rPr>
          <w:rFonts w:eastAsia="等线" w:ascii="Arial" w:cs="Arial" w:hAnsi="Arial"/>
          <w:sz w:val="22"/>
        </w:rPr>
        <w:t>集成AI算法库（预测、聚类、异常检测），赋能复杂业务分析。</w:t>
      </w:r>
    </w:p>
    <w:p>
      <w:pPr>
        <w:numPr>
          <w:numId w:val="17"/>
        </w:numPr>
        <w:spacing w:before="120" w:after="120" w:line="288" w:lineRule="auto"/>
        <w:ind w:left="0"/>
        <w:jc w:val="left"/>
      </w:pPr>
      <w:r>
        <w:rPr>
          <w:rFonts w:eastAsia="等线" w:ascii="Arial" w:cs="Arial" w:hAnsi="Arial"/>
          <w:b w:val="true"/>
          <w:sz w:val="22"/>
        </w:rPr>
        <w:t>企业级智能数据集市</w:t>
      </w:r>
    </w:p>
    <w:p>
      <w:pPr>
        <w:numPr>
          <w:numId w:val="18"/>
        </w:numPr>
        <w:spacing w:before="120" w:after="120" w:line="288" w:lineRule="auto"/>
        <w:ind w:left="0"/>
        <w:jc w:val="left"/>
      </w:pPr>
      <w:r>
        <w:rPr>
          <w:rFonts w:eastAsia="等线" w:ascii="Arial" w:cs="Arial" w:hAnsi="Arial"/>
          <w:sz w:val="22"/>
        </w:rPr>
        <w:t>全链路数据存储：</w:t>
      </w:r>
    </w:p>
    <w:p>
      <w:pPr>
        <w:numPr>
          <w:numId w:val="19"/>
        </w:numPr>
        <w:spacing w:before="120" w:after="120" w:line="288" w:lineRule="auto"/>
        <w:ind w:left="453"/>
        <w:jc w:val="left"/>
      </w:pPr>
      <w:r>
        <w:rPr>
          <w:rFonts w:eastAsia="等线" w:ascii="Arial" w:cs="Arial" w:hAnsi="Arial"/>
          <w:sz w:val="22"/>
        </w:rPr>
        <w:t>分层存储架构：原始数据、业务数据、过程数据独立存储，支持故障溯源与业务回放；</w:t>
      </w:r>
    </w:p>
    <w:p>
      <w:pPr>
        <w:numPr>
          <w:numId w:val="20"/>
        </w:numPr>
        <w:spacing w:before="120" w:after="120" w:line="288" w:lineRule="auto"/>
        <w:ind w:left="453"/>
        <w:jc w:val="left"/>
      </w:pPr>
      <w:r>
        <w:rPr>
          <w:rFonts w:eastAsia="等线" w:ascii="Arial" w:cs="Arial" w:hAnsi="Arial"/>
          <w:sz w:val="22"/>
        </w:rPr>
        <w:t>孪生体关联管理：按数字孪生体绑定关系快速检索数据集，提升数据定位效率50%+。</w:t>
      </w:r>
    </w:p>
    <w:p>
      <w:pPr>
        <w:numPr>
          <w:numId w:val="21"/>
        </w:numPr>
        <w:spacing w:before="120" w:after="120" w:line="288" w:lineRule="auto"/>
        <w:ind w:left="0"/>
        <w:jc w:val="left"/>
      </w:pPr>
      <w:r>
        <w:rPr>
          <w:rFonts w:eastAsia="等线" w:ascii="Arial" w:cs="Arial" w:hAnsi="Arial"/>
          <w:sz w:val="22"/>
        </w:rPr>
        <w:t>高效数据服务能力：</w:t>
      </w:r>
    </w:p>
    <w:p>
      <w:pPr>
        <w:numPr>
          <w:numId w:val="22"/>
        </w:numPr>
        <w:spacing w:before="120" w:after="120" w:line="288" w:lineRule="auto"/>
        <w:ind w:left="453"/>
        <w:jc w:val="left"/>
      </w:pPr>
      <w:r>
        <w:rPr>
          <w:rFonts w:eastAsia="等线" w:ascii="Arial" w:cs="Arial" w:hAnsi="Arial"/>
          <w:sz w:val="22"/>
        </w:rPr>
        <w:t>为ML/AI/BI平台提供开箱即用的高质量数据集；</w:t>
      </w:r>
    </w:p>
    <w:p>
      <w:pPr>
        <w:numPr>
          <w:numId w:val="23"/>
        </w:numPr>
        <w:spacing w:before="120" w:after="120" w:line="288" w:lineRule="auto"/>
        <w:ind w:left="453"/>
        <w:jc w:val="left"/>
      </w:pPr>
      <w:r>
        <w:rPr>
          <w:rFonts w:eastAsia="等线" w:ascii="Arial" w:cs="Arial" w:hAnsi="Arial"/>
          <w:sz w:val="22"/>
        </w:rPr>
        <w:t>支持基于数据标签的精细化数据管理，实现业务场景的精准匹配。</w:t>
      </w:r>
    </w:p>
    <w:p>
      <w:pPr>
        <w:numPr>
          <w:numId w:val="24"/>
        </w:numPr>
        <w:spacing w:before="120" w:after="120" w:line="288" w:lineRule="auto"/>
        <w:ind w:left="0"/>
        <w:jc w:val="left"/>
      </w:pPr>
      <w:r>
        <w:rPr>
          <w:rFonts w:eastAsia="等线" w:ascii="Arial" w:cs="Arial" w:hAnsi="Arial"/>
          <w:sz w:val="22"/>
        </w:rPr>
        <w:t>数据资产沉淀：</w:t>
      </w:r>
    </w:p>
    <w:p>
      <w:pPr>
        <w:numPr>
          <w:numId w:val="25"/>
        </w:numPr>
        <w:spacing w:before="120" w:after="120" w:line="288" w:lineRule="auto"/>
        <w:ind w:left="453"/>
        <w:jc w:val="left"/>
      </w:pPr>
      <w:r>
        <w:rPr>
          <w:rFonts w:eastAsia="等线" w:ascii="Arial" w:cs="Arial" w:hAnsi="Arial"/>
          <w:sz w:val="22"/>
        </w:rPr>
        <w:t>存储清洗、计算过程中的关键中间数据，辅助复杂分析结论可追溯。</w:t>
      </w:r>
    </w:p>
    <w:p>
      <w:pPr>
        <w:numPr>
          <w:numId w:val="26"/>
        </w:numPr>
        <w:spacing w:before="120" w:after="120" w:line="288" w:lineRule="auto"/>
        <w:ind w:left="0"/>
        <w:jc w:val="left"/>
      </w:pPr>
      <w:r>
        <w:rPr>
          <w:rFonts w:eastAsia="等线" w:ascii="Arial" w:cs="Arial" w:hAnsi="Arial"/>
          <w:b w:val="true"/>
          <w:sz w:val="22"/>
        </w:rPr>
        <w:t>可沉淀的AI能力引擎</w:t>
      </w:r>
    </w:p>
    <w:p>
      <w:pPr>
        <w:numPr>
          <w:numId w:val="27"/>
        </w:numPr>
        <w:spacing w:before="120" w:after="120" w:line="288" w:lineRule="auto"/>
        <w:ind w:left="0"/>
        <w:jc w:val="left"/>
      </w:pPr>
      <w:r>
        <w:rPr>
          <w:rFonts w:eastAsia="等线" w:ascii="Arial" w:cs="Arial" w:hAnsi="Arial"/>
          <w:sz w:val="22"/>
        </w:rPr>
        <w:t>方法资产化：</w:t>
      </w:r>
    </w:p>
    <w:p>
      <w:pPr>
        <w:numPr>
          <w:numId w:val="28"/>
        </w:numPr>
        <w:spacing w:before="120" w:after="120" w:line="288" w:lineRule="auto"/>
        <w:ind w:left="453"/>
        <w:jc w:val="left"/>
      </w:pPr>
      <w:r>
        <w:rPr>
          <w:rFonts w:eastAsia="等线" w:ascii="Arial" w:cs="Arial" w:hAnsi="Arial"/>
          <w:sz w:val="22"/>
        </w:rPr>
        <w:t>用户自定义预处理、特征工程方法，沉淀为可复用的分析方法库；</w:t>
      </w:r>
    </w:p>
    <w:p>
      <w:pPr>
        <w:numPr>
          <w:numId w:val="29"/>
        </w:numPr>
        <w:spacing w:before="120" w:after="120" w:line="288" w:lineRule="auto"/>
        <w:ind w:left="453"/>
        <w:jc w:val="left"/>
      </w:pPr>
      <w:r>
        <w:rPr>
          <w:rFonts w:eastAsia="等线" w:ascii="Arial" w:cs="Arial" w:hAnsi="Arial"/>
          <w:sz w:val="22"/>
        </w:rPr>
        <w:t>支持行业Know-How封装，形成企业专属数据资产。</w:t>
      </w:r>
    </w:p>
    <w:p>
      <w:pPr>
        <w:numPr>
          <w:numId w:val="30"/>
        </w:numPr>
        <w:spacing w:before="120" w:after="120" w:line="288" w:lineRule="auto"/>
        <w:ind w:left="0"/>
        <w:jc w:val="left"/>
      </w:pPr>
      <w:r>
        <w:rPr>
          <w:rFonts w:eastAsia="等线" w:ascii="Arial" w:cs="Arial" w:hAnsi="Arial"/>
          <w:sz w:val="22"/>
        </w:rPr>
        <w:t>拖拽式分析流水线：</w:t>
      </w:r>
    </w:p>
    <w:p>
      <w:pPr>
        <w:numPr>
          <w:numId w:val="31"/>
        </w:numPr>
        <w:spacing w:before="120" w:after="120" w:line="288" w:lineRule="auto"/>
        <w:ind w:left="453"/>
        <w:jc w:val="left"/>
      </w:pPr>
      <w:r>
        <w:rPr>
          <w:rFonts w:eastAsia="等线" w:ascii="Arial" w:cs="Arial" w:hAnsi="Arial"/>
          <w:sz w:val="22"/>
        </w:rPr>
        <w:t>可视化组合预置/自定义方法，构建端到端分析链路（数据清洗→特征工程→模型预测）。</w:t>
      </w:r>
    </w:p>
    <w:p>
      <w:pPr>
        <w:numPr>
          <w:numId w:val="32"/>
        </w:numPr>
        <w:spacing w:before="120" w:after="120" w:line="288" w:lineRule="auto"/>
        <w:ind w:left="0"/>
        <w:jc w:val="left"/>
      </w:pPr>
      <w:r>
        <w:rPr>
          <w:rFonts w:eastAsia="等线" w:ascii="Arial" w:cs="Arial" w:hAnsi="Arial"/>
          <w:b w:val="true"/>
          <w:sz w:val="22"/>
        </w:rPr>
        <w:t>业务智能监控与决策</w:t>
      </w:r>
    </w:p>
    <w:p>
      <w:pPr>
        <w:numPr>
          <w:numId w:val="33"/>
        </w:numPr>
        <w:spacing w:before="120" w:after="120" w:line="288" w:lineRule="auto"/>
        <w:ind w:left="0"/>
        <w:jc w:val="left"/>
      </w:pPr>
      <w:r>
        <w:rPr>
          <w:rFonts w:eastAsia="等线" w:ascii="Arial" w:cs="Arial" w:hAnsi="Arial"/>
          <w:sz w:val="22"/>
        </w:rPr>
        <w:t>实时可视化大屏：</w:t>
      </w:r>
    </w:p>
    <w:p>
      <w:pPr>
        <w:numPr>
          <w:numId w:val="34"/>
        </w:numPr>
        <w:spacing w:before="120" w:after="120" w:line="288" w:lineRule="auto"/>
        <w:ind w:left="453"/>
        <w:jc w:val="left"/>
      </w:pPr>
      <w:r>
        <w:rPr>
          <w:rFonts w:eastAsia="等线" w:ascii="Arial" w:cs="Arial" w:hAnsi="Arial"/>
          <w:sz w:val="22"/>
        </w:rPr>
        <w:t>动态展示产线状态、设备效能等关键指标；</w:t>
      </w:r>
    </w:p>
    <w:p>
      <w:pPr>
        <w:numPr>
          <w:numId w:val="35"/>
        </w:numPr>
        <w:spacing w:before="120" w:after="120" w:line="288" w:lineRule="auto"/>
        <w:ind w:left="0"/>
        <w:jc w:val="left"/>
      </w:pPr>
      <w:r>
        <w:rPr>
          <w:rFonts w:eastAsia="等线" w:ascii="Arial" w:cs="Arial" w:hAnsi="Arial"/>
          <w:sz w:val="22"/>
        </w:rPr>
        <w:t>智能预警中枢：</w:t>
      </w:r>
    </w:p>
    <w:p>
      <w:pPr>
        <w:numPr>
          <w:numId w:val="36"/>
        </w:numPr>
        <w:spacing w:before="120" w:after="120" w:line="288" w:lineRule="auto"/>
        <w:ind w:left="453"/>
        <w:jc w:val="left"/>
      </w:pPr>
      <w:r>
        <w:rPr>
          <w:rFonts w:eastAsia="等线" w:ascii="Arial" w:cs="Arial" w:hAnsi="Arial"/>
          <w:sz w:val="22"/>
        </w:rPr>
        <w:t>基于分析结果自定义规则（阈值/趋势异常），实时触发预警并推送处置建议；</w:t>
      </w:r>
    </w:p>
    <w:p>
      <w:pPr>
        <w:numPr>
          <w:numId w:val="37"/>
        </w:numPr>
        <w:spacing w:before="120" w:after="120" w:line="288" w:lineRule="auto"/>
        <w:ind w:left="453"/>
        <w:jc w:val="left"/>
      </w:pPr>
      <w:r>
        <w:rPr>
          <w:rFonts w:eastAsia="等线" w:ascii="Arial" w:cs="Arial" w:hAnsi="Arial"/>
          <w:sz w:val="22"/>
        </w:rPr>
        <w:t>联动数字孪生体定位故障点，实现主动决策闭环。</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5.2 </w:t>
      </w:r>
      <w:r>
        <w:rPr>
          <w:rFonts w:eastAsia="等线" w:ascii="Arial" w:cs="Arial" w:hAnsi="Arial"/>
          <w:b w:val="true"/>
          <w:sz w:val="28"/>
        </w:rPr>
        <w:t xml:space="preserve">典型业务场景赋能  </w:t>
      </w:r>
      <w:bookmarkEnd w:id="8"/>
    </w:p>
    <w:p>
      <w:pPr>
        <w:spacing w:before="120" w:after="120" w:line="288" w:lineRule="auto"/>
        <w:ind w:left="0"/>
        <w:jc w:val="left"/>
      </w:pPr>
      <w:r>
        <w:rPr>
          <w:rFonts w:eastAsia="等线" w:ascii="Arial" w:cs="Arial" w:hAnsi="Arial"/>
          <w:b w:val="true"/>
          <w:sz w:val="22"/>
        </w:rPr>
        <w:t>场景1：智能工厂生产优化</w:t>
      </w:r>
    </w:p>
    <w:p>
      <w:pPr>
        <w:numPr>
          <w:numId w:val="38"/>
        </w:numPr>
        <w:spacing w:before="120" w:after="120" w:line="288" w:lineRule="auto"/>
        <w:ind w:left="0"/>
        <w:jc w:val="left"/>
      </w:pPr>
      <w:r>
        <w:rPr>
          <w:rFonts w:eastAsia="等线" w:ascii="Arial" w:cs="Arial" w:hAnsi="Arial"/>
          <w:sz w:val="22"/>
        </w:rPr>
        <w:t>赋能效果：</w:t>
      </w:r>
    </w:p>
    <w:p>
      <w:pPr>
        <w:numPr>
          <w:numId w:val="39"/>
        </w:numPr>
        <w:spacing w:before="120" w:after="120" w:line="288" w:lineRule="auto"/>
        <w:ind w:left="453"/>
        <w:jc w:val="left"/>
      </w:pPr>
      <w:r>
        <w:rPr>
          <w:rFonts w:eastAsia="等线" w:ascii="Arial" w:cs="Arial" w:hAnsi="Arial"/>
          <w:sz w:val="22"/>
        </w:rPr>
        <w:t>通过数据集市快速调用SCADA/MES历史工艺数据，结合AI模型推荐最优参数组合；</w:t>
      </w:r>
    </w:p>
    <w:p>
      <w:pPr>
        <w:numPr>
          <w:numId w:val="40"/>
        </w:numPr>
        <w:spacing w:before="120" w:after="120" w:line="288" w:lineRule="auto"/>
        <w:ind w:left="453"/>
        <w:jc w:val="left"/>
      </w:pPr>
      <w:r>
        <w:rPr>
          <w:rFonts w:eastAsia="等线" w:ascii="Arial" w:cs="Arial" w:hAnsi="Arial"/>
          <w:sz w:val="22"/>
        </w:rPr>
        <w:t>实时监控设备OEE指标，当效能低于阈值时自动触发预警，推送调优方案；</w:t>
      </w:r>
    </w:p>
    <w:p>
      <w:pPr>
        <w:numPr>
          <w:numId w:val="41"/>
        </w:numPr>
        <w:spacing w:before="120" w:after="120" w:line="288" w:lineRule="auto"/>
        <w:ind w:left="453"/>
        <w:jc w:val="left"/>
      </w:pPr>
      <w:r>
        <w:rPr>
          <w:rFonts w:eastAsia="等线" w:ascii="Arial" w:cs="Arial" w:hAnsi="Arial"/>
          <w:sz w:val="22"/>
        </w:rPr>
        <w:t>利用过程数据追溯良率波动根因，定位特定环境参数异常。</w:t>
      </w:r>
    </w:p>
    <w:p>
      <w:pPr>
        <w:spacing w:before="120" w:after="120" w:line="288" w:lineRule="auto"/>
        <w:ind w:left="0"/>
        <w:jc w:val="left"/>
      </w:pPr>
      <w:r>
        <w:rPr>
          <w:rFonts w:eastAsia="等线" w:ascii="Arial" w:cs="Arial" w:hAnsi="Arial"/>
          <w:b w:val="true"/>
          <w:sz w:val="22"/>
        </w:rPr>
        <w:t>场景2：设备预测性维护</w:t>
      </w:r>
    </w:p>
    <w:p>
      <w:pPr>
        <w:numPr>
          <w:numId w:val="42"/>
        </w:numPr>
        <w:spacing w:before="120" w:after="120" w:line="288" w:lineRule="auto"/>
        <w:ind w:left="0"/>
        <w:jc w:val="left"/>
      </w:pPr>
      <w:r>
        <w:rPr>
          <w:rFonts w:eastAsia="等线" w:ascii="Arial" w:cs="Arial" w:hAnsi="Arial"/>
          <w:sz w:val="22"/>
        </w:rPr>
        <w:t>赋能效果：</w:t>
      </w:r>
    </w:p>
    <w:p>
      <w:pPr>
        <w:numPr>
          <w:numId w:val="43"/>
        </w:numPr>
        <w:spacing w:before="120" w:after="120" w:line="288" w:lineRule="auto"/>
        <w:ind w:left="453"/>
        <w:jc w:val="left"/>
      </w:pPr>
      <w:r>
        <w:rPr>
          <w:rFonts w:eastAsia="等线" w:ascii="Arial" w:cs="Arial" w:hAnsi="Arial"/>
          <w:sz w:val="22"/>
        </w:rPr>
        <w:t>数据集市整合设备实时传感器数据与历史故障记录，构建训练数据集；</w:t>
      </w:r>
    </w:p>
    <w:p>
      <w:pPr>
        <w:numPr>
          <w:numId w:val="44"/>
        </w:numPr>
        <w:spacing w:before="120" w:after="120" w:line="288" w:lineRule="auto"/>
        <w:ind w:left="453"/>
        <w:jc w:val="left"/>
      </w:pPr>
      <w:r>
        <w:rPr>
          <w:rFonts w:eastAsia="等线" w:ascii="Arial" w:cs="Arial" w:hAnsi="Arial"/>
          <w:sz w:val="22"/>
        </w:rPr>
        <w:t>调用AI能力引擎的故障预测模型，输出设备寿命衰减趋势；</w:t>
      </w:r>
    </w:p>
    <w:p>
      <w:pPr>
        <w:numPr>
          <w:numId w:val="45"/>
        </w:numPr>
        <w:spacing w:before="120" w:after="120" w:line="288" w:lineRule="auto"/>
        <w:ind w:left="453"/>
        <w:jc w:val="left"/>
      </w:pPr>
      <w:r>
        <w:rPr>
          <w:rFonts w:eastAsia="等线" w:ascii="Arial" w:cs="Arial" w:hAnsi="Arial"/>
          <w:sz w:val="22"/>
        </w:rPr>
        <w:t>当预测故障概率超阈值时，自动触发工单并关联备件库存数据。</w:t>
      </w:r>
    </w:p>
    <w:p>
      <w:pPr>
        <w:spacing w:before="120" w:after="120" w:line="288" w:lineRule="auto"/>
        <w:ind w:left="0"/>
        <w:jc w:val="left"/>
      </w:pPr>
      <w:r>
        <w:rPr>
          <w:rFonts w:eastAsia="等线" w:ascii="Arial" w:cs="Arial" w:hAnsi="Arial"/>
          <w:b w:val="true"/>
          <w:sz w:val="22"/>
        </w:rPr>
        <w:t>场景3：产品质量根因分析</w:t>
      </w:r>
    </w:p>
    <w:p>
      <w:pPr>
        <w:numPr>
          <w:numId w:val="46"/>
        </w:numPr>
        <w:spacing w:before="120" w:after="120" w:line="288" w:lineRule="auto"/>
        <w:ind w:left="0"/>
        <w:jc w:val="left"/>
      </w:pPr>
      <w:r>
        <w:rPr>
          <w:rFonts w:eastAsia="等线" w:ascii="Arial" w:cs="Arial" w:hAnsi="Arial"/>
          <w:sz w:val="22"/>
        </w:rPr>
        <w:t>赋能效果：</w:t>
      </w:r>
    </w:p>
    <w:p>
      <w:pPr>
        <w:numPr>
          <w:numId w:val="47"/>
        </w:numPr>
        <w:spacing w:before="120" w:after="120" w:line="288" w:lineRule="auto"/>
        <w:ind w:left="453"/>
        <w:jc w:val="left"/>
      </w:pPr>
      <w:r>
        <w:rPr>
          <w:rFonts w:eastAsia="等线" w:ascii="Arial" w:cs="Arial" w:hAnsi="Arial"/>
          <w:sz w:val="22"/>
        </w:rPr>
        <w:t>通过孪生体绑定关系，快速关联生产批次的全链路数据（工艺、环境、质检）；</w:t>
      </w:r>
    </w:p>
    <w:p>
      <w:pPr>
        <w:numPr>
          <w:numId w:val="48"/>
        </w:numPr>
        <w:spacing w:before="120" w:after="120" w:line="288" w:lineRule="auto"/>
        <w:ind w:left="453"/>
        <w:jc w:val="left"/>
      </w:pPr>
      <w:r>
        <w:rPr>
          <w:rFonts w:eastAsia="等线" w:ascii="Arial" w:cs="Arial" w:hAnsi="Arial"/>
          <w:sz w:val="22"/>
        </w:rPr>
        <w:t>利用分析方法库定位异常环节（如某工序温度波动导致不良率上升）；</w:t>
      </w:r>
    </w:p>
    <w:p>
      <w:pPr>
        <w:numPr>
          <w:numId w:val="49"/>
        </w:numPr>
        <w:spacing w:before="120" w:after="120" w:line="288" w:lineRule="auto"/>
        <w:ind w:left="453"/>
        <w:jc w:val="left"/>
      </w:pPr>
      <w:r>
        <w:rPr>
          <w:rFonts w:eastAsia="等线" w:ascii="Arial" w:cs="Arial" w:hAnsi="Arial"/>
          <w:sz w:val="22"/>
        </w:rPr>
        <w:t>设置质量偏差预警规则，实时拦截风险批次，阻断缺陷品流出。</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6. </w:t>
      </w:r>
      <w:r>
        <w:rPr>
          <w:rFonts w:eastAsia="等线" w:ascii="Arial" w:cs="Arial" w:hAnsi="Arial"/>
          <w:b w:val="true"/>
          <w:sz w:val="30"/>
        </w:rPr>
        <w:t>产品全景：一站式、高效率、低门槛的数据能力中心</w:t>
      </w:r>
      <w:bookmarkEnd w:id="9"/>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6.1 </w:t>
      </w:r>
      <w:r>
        <w:rPr>
          <w:rFonts w:eastAsia="等线" w:ascii="Arial" w:cs="Arial" w:hAnsi="Arial"/>
          <w:b w:val="true"/>
          <w:sz w:val="28"/>
        </w:rPr>
        <w:t>整体架构图 ：</w:t>
      </w:r>
      <w:bookmarkEnd w:id="10"/>
    </w:p>
    <w:p>
      <w:pPr>
        <w:spacing w:before="120" w:after="120" w:line="288" w:lineRule="auto"/>
        <w:ind w:left="0"/>
        <w:jc w:val="center"/>
      </w:pPr>
      <w:r>
        <w:drawing>
          <wp:inline distT="0" distR="0" distB="0" distL="0">
            <wp:extent cx="5257800" cy="3467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3467100"/>
                    </a:xfrm>
                    <a:prstGeom prst="rect">
                      <a:avLst/>
                    </a:prstGeom>
                  </pic:spPr>
                </pic:pic>
              </a:graphicData>
            </a:graphic>
          </wp:inline>
        </w:drawing>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6.2 </w:t>
      </w:r>
      <w:r>
        <w:rPr>
          <w:rFonts w:eastAsia="等线" w:ascii="Arial" w:cs="Arial" w:hAnsi="Arial"/>
          <w:b w:val="true"/>
          <w:sz w:val="28"/>
        </w:rPr>
        <w:t xml:space="preserve"> 各模块说明：</w:t>
      </w:r>
      <w:bookmarkEnd w:id="11"/>
    </w:p>
    <w:p>
      <w:pPr>
        <w:spacing w:before="120" w:after="120" w:line="288" w:lineRule="auto"/>
        <w:ind w:left="0"/>
        <w:jc w:val="left"/>
      </w:pPr>
      <w:r>
        <w:rPr>
          <w:rFonts w:eastAsia="等线" w:ascii="Arial" w:cs="Arial" w:hAnsi="Arial"/>
          <w:sz w:val="22"/>
        </w:rPr>
        <w:t>①数据接入：可通过各类协议将数据接入至DFS中。该模块是DFS的基础模块，不可单独售卖；</w:t>
      </w:r>
    </w:p>
    <w:p>
      <w:pPr>
        <w:spacing w:before="120" w:after="120" w:line="288" w:lineRule="auto"/>
        <w:ind w:left="0"/>
        <w:jc w:val="left"/>
      </w:pPr>
      <w:r>
        <w:rPr>
          <w:rFonts w:eastAsia="等线" w:ascii="Arial" w:cs="Arial" w:hAnsi="Arial"/>
          <w:sz w:val="22"/>
        </w:rPr>
        <w:t>②数据映射：将接入的数据与数字孪生体建立联系，确保接入的数据可以在数字孪生体中展示。该模块提供DFS的基本能力，依赖①数据接入模块提供的数据。</w:t>
      </w:r>
    </w:p>
    <w:p>
      <w:pPr>
        <w:spacing w:before="120" w:after="120" w:line="288" w:lineRule="auto"/>
        <w:ind w:left="0"/>
        <w:jc w:val="left"/>
      </w:pPr>
      <w:r>
        <w:rPr>
          <w:rFonts w:eastAsia="等线" w:ascii="Arial" w:cs="Arial" w:hAnsi="Arial"/>
          <w:sz w:val="22"/>
        </w:rPr>
        <w:t>③数据清洗：可对接入的数据进行特征值提取、参数管理、数据预处理等操作，确保数据可用。该模块依赖①数据接入模块提供的数据。</w:t>
      </w:r>
    </w:p>
    <w:p>
      <w:pPr>
        <w:spacing w:before="120" w:after="120" w:line="288" w:lineRule="auto"/>
        <w:ind w:left="0"/>
        <w:jc w:val="left"/>
      </w:pPr>
      <w:r>
        <w:rPr>
          <w:rFonts w:eastAsia="等线" w:ascii="Arial" w:cs="Arial" w:hAnsi="Arial"/>
          <w:sz w:val="22"/>
        </w:rPr>
        <w:t>④数据计算：可支持数据逻辑计算、对接计算模型、对接大数据模型、机器学习等多种计算方式。支持配置告警策略，并输出告警信息。该模块依赖①数据接入模块提供的数据，当数据不标准或不完整时，需要配合③数据清洗模块一起使用。</w:t>
      </w:r>
    </w:p>
    <w:p>
      <w:pPr>
        <w:spacing w:before="120" w:after="120" w:line="288" w:lineRule="auto"/>
        <w:ind w:left="0"/>
        <w:jc w:val="left"/>
      </w:pPr>
      <w:r>
        <w:rPr>
          <w:rFonts w:eastAsia="等线" w:ascii="Arial" w:cs="Arial" w:hAnsi="Arial"/>
          <w:sz w:val="22"/>
        </w:rPr>
        <w:t>⑤数据集市：可将接入的数据以及处理后的数据进行结构化存储，提供数据访问能力，并结合数据标签的方式对数据进行分类和管理，支持数据检索。数据集市中的数据可来源于①数据接入、③数据清洗、④数据计算各模块。</w:t>
      </w:r>
    </w:p>
    <w:p>
      <w:pPr>
        <w:spacing w:before="120" w:after="120" w:line="288" w:lineRule="auto"/>
        <w:ind w:left="0"/>
        <w:jc w:val="left"/>
      </w:pPr>
      <w:r>
        <w:rPr>
          <w:rFonts w:eastAsia="等线" w:ascii="Arial" w:cs="Arial" w:hAnsi="Arial"/>
          <w:sz w:val="22"/>
        </w:rPr>
        <w:t>⑥数据可视化：可对存储的数据进行可视化展示，支持报表、看板。支持用户配置可视化看板，看板组件支持折线图、柱状图、散点图等。可对接其他BI工具配合使用。</w:t>
      </w:r>
    </w:p>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6.3 </w:t>
      </w:r>
      <w:r>
        <w:rPr>
          <w:rFonts w:eastAsia="等线" w:ascii="Arial" w:cs="Arial" w:hAnsi="Arial"/>
          <w:b w:val="true"/>
          <w:sz w:val="28"/>
        </w:rPr>
        <w:t>各模块关联关系：</w:t>
      </w:r>
      <w:bookmarkEnd w:id="12"/>
    </w:p>
    <w:p>
      <w:pPr>
        <w:spacing w:before="120" w:after="120" w:line="288" w:lineRule="auto"/>
        <w:ind w:left="0"/>
        <w:jc w:val="left"/>
      </w:pPr>
      <w:r>
        <w:rPr>
          <w:rFonts w:eastAsia="等线" w:ascii="Arial" w:cs="Arial" w:hAnsi="Arial"/>
          <w:sz w:val="22"/>
        </w:rPr>
        <w:t>①+②+FactVerse：构建数字孪生场景，并在数字孪生场景中看到可更新的数据，常用于数字孪生大屏展示、楼宇状态展示等。</w:t>
      </w:r>
    </w:p>
    <w:p>
      <w:pPr>
        <w:spacing w:before="120" w:after="120" w:line="288" w:lineRule="auto"/>
        <w:ind w:left="0"/>
        <w:jc w:val="left"/>
      </w:pPr>
      <w:r>
        <w:rPr>
          <w:rFonts w:eastAsia="等线" w:ascii="Arial" w:cs="Arial" w:hAnsi="Arial"/>
          <w:sz w:val="22"/>
        </w:rPr>
        <w:t>①+④：通过接入的多个数据源，进行数据融合及数据计算，旨在洞察数据间的关系（支持接入大模型进行辅助），常用于故障分析、设备告警等。</w:t>
      </w:r>
    </w:p>
    <w:p>
      <w:pPr>
        <w:spacing w:before="120" w:after="120" w:line="288" w:lineRule="auto"/>
        <w:ind w:left="0"/>
        <w:jc w:val="left"/>
      </w:pPr>
      <w:r>
        <w:rPr>
          <w:rFonts w:eastAsia="等线" w:ascii="Arial" w:cs="Arial" w:hAnsi="Arial"/>
          <w:sz w:val="22"/>
        </w:rPr>
        <w:t>①+③+④：当接入的数据有缺失、特征值不明显等不足以进行数据融合及数据计算时，需要通过数据清洗对数据进行预处理。</w:t>
      </w:r>
    </w:p>
    <w:p>
      <w:pPr>
        <w:spacing w:before="120" w:after="120" w:line="288" w:lineRule="auto"/>
        <w:ind w:left="0"/>
        <w:jc w:val="left"/>
      </w:pPr>
      <w:r>
        <w:rPr>
          <w:rFonts w:eastAsia="等线" w:ascii="Arial" w:cs="Arial" w:hAnsi="Arial"/>
          <w:sz w:val="22"/>
        </w:rPr>
        <w:t>①+②+④+⑤+FactVerse：提供完整的数字孪生场景的结构化数据包，可用于模型训练等个性化的数据使用场景。</w:t>
      </w:r>
    </w:p>
    <w:p>
      <w:pPr>
        <w:spacing w:before="120" w:after="120" w:line="288" w:lineRule="auto"/>
        <w:ind w:left="0"/>
        <w:jc w:val="left"/>
      </w:pPr>
      <w:r>
        <w:rPr>
          <w:rFonts w:eastAsia="等线" w:ascii="Arial" w:cs="Arial" w:hAnsi="Arial"/>
          <w:sz w:val="22"/>
        </w:rPr>
        <w:t>①+②+④+⑤+⑥+FactVerse：支持完整的数据孪生场景，可实现数字孪生模拟等各种数字孪生应用。</w:t>
      </w:r>
    </w:p>
    <w:p>
      <w:pPr>
        <w:spacing w:before="120" w:after="120" w:line="288" w:lineRule="auto"/>
        <w:ind w:left="0"/>
        <w:jc w:val="left"/>
      </w:pPr>
      <w:r>
        <w:rPr>
          <w:rFonts w:eastAsia="等线" w:ascii="Arial" w:cs="Arial" w:hAnsi="Arial"/>
          <w:sz w:val="22"/>
        </w:rPr>
        <w:t>①+⑤：构建一个数据仓库，通过访问DFS即可获取所有多源异构数据。当客户没有多源异构数据汇总能力时，该组合可为客户提供统一的数据接入服务。市面上该类型产品较多，不建议作为DFS核心售卖组合。</w:t>
      </w:r>
    </w:p>
    <w:p>
      <w:pPr>
        <w:spacing w:before="120" w:after="120" w:line="288" w:lineRule="auto"/>
        <w:ind w:left="0"/>
        <w:jc w:val="left"/>
      </w:pPr>
      <w:r>
        <w:rPr>
          <w:rFonts w:eastAsia="等线" w:ascii="Arial" w:cs="Arial" w:hAnsi="Arial"/>
          <w:sz w:val="22"/>
        </w:rPr>
        <w:t>①+⑤+⑥：提供数据接入及展示能力，可快速构建数据可视化工具。市面上该类型产品较多，不建议作为DFS核心售卖组合。</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6.4 </w:t>
      </w:r>
      <w:r>
        <w:rPr>
          <w:rFonts w:eastAsia="等线" w:ascii="Arial" w:cs="Arial" w:hAnsi="Arial"/>
          <w:b w:val="true"/>
          <w:sz w:val="28"/>
        </w:rPr>
        <w:t>功能说明：</w:t>
      </w:r>
      <w:bookmarkEnd w:id="13"/>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6.4.1 </w:t>
      </w:r>
      <w:r>
        <w:rPr>
          <w:rFonts w:eastAsia="等线" w:ascii="Arial" w:cs="Arial" w:hAnsi="Arial"/>
          <w:b w:val="true"/>
          <w:sz w:val="24"/>
        </w:rPr>
        <w:t>数据映射到3D场景</w:t>
      </w:r>
      <w:bookmarkEnd w:id="14"/>
    </w:p>
    <w:p>
      <w:pPr>
        <w:pStyle w:val="6"/>
        <w:spacing w:before="240" w:after="120" w:line="288" w:lineRule="auto"/>
        <w:ind w:left="453"/>
        <w:jc w:val="left"/>
        <w:outlineLvl w:val="5"/>
      </w:pPr>
      <w:bookmarkStart w:name="heading_15" w:id="15"/>
      <w:r>
        <w:rPr>
          <w:rFonts w:eastAsia="等线" w:ascii="Arial" w:cs="Arial" w:hAnsi="Arial"/>
          <w:color w:val="3370ff"/>
          <w:sz w:val="24"/>
        </w:rPr>
        <w:t xml:space="preserve">6.4.1.1 </w:t>
      </w:r>
      <w:r>
        <w:rPr>
          <w:rFonts w:eastAsia="等线" w:ascii="Arial" w:cs="Arial" w:hAnsi="Arial"/>
          <w:b w:val="true"/>
          <w:sz w:val="24"/>
        </w:rPr>
        <w:t>数据接入并配置：</w:t>
      </w:r>
      <w:bookmarkEnd w:id="15"/>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首先，需要配置好数据接入接口，确保DFS能够正确地接收到从数采系统发送过来的数据。同时，需要设置一系列的数据处理和加工规则，以满足用户特定的业务需求，利用Node-RED编辑数据处理和加工规则，其中包括数据清洗、转换、聚合、计算等操作，以确保处理后的数据符合用户的预期。</w:t>
      </w:r>
    </w:p>
    <w:p>
      <w:pPr>
        <w:pStyle w:val="5"/>
        <w:spacing w:before="240" w:after="120" w:line="288" w:lineRule="auto"/>
        <w:ind w:left="0"/>
        <w:jc w:val="left"/>
        <w:outlineLvl w:val="4"/>
      </w:pPr>
      <w:bookmarkStart w:name="heading_16" w:id="16"/>
      <w:r>
        <w:rPr>
          <w:rFonts w:eastAsia="等线" w:ascii="Arial" w:cs="Arial" w:hAnsi="Arial"/>
          <w:color w:val="3370ff"/>
          <w:sz w:val="24"/>
        </w:rPr>
        <w:t xml:space="preserve">6.4.2 </w:t>
      </w:r>
      <w:r>
        <w:rPr>
          <w:rFonts w:eastAsia="等线" w:ascii="Arial" w:cs="Arial" w:hAnsi="Arial"/>
          <w:b w:val="true"/>
          <w:sz w:val="24"/>
        </w:rPr>
        <w:t>数据映射到3D场景：</w:t>
      </w:r>
      <w:bookmarkEnd w:id="16"/>
    </w:p>
    <w:p>
      <w:pPr>
        <w:spacing w:before="120" w:after="120" w:line="288" w:lineRule="auto"/>
        <w:ind w:left="0"/>
        <w:jc w:val="center"/>
      </w:pPr>
      <w:r>
        <w:drawing>
          <wp:inline distT="0" distR="0" distB="0" distL="0">
            <wp:extent cx="5257800" cy="2962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962275"/>
                    </a:xfrm>
                    <a:prstGeom prst="rect">
                      <a:avLst/>
                    </a:prstGeom>
                  </pic:spPr>
                </pic:pic>
              </a:graphicData>
            </a:graphic>
          </wp:inline>
        </w:drawing>
      </w:r>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6.4.3 </w:t>
      </w:r>
      <w:r>
        <w:rPr>
          <w:rFonts w:eastAsia="等线" w:ascii="Arial" w:cs="Arial" w:hAnsi="Arial"/>
          <w:b w:val="true"/>
          <w:sz w:val="24"/>
        </w:rPr>
        <w:t>模拟任务数据源管理：</w:t>
      </w:r>
      <w:bookmarkEnd w:id="17"/>
    </w:p>
    <w:p>
      <w:pPr>
        <w:spacing w:before="120" w:after="120" w:line="288" w:lineRule="auto"/>
        <w:ind w:left="0"/>
        <w:jc w:val="left"/>
      </w:pPr>
    </w:p>
    <w:p>
      <w:pPr>
        <w:numPr>
          <w:numId w:val="50"/>
        </w:numPr>
        <w:spacing w:before="120" w:after="120" w:line="288" w:lineRule="auto"/>
        <w:ind w:left="0"/>
        <w:jc w:val="left"/>
      </w:pPr>
      <w:r>
        <w:rPr>
          <w:rFonts w:eastAsia="等线" w:ascii="Arial" w:cs="Arial" w:hAnsi="Arial"/>
          <w:sz w:val="22"/>
        </w:rPr>
        <w:t>数据源管理模块用于管理和配置不同类型的数据源，包括历史数据源和模拟数据源。</w:t>
      </w:r>
    </w:p>
    <w:p>
      <w:pPr>
        <w:numPr>
          <w:numId w:val="51"/>
        </w:numPr>
        <w:spacing w:before="120" w:after="120" w:line="288" w:lineRule="auto"/>
        <w:ind w:left="453"/>
        <w:jc w:val="left"/>
      </w:pPr>
      <w:r>
        <w:rPr>
          <w:rFonts w:eastAsia="等线" w:ascii="Arial" w:cs="Arial" w:hAnsi="Arial"/>
          <w:sz w:val="22"/>
        </w:rPr>
        <w:t>历史数据源用于存储过去的运行数据，以便进行回溯分析、趋势预测和异常检测。</w:t>
      </w:r>
    </w:p>
    <w:p>
      <w:pPr>
        <w:spacing w:before="120" w:after="120" w:line="288" w:lineRule="auto"/>
        <w:ind w:left="453"/>
        <w:jc w:val="center"/>
      </w:pPr>
      <w:r>
        <w:drawing>
          <wp:inline distT="0" distR="0" distB="0" distL="0">
            <wp:extent cx="4724400" cy="5200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4724400" cy="5200650"/>
                    </a:xfrm>
                    <a:prstGeom prst="rect">
                      <a:avLst/>
                    </a:prstGeom>
                  </pic:spPr>
                </pic:pic>
              </a:graphicData>
            </a:graphic>
          </wp:inline>
        </w:drawing>
      </w:r>
    </w:p>
    <w:p>
      <w:pPr>
        <w:numPr>
          <w:numId w:val="52"/>
        </w:numPr>
        <w:spacing w:before="120" w:after="120" w:line="288" w:lineRule="auto"/>
        <w:ind w:left="453"/>
        <w:jc w:val="left"/>
      </w:pPr>
      <w:r>
        <w:rPr>
          <w:rFonts w:eastAsia="等线" w:ascii="Arial" w:cs="Arial" w:hAnsi="Arial"/>
          <w:sz w:val="22"/>
        </w:rPr>
        <w:t>实验数据源用于生成虚拟数据，模拟真实数据流，以支持测试和仿真分析。</w:t>
      </w:r>
    </w:p>
    <w:p>
      <w:pPr>
        <w:spacing w:before="120" w:after="120" w:line="288" w:lineRule="auto"/>
        <w:ind w:left="453"/>
        <w:jc w:val="center"/>
      </w:pPr>
      <w:r>
        <w:drawing>
          <wp:inline distT="0" distR="0" distB="0" distL="0">
            <wp:extent cx="4724400" cy="5210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4724400" cy="5210175"/>
                    </a:xfrm>
                    <a:prstGeom prst="rect">
                      <a:avLst/>
                    </a:prstGeom>
                  </pic:spPr>
                </pic:pic>
              </a:graphicData>
            </a:graphic>
          </wp:inline>
        </w:drawing>
      </w:r>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6.4.4 </w:t>
      </w:r>
      <w:r>
        <w:rPr>
          <w:rFonts w:eastAsia="等线" w:ascii="Arial" w:cs="Arial" w:hAnsi="Arial"/>
          <w:b w:val="true"/>
          <w:sz w:val="24"/>
        </w:rPr>
        <w:t>数据集管理：</w:t>
      </w:r>
      <w:bookmarkEnd w:id="18"/>
    </w:p>
    <w:p>
      <w:pPr>
        <w:spacing w:before="120" w:after="120" w:line="288" w:lineRule="auto"/>
        <w:ind w:left="0"/>
        <w:jc w:val="center"/>
      </w:pPr>
      <w:r>
        <w:drawing>
          <wp:inline distT="0" distR="0" distB="0" distL="0">
            <wp:extent cx="5257800" cy="2867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4"/>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通用数据集管理为用户提供了灵活的数据管理能力，通过自动和用户手动执行的数据探索任务输出的结果会自动存储为数据集，对探索任务生成的数据结果的管理和进一步分析支持。</w:t>
      </w:r>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6.4.5 </w:t>
      </w:r>
      <w:r>
        <w:rPr>
          <w:rFonts w:eastAsia="等线" w:ascii="Arial" w:cs="Arial" w:hAnsi="Arial"/>
          <w:b w:val="true"/>
          <w:sz w:val="24"/>
        </w:rPr>
        <w:t>数据可视化：</w:t>
      </w:r>
      <w:bookmarkEnd w:id="19"/>
    </w:p>
    <w:p>
      <w:pPr>
        <w:spacing w:before="120" w:after="120" w:line="288" w:lineRule="auto"/>
        <w:ind w:left="0"/>
        <w:jc w:val="center"/>
      </w:pPr>
      <w:r>
        <w:drawing>
          <wp:inline distT="0" distR="0" distB="0" distL="0">
            <wp:extent cx="5257800" cy="2962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5"/>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通过对时序数据的可视化，结合用户配置图表来直观展示和分析数据，适用于发现趋势、异常或数据间的关系。</w:t>
      </w:r>
    </w:p>
    <w:p>
      <w:pPr>
        <w:pStyle w:val="5"/>
        <w:spacing w:before="240" w:after="120" w:line="288" w:lineRule="auto"/>
        <w:ind w:left="0"/>
        <w:jc w:val="left"/>
        <w:outlineLvl w:val="4"/>
      </w:pPr>
      <w:bookmarkStart w:name="heading_20" w:id="20"/>
      <w:r>
        <w:rPr>
          <w:rFonts w:eastAsia="等线" w:ascii="Arial" w:cs="Arial" w:hAnsi="Arial"/>
          <w:color w:val="3370ff"/>
          <w:sz w:val="24"/>
        </w:rPr>
        <w:t xml:space="preserve">6.4.6 </w:t>
      </w:r>
      <w:r>
        <w:rPr>
          <w:rFonts w:eastAsia="等线" w:ascii="Arial" w:cs="Arial" w:hAnsi="Arial"/>
          <w:b w:val="true"/>
          <w:sz w:val="24"/>
        </w:rPr>
        <w:t>数据清洗与计算</w:t>
      </w:r>
      <w:r>
        <w:rPr>
          <w:rFonts w:eastAsia="等线" w:ascii="Arial" w:cs="Arial" w:hAnsi="Arial"/>
          <w:b w:val="true"/>
          <w:sz w:val="24"/>
        </w:rPr>
        <w:t>方法管理</w:t>
      </w:r>
      <w:r>
        <w:rPr>
          <w:rFonts w:eastAsia="等线" w:ascii="Arial" w:cs="Arial" w:hAnsi="Arial"/>
          <w:b w:val="true"/>
          <w:sz w:val="24"/>
        </w:rPr>
        <w:t>：</w:t>
      </w:r>
      <w:bookmarkEnd w:id="20"/>
    </w:p>
    <w:p>
      <w:pPr>
        <w:spacing w:before="120" w:after="120" w:line="288" w:lineRule="auto"/>
        <w:ind w:left="0"/>
        <w:jc w:val="center"/>
      </w:pPr>
      <w:r>
        <w:drawing>
          <wp:inline distT="0" distR="0" distB="0" distL="0">
            <wp:extent cx="5257800" cy="2943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在过往的数据分析工作的过程中，由专业的数据分析工程师创建并积累下来的复杂数据清洗与计算方法，在后续的工作中，尽管参与分析的工作人员没有专业数据分析技术，也可以利用积累下来的方法，去做复杂的业务分析，大大缩小了数据和业务之间的鸿沟。</w:t>
      </w:r>
    </w:p>
    <w:p>
      <w:pPr>
        <w:pStyle w:val="5"/>
        <w:spacing w:before="240" w:after="120" w:line="288" w:lineRule="auto"/>
        <w:ind w:left="0"/>
        <w:jc w:val="left"/>
        <w:outlineLvl w:val="4"/>
      </w:pPr>
      <w:bookmarkStart w:name="heading_21" w:id="21"/>
      <w:r>
        <w:rPr>
          <w:rFonts w:eastAsia="等线" w:ascii="Arial" w:cs="Arial" w:hAnsi="Arial"/>
          <w:color w:val="3370ff"/>
          <w:sz w:val="24"/>
        </w:rPr>
        <w:t xml:space="preserve">6.4.7 </w:t>
      </w:r>
      <w:r>
        <w:rPr>
          <w:rFonts w:eastAsia="等线" w:ascii="Arial" w:cs="Arial" w:hAnsi="Arial"/>
          <w:b w:val="true"/>
          <w:sz w:val="24"/>
        </w:rPr>
        <w:t>新增专业的数据清洗与计算方法</w:t>
      </w:r>
      <w:r>
        <w:rPr>
          <w:rFonts w:eastAsia="等线" w:ascii="Arial" w:cs="Arial" w:hAnsi="Arial"/>
          <w:b w:val="true"/>
          <w:sz w:val="24"/>
        </w:rPr>
        <w:t>：</w:t>
      </w:r>
      <w:bookmarkEnd w:id="21"/>
    </w:p>
    <w:p>
      <w:pPr>
        <w:spacing w:before="120" w:after="120" w:line="288" w:lineRule="auto"/>
        <w:ind w:left="0"/>
        <w:jc w:val="center"/>
      </w:pPr>
      <w:r>
        <w:drawing>
          <wp:inline distT="0" distR="0" distB="0" distL="0">
            <wp:extent cx="5257800" cy="29432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专业的数据分析工程师，可以利用脚本，在方法库中新增数据清洗与计算的方法，并将该方法积累下来。</w:t>
      </w:r>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6.4.8 </w:t>
      </w:r>
      <w:r>
        <w:rPr>
          <w:rFonts w:eastAsia="等线" w:ascii="Arial" w:cs="Arial" w:hAnsi="Arial"/>
          <w:b w:val="true"/>
          <w:sz w:val="24"/>
        </w:rPr>
        <w:t>数据清洗和数据计算画布</w:t>
      </w:r>
      <w:r>
        <w:rPr>
          <w:rFonts w:eastAsia="等线" w:ascii="Arial" w:cs="Arial" w:hAnsi="Arial"/>
          <w:b w:val="true"/>
          <w:sz w:val="24"/>
        </w:rPr>
        <w:t>：</w:t>
      </w:r>
      <w:bookmarkEnd w:id="22"/>
    </w:p>
    <w:p>
      <w:pPr>
        <w:spacing w:before="120" w:after="120" w:line="288" w:lineRule="auto"/>
        <w:ind w:left="0"/>
        <w:jc w:val="center"/>
      </w:pPr>
      <w:r>
        <w:drawing>
          <wp:inline distT="0" distR="0" distB="0" distL="0">
            <wp:extent cx="5257800" cy="29432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利用积累的数据清洗和数据计算的方法，让不是专业的数据分析技术人员，也可以做复杂的数据探索，支撑业务分析。</w:t>
      </w:r>
    </w:p>
    <w:p>
      <w:pPr>
        <w:pStyle w:val="5"/>
        <w:spacing w:before="240" w:after="120" w:line="288" w:lineRule="auto"/>
        <w:ind w:left="0"/>
        <w:jc w:val="left"/>
        <w:outlineLvl w:val="4"/>
      </w:pPr>
      <w:bookmarkStart w:name="heading_23" w:id="23"/>
      <w:r>
        <w:rPr>
          <w:rFonts w:eastAsia="等线" w:ascii="Arial" w:cs="Arial" w:hAnsi="Arial"/>
          <w:color w:val="3370ff"/>
          <w:sz w:val="24"/>
        </w:rPr>
        <w:t xml:space="preserve">6.4.9 </w:t>
      </w:r>
      <w:r>
        <w:rPr>
          <w:rFonts w:eastAsia="等线" w:ascii="Arial" w:cs="Arial" w:hAnsi="Arial"/>
          <w:b w:val="true"/>
          <w:sz w:val="24"/>
        </w:rPr>
        <w:t>数据集标签</w:t>
      </w:r>
      <w:r>
        <w:rPr>
          <w:rFonts w:eastAsia="等线" w:ascii="Arial" w:cs="Arial" w:hAnsi="Arial"/>
          <w:b w:val="true"/>
          <w:sz w:val="24"/>
        </w:rPr>
        <w:t>：</w:t>
      </w:r>
      <w:bookmarkEnd w:id="23"/>
    </w:p>
    <w:p>
      <w:pPr>
        <w:spacing w:before="120" w:after="120" w:line="288" w:lineRule="auto"/>
        <w:ind w:left="0"/>
        <w:jc w:val="center"/>
      </w:pPr>
      <w:r>
        <w:drawing>
          <wp:inline distT="0" distR="0" distB="0" distL="0">
            <wp:extent cx="5257800" cy="29432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能够通过业务经验积累数据集规则，并用数据集标签管理起来，在将来的业务应用中，利用数据集标签能够快速定位和筛选需要的数据。</w:t>
      </w:r>
    </w:p>
    <w:p>
      <w:pPr>
        <w:pStyle w:val="5"/>
        <w:spacing w:before="240" w:after="120" w:line="288" w:lineRule="auto"/>
        <w:ind w:left="0"/>
        <w:jc w:val="left"/>
        <w:outlineLvl w:val="4"/>
      </w:pPr>
      <w:bookmarkStart w:name="heading_24" w:id="24"/>
      <w:r>
        <w:rPr>
          <w:rFonts w:eastAsia="等线" w:ascii="Arial" w:cs="Arial" w:hAnsi="Arial"/>
          <w:color w:val="3370ff"/>
          <w:sz w:val="24"/>
        </w:rPr>
        <w:t xml:space="preserve">6.4.10 </w:t>
      </w:r>
      <w:r>
        <w:rPr>
          <w:rFonts w:eastAsia="等线" w:ascii="Arial" w:cs="Arial" w:hAnsi="Arial"/>
          <w:b w:val="true"/>
          <w:sz w:val="24"/>
        </w:rPr>
        <w:t>告警管理：</w:t>
      </w:r>
      <w:bookmarkEnd w:id="24"/>
    </w:p>
    <w:p>
      <w:pPr>
        <w:spacing w:before="120" w:after="120" w:line="288" w:lineRule="auto"/>
        <w:ind w:left="0"/>
        <w:jc w:val="center"/>
      </w:pPr>
      <w:r>
        <w:drawing>
          <wp:inline distT="0" distR="0" distB="0" distL="0">
            <wp:extent cx="5257800" cy="26574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该界面用来展示和分析已触发预警，用户可以通过此页面详细了解预警信息，并追溯触发预警的根本原因。</w:t>
      </w:r>
    </w:p>
    <w:p>
      <w:pPr>
        <w:numPr>
          <w:numId w:val="53"/>
        </w:numPr>
        <w:spacing w:before="120" w:after="120" w:line="288" w:lineRule="auto"/>
        <w:ind w:left="0"/>
        <w:jc w:val="left"/>
      </w:pPr>
      <w:r>
        <w:rPr>
          <w:rFonts w:eastAsia="等线" w:ascii="Arial" w:cs="Arial" w:hAnsi="Arial"/>
          <w:sz w:val="22"/>
        </w:rPr>
        <w:t>点击告警详情页右上角的【溯源】，打开任务画布和告警信息及数据详情，两个页面。</w:t>
      </w:r>
    </w:p>
    <w:p>
      <w:pPr>
        <w:numPr>
          <w:numId w:val="54"/>
        </w:numPr>
        <w:spacing w:before="120" w:after="120" w:line="288" w:lineRule="auto"/>
        <w:ind w:left="0"/>
        <w:jc w:val="left"/>
      </w:pPr>
      <w:r>
        <w:rPr>
          <w:rFonts w:eastAsia="等线" w:ascii="Arial" w:cs="Arial" w:hAnsi="Arial"/>
          <w:sz w:val="22"/>
        </w:rPr>
        <w:t>任务画布中：对于每一个节点都可查看数据详情和节点方法详情。</w:t>
      </w:r>
    </w:p>
    <w:p>
      <w:pPr>
        <w:spacing w:before="120" w:after="120" w:line="288" w:lineRule="auto"/>
        <w:ind w:left="0"/>
        <w:jc w:val="center"/>
      </w:pPr>
      <w:r>
        <w:drawing>
          <wp:inline distT="0" distR="0" distB="0" distL="0">
            <wp:extent cx="5257800" cy="28670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1"/>
                    <a:stretch>
                      <a:fillRect/>
                    </a:stretch>
                  </pic:blipFill>
                  <pic:spPr>
                    <a:xfrm>
                      <a:off x="0" y="0"/>
                      <a:ext cx="5257800" cy="2867025"/>
                    </a:xfrm>
                    <a:prstGeom prst="rect">
                      <a:avLst/>
                    </a:prstGeom>
                  </pic:spPr>
                </pic:pic>
              </a:graphicData>
            </a:graphic>
          </wp:inline>
        </w:drawing>
      </w:r>
    </w:p>
    <w:p>
      <w:pPr>
        <w:pStyle w:val="5"/>
        <w:spacing w:before="240" w:after="120" w:line="288" w:lineRule="auto"/>
        <w:ind w:left="0"/>
        <w:jc w:val="left"/>
        <w:outlineLvl w:val="4"/>
      </w:pPr>
      <w:bookmarkStart w:name="heading_25" w:id="25"/>
      <w:r>
        <w:rPr>
          <w:rFonts w:eastAsia="等线" w:ascii="Arial" w:cs="Arial" w:hAnsi="Arial"/>
          <w:color w:val="3370ff"/>
          <w:sz w:val="24"/>
        </w:rPr>
        <w:t xml:space="preserve">6.4.11 </w:t>
      </w:r>
      <w:r>
        <w:rPr>
          <w:rFonts w:eastAsia="等线" w:ascii="Arial" w:cs="Arial" w:hAnsi="Arial"/>
          <w:b w:val="true"/>
          <w:sz w:val="24"/>
        </w:rPr>
        <w:t>数据报表：</w:t>
      </w:r>
      <w:bookmarkEnd w:id="25"/>
    </w:p>
    <w:p>
      <w:pPr>
        <w:spacing w:before="120" w:after="120" w:line="288" w:lineRule="auto"/>
        <w:ind w:left="0"/>
        <w:jc w:val="center"/>
      </w:pPr>
      <w:r>
        <w:drawing>
          <wp:inline distT="0" distR="0" distB="0" distL="0">
            <wp:extent cx="5257800" cy="26574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2"/>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支持可视化工具查看</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7. </w:t>
      </w:r>
      <w:r>
        <w:rPr>
          <w:rFonts w:eastAsia="等线" w:ascii="Arial" w:cs="Arial" w:hAnsi="Arial"/>
          <w:b w:val="true"/>
          <w:sz w:val="30"/>
        </w:rPr>
        <w:t>技术架构</w:t>
      </w:r>
      <w:bookmarkEnd w:id="26"/>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8. </w:t>
      </w:r>
      <w:r>
        <w:rPr>
          <w:rFonts w:eastAsia="等线" w:ascii="Arial" w:cs="Arial" w:hAnsi="Arial"/>
          <w:b w:val="true"/>
          <w:sz w:val="30"/>
        </w:rPr>
        <w:t>配置要求和性能表现</w:t>
      </w:r>
      <w:bookmarkEnd w:id="27"/>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8.1 </w:t>
      </w:r>
      <w:r>
        <w:rPr>
          <w:rFonts w:eastAsia="等线" w:ascii="Arial" w:cs="Arial" w:hAnsi="Arial"/>
          <w:b w:val="true"/>
          <w:sz w:val="28"/>
        </w:rPr>
        <w:t>软硬件配置要求</w:t>
      </w:r>
      <w:bookmarkEnd w:id="28"/>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8.2 </w:t>
      </w:r>
      <w:r>
        <w:rPr>
          <w:rFonts w:eastAsia="等线" w:ascii="Arial" w:cs="Arial" w:hAnsi="Arial"/>
          <w:b w:val="true"/>
          <w:sz w:val="28"/>
        </w:rPr>
        <w:t>各配置性能表现</w:t>
      </w:r>
      <w:bookmarkEnd w:id="29"/>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9. </w:t>
      </w:r>
      <w:r>
        <w:rPr>
          <w:rFonts w:eastAsia="等线" w:ascii="Arial" w:cs="Arial" w:hAnsi="Arial"/>
          <w:b w:val="true"/>
          <w:sz w:val="30"/>
        </w:rPr>
        <w:t>客户成功实践</w:t>
      </w:r>
      <w:bookmarkEnd w:id="30"/>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9.1 </w:t>
      </w:r>
      <w:r>
        <w:rPr>
          <w:rFonts w:eastAsia="等线" w:ascii="Arial" w:cs="Arial" w:hAnsi="Arial"/>
          <w:b w:val="true"/>
          <w:sz w:val="28"/>
        </w:rPr>
        <w:t xml:space="preserve">某航空维修公司案例 </w:t>
      </w:r>
      <w:bookmarkEnd w:id="31"/>
    </w:p>
    <w:p>
      <w:pPr>
        <w:numPr>
          <w:numId w:val="55"/>
        </w:numPr>
        <w:spacing w:before="120" w:after="120" w:line="288" w:lineRule="auto"/>
        <w:ind w:left="0"/>
        <w:jc w:val="left"/>
      </w:pPr>
      <w:r>
        <w:rPr>
          <w:rFonts w:eastAsia="等线" w:ascii="Arial" w:cs="Arial" w:hAnsi="Arial"/>
          <w:b w:val="true"/>
          <w:sz w:val="22"/>
        </w:rPr>
        <w:t>挑战：</w:t>
      </w:r>
      <w:r>
        <w:rPr>
          <w:rFonts w:eastAsia="等线" w:ascii="Arial" w:cs="Arial" w:hAnsi="Arial"/>
          <w:sz w:val="22"/>
        </w:rPr>
        <w:t xml:space="preserve">作为航空维修维护领域的领导者，该客户希望通过数字孪生技术优化预测性维护和决策效率，减少非计划性停机时间。  </w:t>
      </w:r>
    </w:p>
    <w:p>
      <w:pPr>
        <w:numPr>
          <w:numId w:val="56"/>
        </w:numPr>
        <w:spacing w:before="120" w:after="120" w:line="288" w:lineRule="auto"/>
        <w:ind w:left="0"/>
        <w:jc w:val="left"/>
      </w:pPr>
      <w:r>
        <w:rPr>
          <w:rFonts w:eastAsia="等线" w:ascii="Arial" w:cs="Arial" w:hAnsi="Arial"/>
          <w:b w:val="true"/>
          <w:sz w:val="22"/>
        </w:rPr>
        <w:t>方案：</w:t>
      </w:r>
      <w:r>
        <w:rPr>
          <w:rFonts w:eastAsia="等线" w:ascii="Arial" w:cs="Arial" w:hAnsi="Arial"/>
          <w:sz w:val="22"/>
        </w:rPr>
        <w:t>利用该平台做飞行数据存储、分析和可视化功能。协助了工程师通过对飞行数据的深度分析和异常检测，并辅助后续的飞行数据的监测，及时发现故障情况。同时通过该平台的监测功能，为故障维修业务提供数据支持。同时该平台支持接入机器学习算法，辅助对复杂异常情况的分析和检测</w:t>
      </w:r>
    </w:p>
    <w:p>
      <w:pPr>
        <w:spacing w:before="120" w:after="120" w:line="288" w:lineRule="auto"/>
        <w:ind w:left="0" w:firstLine="420"/>
        <w:jc w:val="left"/>
      </w:pPr>
      <w:r>
        <w:rPr>
          <w:rFonts w:eastAsia="等线" w:ascii="Arial" w:cs="Arial" w:hAnsi="Arial"/>
          <w:b w:val="true"/>
          <w:sz w:val="22"/>
        </w:rPr>
        <w:t>产品</w:t>
      </w:r>
      <w:r>
        <w:rPr>
          <w:rFonts w:eastAsia="等线" w:ascii="Arial" w:cs="Arial" w:hAnsi="Arial"/>
          <w:sz w:val="22"/>
        </w:rPr>
        <w:t>：DataMesh FactVerse, FactVerse AI, FactVerse Data Fusion Services</w:t>
      </w:r>
    </w:p>
    <w:p>
      <w:pPr>
        <w:numPr>
          <w:numId w:val="57"/>
        </w:numPr>
        <w:spacing w:before="120" w:after="120" w:line="288" w:lineRule="auto"/>
        <w:ind w:left="0"/>
        <w:jc w:val="left"/>
      </w:pPr>
      <w:r>
        <w:rPr>
          <w:rFonts w:eastAsia="等线" w:ascii="Arial" w:cs="Arial" w:hAnsi="Arial"/>
          <w:b w:val="true"/>
          <w:sz w:val="22"/>
        </w:rPr>
        <w:t>成果：</w:t>
      </w:r>
    </w:p>
    <w:p>
      <w:pPr>
        <w:numPr>
          <w:numId w:val="58"/>
        </w:numPr>
        <w:spacing w:before="120" w:after="120" w:line="288" w:lineRule="auto"/>
        <w:ind w:left="453"/>
        <w:jc w:val="left"/>
      </w:pPr>
      <w:r>
        <w:rPr>
          <w:rFonts w:eastAsia="等线" w:ascii="Arial" w:cs="Arial" w:hAnsi="Arial"/>
          <w:sz w:val="22"/>
        </w:rPr>
        <w:t>维修流程更高效，维护周期缩短 10%</w:t>
      </w:r>
    </w:p>
    <w:p>
      <w:pPr>
        <w:numPr>
          <w:numId w:val="59"/>
        </w:numPr>
        <w:spacing w:before="120" w:after="120" w:line="288" w:lineRule="auto"/>
        <w:ind w:left="453"/>
        <w:jc w:val="left"/>
      </w:pPr>
      <w:r>
        <w:rPr>
          <w:rFonts w:eastAsia="等线" w:ascii="Arial" w:cs="Arial" w:hAnsi="Arial"/>
          <w:sz w:val="22"/>
        </w:rPr>
        <w:t>事故报告创建时间减少 20%</w:t>
      </w:r>
    </w:p>
    <w:p>
      <w:pPr>
        <w:numPr>
          <w:numId w:val="60"/>
        </w:numPr>
        <w:spacing w:before="120" w:after="120" w:line="288" w:lineRule="auto"/>
        <w:ind w:left="453"/>
        <w:jc w:val="left"/>
      </w:pPr>
      <w:r>
        <w:rPr>
          <w:rFonts w:eastAsia="等线" w:ascii="Arial" w:cs="Arial" w:hAnsi="Arial"/>
          <w:sz w:val="22"/>
        </w:rPr>
        <w:t>实时监测和主动维护提升整体可靠性</w:t>
      </w:r>
    </w:p>
    <w:p>
      <w:pPr>
        <w:numPr>
          <w:numId w:val="61"/>
        </w:numPr>
        <w:spacing w:before="120" w:after="120" w:line="288" w:lineRule="auto"/>
        <w:ind w:left="453"/>
        <w:jc w:val="left"/>
      </w:pPr>
      <w:r>
        <w:rPr>
          <w:rFonts w:eastAsia="等线" w:ascii="Arial" w:cs="Arial" w:hAnsi="Arial"/>
          <w:sz w:val="22"/>
        </w:rPr>
        <w:t>未来将进一步开发 AI 代理进行数据分析，深入利用 FactVerse 的模拟能力优化维护流程</w:t>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9.2 </w:t>
      </w:r>
      <w:r>
        <w:rPr>
          <w:rFonts w:eastAsia="等线" w:ascii="Arial" w:cs="Arial" w:hAnsi="Arial"/>
          <w:b w:val="true"/>
          <w:sz w:val="28"/>
        </w:rPr>
        <w:t xml:space="preserve">某汽车制造3D 模拟场景分析案例  </w:t>
      </w:r>
      <w:bookmarkEnd w:id="32"/>
    </w:p>
    <w:p>
      <w:pPr>
        <w:numPr>
          <w:numId w:val="62"/>
        </w:numPr>
        <w:spacing w:before="120" w:after="120" w:line="288" w:lineRule="auto"/>
        <w:ind w:left="0"/>
        <w:jc w:val="left"/>
      </w:pPr>
      <w:r>
        <w:rPr>
          <w:rFonts w:eastAsia="等线" w:ascii="Arial" w:cs="Arial" w:hAnsi="Arial"/>
          <w:b w:val="true"/>
          <w:sz w:val="22"/>
        </w:rPr>
        <w:t xml:space="preserve">挑战： </w:t>
      </w:r>
      <w:r>
        <w:rPr>
          <w:rFonts w:eastAsia="等线" w:ascii="Arial" w:cs="Arial" w:hAnsi="Arial"/>
          <w:sz w:val="22"/>
        </w:rPr>
        <w:t>传统情况新产线物理搭建完成后，传统的现场调试方法耗时极长（预计数月），且频繁启停设备进行参数调整和布局优化成本高昂，并存在损坏精密设备的风险。同时，任何涉及产线布局调整或新工艺引入的想法，都难以在实际投产前进行充分验证，导致创新受阻或实施风险高。</w:t>
      </w:r>
    </w:p>
    <w:p>
      <w:pPr>
        <w:numPr>
          <w:numId w:val="63"/>
        </w:numPr>
        <w:spacing w:before="120" w:after="120" w:line="288" w:lineRule="auto"/>
        <w:ind w:left="0"/>
        <w:jc w:val="left"/>
      </w:pPr>
      <w:r>
        <w:rPr>
          <w:rFonts w:eastAsia="等线" w:ascii="Arial" w:cs="Arial" w:hAnsi="Arial"/>
          <w:b w:val="true"/>
          <w:sz w:val="22"/>
        </w:rPr>
        <w:t>方案：</w:t>
      </w:r>
      <w:r>
        <w:rPr>
          <w:rFonts w:eastAsia="等线" w:ascii="Arial" w:cs="Arial" w:hAnsi="Arial"/>
          <w:sz w:val="22"/>
        </w:rPr>
        <w:t>使用 DataMesh FactVerse 构建了汽车生产线的全面数字孪生模型，并对孪生体设定了并整合多种实时数据（如 AGV、传感器及生产管理系统）以实现产线流程模拟和资源优化。</w:t>
      </w:r>
    </w:p>
    <w:p>
      <w:pPr>
        <w:spacing w:before="120" w:after="120" w:line="288" w:lineRule="auto"/>
        <w:ind w:left="0" w:firstLine="420"/>
        <w:jc w:val="left"/>
      </w:pPr>
      <w:r>
        <w:rPr>
          <w:rFonts w:eastAsia="等线" w:ascii="Arial" w:cs="Arial" w:hAnsi="Arial"/>
          <w:b w:val="true"/>
          <w:sz w:val="22"/>
        </w:rPr>
        <w:t>产品</w:t>
      </w:r>
      <w:r>
        <w:rPr>
          <w:rFonts w:eastAsia="等线" w:ascii="Arial" w:cs="Arial" w:hAnsi="Arial"/>
          <w:sz w:val="22"/>
        </w:rPr>
        <w:t>：DataMesh FactVerse, FactVerse Deisigner, FactVerse AI, FactVerse Data Fusion Services</w:t>
      </w:r>
    </w:p>
    <w:p>
      <w:pPr>
        <w:numPr>
          <w:numId w:val="64"/>
        </w:numPr>
        <w:spacing w:before="120" w:after="120" w:line="288" w:lineRule="auto"/>
        <w:ind w:left="0"/>
        <w:jc w:val="left"/>
      </w:pPr>
      <w:r>
        <w:rPr>
          <w:rFonts w:eastAsia="等线" w:ascii="Arial" w:cs="Arial" w:hAnsi="Arial"/>
          <w:b w:val="true"/>
          <w:sz w:val="22"/>
        </w:rPr>
        <w:t>成果：</w:t>
      </w:r>
    </w:p>
    <w:p>
      <w:pPr>
        <w:numPr>
          <w:numId w:val="65"/>
        </w:numPr>
        <w:spacing w:before="120" w:after="120" w:line="288" w:lineRule="auto"/>
        <w:ind w:left="453"/>
        <w:jc w:val="left"/>
      </w:pPr>
      <w:r>
        <w:rPr>
          <w:rFonts w:eastAsia="等线" w:ascii="Arial" w:cs="Arial" w:hAnsi="Arial"/>
          <w:sz w:val="22"/>
        </w:rPr>
        <w:t>物理产线的最终调试验证时间缩短了60%以上，避免了大量设备空转和试错成本。</w:t>
      </w:r>
    </w:p>
    <w:p>
      <w:pPr>
        <w:numPr>
          <w:numId w:val="66"/>
        </w:numPr>
        <w:spacing w:before="120" w:after="120" w:line="288" w:lineRule="auto"/>
        <w:ind w:left="453"/>
        <w:jc w:val="left"/>
      </w:pPr>
      <w:r>
        <w:rPr>
          <w:rFonts w:eastAsia="等线" w:ascii="Arial" w:cs="Arial" w:hAnsi="Arial"/>
          <w:sz w:val="22"/>
        </w:rPr>
        <w:t>整体生产效率显著提升</w:t>
      </w:r>
    </w:p>
    <w:p>
      <w:pPr>
        <w:numPr>
          <w:numId w:val="67"/>
        </w:numPr>
        <w:spacing w:before="120" w:after="120" w:line="288" w:lineRule="auto"/>
        <w:ind w:left="453"/>
        <w:jc w:val="left"/>
      </w:pPr>
      <w:r>
        <w:rPr>
          <w:rFonts w:eastAsia="等线" w:ascii="Arial" w:cs="Arial" w:hAnsi="Arial"/>
          <w:sz w:val="22"/>
        </w:rPr>
        <w:t>借助零代码工具，加速数字孪生的创建与运维</w:t>
      </w:r>
    </w:p>
    <w:p>
      <w:pPr>
        <w:numPr>
          <w:numId w:val="68"/>
        </w:numPr>
        <w:spacing w:before="120" w:after="120" w:line="288" w:lineRule="auto"/>
        <w:ind w:left="453"/>
        <w:jc w:val="left"/>
      </w:pPr>
      <w:r>
        <w:rPr>
          <w:rFonts w:eastAsia="等线" w:ascii="Arial" w:cs="Arial" w:hAnsi="Arial"/>
          <w:sz w:val="22"/>
        </w:rPr>
        <w:t>团队协作增强，决策速度更快</w:t>
      </w:r>
    </w:p>
    <w:p>
      <w:pPr>
        <w:numPr>
          <w:numId w:val="69"/>
        </w:numPr>
        <w:spacing w:before="120" w:after="120" w:line="288" w:lineRule="auto"/>
        <w:ind w:left="453"/>
        <w:jc w:val="left"/>
      </w:pPr>
      <w:r>
        <w:rPr>
          <w:rFonts w:eastAsia="等线" w:ascii="Arial" w:cs="Arial" w:hAnsi="Arial"/>
          <w:sz w:val="22"/>
        </w:rPr>
        <w:t>支持拓展到更多生产线，并探索更多 AI 预测维护和高级模拟场景</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10. </w:t>
      </w:r>
      <w:r>
        <w:rPr>
          <w:rFonts w:eastAsia="等线" w:ascii="Arial" w:cs="Arial" w:hAnsi="Arial"/>
          <w:b w:val="true"/>
          <w:sz w:val="30"/>
        </w:rPr>
        <w:t>产品实施路径指南</w:t>
      </w:r>
      <w:bookmarkEnd w:id="33"/>
    </w:p>
    <w:p>
      <w:pPr>
        <w:pStyle w:val="4"/>
        <w:spacing w:before="260" w:after="120" w:line="288" w:lineRule="auto"/>
        <w:ind w:left="0"/>
        <w:jc w:val="left"/>
        <w:outlineLvl w:val="3"/>
      </w:pPr>
      <w:bookmarkStart w:name="heading_34" w:id="34"/>
      <w:r>
        <w:rPr>
          <w:rFonts w:eastAsia="等线" w:ascii="Arial" w:cs="Arial" w:hAnsi="Arial"/>
          <w:color w:val="3370ff"/>
          <w:sz w:val="28"/>
        </w:rPr>
        <w:t xml:space="preserve">10.1 </w:t>
      </w:r>
      <w:r>
        <w:rPr>
          <w:rFonts w:eastAsia="等线" w:ascii="Arial" w:cs="Arial" w:hAnsi="Arial"/>
          <w:b w:val="true"/>
          <w:sz w:val="28"/>
        </w:rPr>
        <w:t>步骤说明（按照1、3、4、5、6）</w:t>
      </w:r>
      <w:bookmarkEnd w:id="34"/>
    </w:p>
    <w:p>
      <w:pPr>
        <w:numPr>
          <w:numId w:val="70"/>
        </w:numPr>
        <w:spacing w:before="120" w:after="120" w:line="288" w:lineRule="auto"/>
        <w:ind w:left="0"/>
        <w:jc w:val="left"/>
      </w:pPr>
      <w:r>
        <w:rPr>
          <w:rFonts w:eastAsia="等线" w:ascii="Arial" w:cs="Arial" w:hAnsi="Arial"/>
          <w:sz w:val="22"/>
        </w:rPr>
        <w:t>接入时序数据</w:t>
      </w:r>
    </w:p>
    <w:p>
      <w:pPr>
        <w:numPr>
          <w:numId w:val="71"/>
        </w:numPr>
        <w:spacing w:before="120" w:after="120" w:line="288" w:lineRule="auto"/>
        <w:ind w:left="0"/>
        <w:jc w:val="left"/>
      </w:pPr>
      <w:r>
        <w:rPr>
          <w:rFonts w:eastAsia="等线" w:ascii="Arial" w:cs="Arial" w:hAnsi="Arial"/>
          <w:sz w:val="22"/>
        </w:rPr>
        <w:t>发起数据探索</w:t>
      </w:r>
    </w:p>
    <w:p>
      <w:pPr>
        <w:numPr>
          <w:numId w:val="72"/>
        </w:numPr>
        <w:spacing w:before="120" w:after="120" w:line="288" w:lineRule="auto"/>
        <w:ind w:left="0"/>
        <w:jc w:val="left"/>
      </w:pPr>
      <w:r>
        <w:rPr>
          <w:rFonts w:eastAsia="等线" w:ascii="Arial" w:cs="Arial" w:hAnsi="Arial"/>
          <w:sz w:val="22"/>
        </w:rPr>
        <w:t>新建数据分析方法</w:t>
      </w:r>
    </w:p>
    <w:p>
      <w:pPr>
        <w:numPr>
          <w:numId w:val="73"/>
        </w:numPr>
        <w:spacing w:before="120" w:after="120" w:line="288" w:lineRule="auto"/>
        <w:ind w:left="0"/>
        <w:jc w:val="left"/>
      </w:pPr>
      <w:r>
        <w:rPr>
          <w:rFonts w:eastAsia="等线" w:ascii="Arial" w:cs="Arial" w:hAnsi="Arial"/>
          <w:sz w:val="22"/>
        </w:rPr>
        <w:t>监控异常数据</w:t>
      </w:r>
    </w:p>
    <w:p>
      <w:pPr>
        <w:numPr>
          <w:numId w:val="74"/>
        </w:numPr>
        <w:spacing w:before="120" w:after="120" w:line="288" w:lineRule="auto"/>
        <w:ind w:left="0"/>
        <w:jc w:val="left"/>
      </w:pPr>
      <w:r>
        <w:rPr>
          <w:rFonts w:eastAsia="等线" w:ascii="Arial" w:cs="Arial" w:hAnsi="Arial"/>
          <w:sz w:val="22"/>
        </w:rPr>
        <w:t>查看告警信息</w:t>
      </w:r>
    </w:p>
    <w:p>
      <w:pPr>
        <w:spacing w:before="120" w:after="120" w:line="288" w:lineRule="auto"/>
        <w:ind w:left="0"/>
        <w:jc w:val="left"/>
      </w:pPr>
    </w:p>
    <w:p>
      <w:pPr>
        <w:numPr>
          <w:numId w:val="75"/>
        </w:numPr>
        <w:spacing w:before="120" w:after="120" w:line="288" w:lineRule="auto"/>
        <w:ind w:left="0"/>
        <w:jc w:val="left"/>
      </w:pPr>
      <w:r>
        <w:rPr>
          <w:rFonts w:eastAsia="等线" w:ascii="Arial" w:cs="Arial" w:hAnsi="Arial"/>
          <w:sz w:val="22"/>
        </w:rPr>
        <w:t>利用算法分析异常情况</w:t>
      </w:r>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10.2 </w:t>
      </w:r>
      <w:r>
        <w:rPr>
          <w:rFonts w:eastAsia="等线" w:ascii="Arial" w:cs="Arial" w:hAnsi="Arial"/>
          <w:b w:val="true"/>
          <w:sz w:val="28"/>
        </w:rPr>
        <w:t>步骤说明（按照1、2、4、5、6）</w:t>
      </w:r>
      <w:bookmarkEnd w:id="35"/>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11. </w:t>
      </w:r>
      <w:r>
        <w:rPr>
          <w:rFonts w:eastAsia="等线" w:ascii="Arial" w:cs="Arial" w:hAnsi="Arial"/>
          <w:b w:val="true"/>
          <w:sz w:val="30"/>
        </w:rPr>
        <w:t>附录</w:t>
      </w:r>
      <w:bookmarkEnd w:id="36"/>
    </w:p>
    <w:p>
      <w:pPr>
        <w:numPr>
          <w:numId w:val="76"/>
        </w:numPr>
        <w:spacing w:before="120" w:after="120" w:line="288" w:lineRule="auto"/>
        <w:ind w:left="0"/>
        <w:jc w:val="left"/>
      </w:pPr>
      <w:r>
        <w:rPr>
          <w:rFonts w:eastAsia="等线" w:ascii="Arial" w:cs="Arial" w:hAnsi="Arial"/>
          <w:sz w:val="22"/>
        </w:rPr>
        <w:t xml:space="preserve">技术规格（最大并发/单日处理量/兼容性列表）  </w:t>
      </w:r>
    </w:p>
    <w:p>
      <w:pPr>
        <w:numPr>
          <w:numId w:val="77"/>
        </w:numPr>
        <w:spacing w:before="120" w:after="120" w:line="288" w:lineRule="auto"/>
        <w:ind w:left="0"/>
        <w:jc w:val="left"/>
      </w:pPr>
      <w:r>
        <w:rPr>
          <w:rFonts w:eastAsia="等线" w:ascii="Arial" w:cs="Arial" w:hAnsi="Arial"/>
          <w:sz w:val="22"/>
        </w:rPr>
        <w:t xml:space="preserve">术语表（数据湖/指标中台/数据血缘等定义）      </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32489">
    <w:lvl>
      <w:numFmt w:val="bullet"/>
      <w:suff w:val="tab"/>
      <w:lvlText w:val="•"/>
      <w:rPr>
        <w:color w:val="3370ff"/>
      </w:rPr>
    </w:lvl>
  </w:abstractNum>
  <w:abstractNum w:abstractNumId="1632490">
    <w:lvl>
      <w:numFmt w:val="bullet"/>
      <w:suff w:val="tab"/>
      <w:lvlText w:val="•"/>
      <w:rPr>
        <w:color w:val="3370ff"/>
      </w:rPr>
    </w:lvl>
  </w:abstractNum>
  <w:abstractNum w:abstractNumId="1632491">
    <w:lvl>
      <w:numFmt w:val="bullet"/>
      <w:suff w:val="tab"/>
      <w:lvlText w:val="•"/>
      <w:rPr>
        <w:color w:val="3370ff"/>
      </w:rPr>
    </w:lvl>
  </w:abstractNum>
  <w:abstractNum w:abstractNumId="1632492">
    <w:lvl>
      <w:numFmt w:val="bullet"/>
      <w:suff w:val="tab"/>
      <w:lvlText w:val="•"/>
      <w:rPr>
        <w:color w:val="3370ff"/>
      </w:rPr>
    </w:lvl>
  </w:abstractNum>
  <w:abstractNum w:abstractNumId="1632493">
    <w:lvl>
      <w:start w:val="1"/>
      <w:numFmt w:val="decimal"/>
      <w:suff w:val="tab"/>
      <w:lvlText w:val="%1."/>
      <w:rPr>
        <w:color w:val="3370ff"/>
      </w:rPr>
    </w:lvl>
  </w:abstractNum>
  <w:abstractNum w:abstractNumId="1632494">
    <w:lvl>
      <w:numFmt w:val="bullet"/>
      <w:suff w:val="tab"/>
      <w:lvlText w:val="•"/>
      <w:rPr>
        <w:color w:val="3370ff"/>
      </w:rPr>
    </w:lvl>
  </w:abstractNum>
  <w:abstractNum w:abstractNumId="1632495">
    <w:lvl>
      <w:numFmt w:val="bullet"/>
      <w:suff w:val="tab"/>
      <w:lvlText w:val="•"/>
      <w:rPr>
        <w:color w:val="3370ff"/>
      </w:rPr>
    </w:lvl>
  </w:abstractNum>
  <w:abstractNum w:abstractNumId="1632496">
    <w:lvl>
      <w:numFmt w:val="bullet"/>
      <w:suff w:val="tab"/>
      <w:lvlText w:val="•"/>
      <w:rPr>
        <w:color w:val="3370ff"/>
      </w:rPr>
    </w:lvl>
  </w:abstractNum>
  <w:abstractNum w:abstractNumId="1632497">
    <w:lvl>
      <w:numFmt w:val="bullet"/>
      <w:suff w:val="tab"/>
      <w:lvlText w:val="￮"/>
      <w:rPr>
        <w:color w:val="3370ff"/>
      </w:rPr>
    </w:lvl>
  </w:abstractNum>
  <w:abstractNum w:abstractNumId="1632498">
    <w:lvl>
      <w:numFmt w:val="bullet"/>
      <w:suff w:val="tab"/>
      <w:lvlText w:val="￮"/>
      <w:rPr>
        <w:color w:val="3370ff"/>
      </w:rPr>
    </w:lvl>
  </w:abstractNum>
  <w:abstractNum w:abstractNumId="1632499">
    <w:lvl>
      <w:start w:val="2"/>
      <w:numFmt w:val="decimal"/>
      <w:suff w:val="tab"/>
      <w:lvlText w:val="%1."/>
      <w:rPr>
        <w:color w:val="3370ff"/>
      </w:rPr>
    </w:lvl>
  </w:abstractNum>
  <w:abstractNum w:abstractNumId="1632500">
    <w:lvl>
      <w:numFmt w:val="bullet"/>
      <w:suff w:val="tab"/>
      <w:lvlText w:val="•"/>
      <w:rPr>
        <w:color w:val="3370ff"/>
      </w:rPr>
    </w:lvl>
  </w:abstractNum>
  <w:abstractNum w:abstractNumId="1632501">
    <w:lvl>
      <w:numFmt w:val="bullet"/>
      <w:suff w:val="tab"/>
      <w:lvlText w:val="￮"/>
      <w:rPr>
        <w:color w:val="3370ff"/>
      </w:rPr>
    </w:lvl>
  </w:abstractNum>
  <w:abstractNum w:abstractNumId="1632502">
    <w:lvl>
      <w:numFmt w:val="bullet"/>
      <w:suff w:val="tab"/>
      <w:lvlText w:val="•"/>
      <w:rPr>
        <w:color w:val="3370ff"/>
      </w:rPr>
    </w:lvl>
  </w:abstractNum>
  <w:abstractNum w:abstractNumId="1632503">
    <w:lvl>
      <w:numFmt w:val="bullet"/>
      <w:suff w:val="tab"/>
      <w:lvlText w:val="￮"/>
      <w:rPr>
        <w:color w:val="3370ff"/>
      </w:rPr>
    </w:lvl>
  </w:abstractNum>
  <w:abstractNum w:abstractNumId="1632504">
    <w:lvl>
      <w:numFmt w:val="bullet"/>
      <w:suff w:val="tab"/>
      <w:lvlText w:val="￮"/>
      <w:rPr>
        <w:color w:val="3370ff"/>
      </w:rPr>
    </w:lvl>
  </w:abstractNum>
  <w:abstractNum w:abstractNumId="1632505">
    <w:lvl>
      <w:start w:val="3"/>
      <w:numFmt w:val="decimal"/>
      <w:suff w:val="tab"/>
      <w:lvlText w:val="%1."/>
      <w:rPr>
        <w:color w:val="3370ff"/>
      </w:rPr>
    </w:lvl>
  </w:abstractNum>
  <w:abstractNum w:abstractNumId="1632506">
    <w:lvl>
      <w:numFmt w:val="bullet"/>
      <w:suff w:val="tab"/>
      <w:lvlText w:val="•"/>
      <w:rPr>
        <w:color w:val="3370ff"/>
      </w:rPr>
    </w:lvl>
  </w:abstractNum>
  <w:abstractNum w:abstractNumId="1632507">
    <w:lvl>
      <w:numFmt w:val="bullet"/>
      <w:suff w:val="tab"/>
      <w:lvlText w:val="￮"/>
      <w:rPr>
        <w:color w:val="3370ff"/>
      </w:rPr>
    </w:lvl>
  </w:abstractNum>
  <w:abstractNum w:abstractNumId="1632508">
    <w:lvl>
      <w:numFmt w:val="bullet"/>
      <w:suff w:val="tab"/>
      <w:lvlText w:val="￮"/>
      <w:rPr>
        <w:color w:val="3370ff"/>
      </w:rPr>
    </w:lvl>
  </w:abstractNum>
  <w:abstractNum w:abstractNumId="1632509">
    <w:lvl>
      <w:numFmt w:val="bullet"/>
      <w:suff w:val="tab"/>
      <w:lvlText w:val="•"/>
      <w:rPr>
        <w:color w:val="3370ff"/>
      </w:rPr>
    </w:lvl>
  </w:abstractNum>
  <w:abstractNum w:abstractNumId="1632510">
    <w:lvl>
      <w:numFmt w:val="bullet"/>
      <w:suff w:val="tab"/>
      <w:lvlText w:val="￮"/>
      <w:rPr>
        <w:color w:val="3370ff"/>
      </w:rPr>
    </w:lvl>
  </w:abstractNum>
  <w:abstractNum w:abstractNumId="1632511">
    <w:lvl>
      <w:numFmt w:val="bullet"/>
      <w:suff w:val="tab"/>
      <w:lvlText w:val="￮"/>
      <w:rPr>
        <w:color w:val="3370ff"/>
      </w:rPr>
    </w:lvl>
  </w:abstractNum>
  <w:abstractNum w:abstractNumId="1632512">
    <w:lvl>
      <w:numFmt w:val="bullet"/>
      <w:suff w:val="tab"/>
      <w:lvlText w:val="•"/>
      <w:rPr>
        <w:color w:val="3370ff"/>
      </w:rPr>
    </w:lvl>
  </w:abstractNum>
  <w:abstractNum w:abstractNumId="1632513">
    <w:lvl>
      <w:numFmt w:val="bullet"/>
      <w:suff w:val="tab"/>
      <w:lvlText w:val="￮"/>
      <w:rPr>
        <w:color w:val="3370ff"/>
      </w:rPr>
    </w:lvl>
  </w:abstractNum>
  <w:abstractNum w:abstractNumId="1632514">
    <w:lvl>
      <w:start w:val="4"/>
      <w:numFmt w:val="decimal"/>
      <w:suff w:val="tab"/>
      <w:lvlText w:val="%1."/>
      <w:rPr>
        <w:color w:val="3370ff"/>
      </w:rPr>
    </w:lvl>
  </w:abstractNum>
  <w:abstractNum w:abstractNumId="1632515">
    <w:lvl>
      <w:numFmt w:val="bullet"/>
      <w:suff w:val="tab"/>
      <w:lvlText w:val="•"/>
      <w:rPr>
        <w:color w:val="3370ff"/>
      </w:rPr>
    </w:lvl>
  </w:abstractNum>
  <w:abstractNum w:abstractNumId="1632516">
    <w:lvl>
      <w:numFmt w:val="bullet"/>
      <w:suff w:val="tab"/>
      <w:lvlText w:val="￮"/>
      <w:rPr>
        <w:color w:val="3370ff"/>
      </w:rPr>
    </w:lvl>
  </w:abstractNum>
  <w:abstractNum w:abstractNumId="1632517">
    <w:lvl>
      <w:numFmt w:val="bullet"/>
      <w:suff w:val="tab"/>
      <w:lvlText w:val="￮"/>
      <w:rPr>
        <w:color w:val="3370ff"/>
      </w:rPr>
    </w:lvl>
  </w:abstractNum>
  <w:abstractNum w:abstractNumId="1632518">
    <w:lvl>
      <w:numFmt w:val="bullet"/>
      <w:suff w:val="tab"/>
      <w:lvlText w:val="•"/>
      <w:rPr>
        <w:color w:val="3370ff"/>
      </w:rPr>
    </w:lvl>
  </w:abstractNum>
  <w:abstractNum w:abstractNumId="1632519">
    <w:lvl>
      <w:numFmt w:val="bullet"/>
      <w:suff w:val="tab"/>
      <w:lvlText w:val="￮"/>
      <w:rPr>
        <w:color w:val="3370ff"/>
      </w:rPr>
    </w:lvl>
  </w:abstractNum>
  <w:abstractNum w:abstractNumId="1632520">
    <w:lvl>
      <w:start w:val="5"/>
      <w:numFmt w:val="decimal"/>
      <w:suff w:val="tab"/>
      <w:lvlText w:val="%1."/>
      <w:rPr>
        <w:color w:val="3370ff"/>
      </w:rPr>
    </w:lvl>
  </w:abstractNum>
  <w:abstractNum w:abstractNumId="1632521">
    <w:lvl>
      <w:numFmt w:val="bullet"/>
      <w:suff w:val="tab"/>
      <w:lvlText w:val="•"/>
      <w:rPr>
        <w:color w:val="3370ff"/>
      </w:rPr>
    </w:lvl>
  </w:abstractNum>
  <w:abstractNum w:abstractNumId="1632522">
    <w:lvl>
      <w:numFmt w:val="bullet"/>
      <w:suff w:val="tab"/>
      <w:lvlText w:val="￮"/>
      <w:rPr>
        <w:color w:val="3370ff"/>
      </w:rPr>
    </w:lvl>
  </w:abstractNum>
  <w:abstractNum w:abstractNumId="1632523">
    <w:lvl>
      <w:numFmt w:val="bullet"/>
      <w:suff w:val="tab"/>
      <w:lvlText w:val="•"/>
      <w:rPr>
        <w:color w:val="3370ff"/>
      </w:rPr>
    </w:lvl>
  </w:abstractNum>
  <w:abstractNum w:abstractNumId="1632524">
    <w:lvl>
      <w:numFmt w:val="bullet"/>
      <w:suff w:val="tab"/>
      <w:lvlText w:val="￮"/>
      <w:rPr>
        <w:color w:val="3370ff"/>
      </w:rPr>
    </w:lvl>
  </w:abstractNum>
  <w:abstractNum w:abstractNumId="1632525">
    <w:lvl>
      <w:numFmt w:val="bullet"/>
      <w:suff w:val="tab"/>
      <w:lvlText w:val="￮"/>
      <w:rPr>
        <w:color w:val="3370ff"/>
      </w:rPr>
    </w:lvl>
  </w:abstractNum>
  <w:abstractNum w:abstractNumId="1632526">
    <w:lvl>
      <w:numFmt w:val="bullet"/>
      <w:suff w:val="tab"/>
      <w:lvlText w:val="•"/>
      <w:rPr>
        <w:color w:val="3370ff"/>
      </w:rPr>
    </w:lvl>
  </w:abstractNum>
  <w:abstractNum w:abstractNumId="1632527">
    <w:lvl>
      <w:start w:val="1"/>
      <w:numFmt w:val="lowerLetter"/>
      <w:suff w:val="tab"/>
      <w:lvlText w:val="%1."/>
      <w:rPr>
        <w:color w:val="3370ff"/>
      </w:rPr>
    </w:lvl>
  </w:abstractNum>
  <w:abstractNum w:abstractNumId="1632528">
    <w:lvl>
      <w:start w:val="2"/>
      <w:numFmt w:val="lowerLetter"/>
      <w:suff w:val="tab"/>
      <w:lvlText w:val="%1."/>
      <w:rPr>
        <w:color w:val="3370ff"/>
      </w:rPr>
    </w:lvl>
  </w:abstractNum>
  <w:abstractNum w:abstractNumId="1632529">
    <w:lvl>
      <w:start w:val="3"/>
      <w:numFmt w:val="lowerLetter"/>
      <w:suff w:val="tab"/>
      <w:lvlText w:val="%1."/>
      <w:rPr>
        <w:color w:val="3370ff"/>
      </w:rPr>
    </w:lvl>
  </w:abstractNum>
  <w:abstractNum w:abstractNumId="1632530">
    <w:lvl>
      <w:numFmt w:val="bullet"/>
      <w:suff w:val="tab"/>
      <w:lvlText w:val="•"/>
      <w:rPr>
        <w:color w:val="3370ff"/>
      </w:rPr>
    </w:lvl>
  </w:abstractNum>
  <w:abstractNum w:abstractNumId="1632531">
    <w:lvl>
      <w:start w:val="1"/>
      <w:numFmt w:val="lowerLetter"/>
      <w:suff w:val="tab"/>
      <w:lvlText w:val="%1."/>
      <w:rPr>
        <w:color w:val="3370ff"/>
      </w:rPr>
    </w:lvl>
  </w:abstractNum>
  <w:abstractNum w:abstractNumId="1632532">
    <w:lvl>
      <w:start w:val="2"/>
      <w:numFmt w:val="lowerLetter"/>
      <w:suff w:val="tab"/>
      <w:lvlText w:val="%1."/>
      <w:rPr>
        <w:color w:val="3370ff"/>
      </w:rPr>
    </w:lvl>
  </w:abstractNum>
  <w:abstractNum w:abstractNumId="1632533">
    <w:lvl>
      <w:start w:val="3"/>
      <w:numFmt w:val="lowerLetter"/>
      <w:suff w:val="tab"/>
      <w:lvlText w:val="%1."/>
      <w:rPr>
        <w:color w:val="3370ff"/>
      </w:rPr>
    </w:lvl>
  </w:abstractNum>
  <w:abstractNum w:abstractNumId="1632534">
    <w:lvl>
      <w:numFmt w:val="bullet"/>
      <w:suff w:val="tab"/>
      <w:lvlText w:val="•"/>
      <w:rPr>
        <w:color w:val="3370ff"/>
      </w:rPr>
    </w:lvl>
  </w:abstractNum>
  <w:abstractNum w:abstractNumId="1632535">
    <w:lvl>
      <w:start w:val="1"/>
      <w:numFmt w:val="lowerLetter"/>
      <w:suff w:val="tab"/>
      <w:lvlText w:val="%1."/>
      <w:rPr>
        <w:color w:val="3370ff"/>
      </w:rPr>
    </w:lvl>
  </w:abstractNum>
  <w:abstractNum w:abstractNumId="1632536">
    <w:lvl>
      <w:start w:val="2"/>
      <w:numFmt w:val="lowerLetter"/>
      <w:suff w:val="tab"/>
      <w:lvlText w:val="%1."/>
      <w:rPr>
        <w:color w:val="3370ff"/>
      </w:rPr>
    </w:lvl>
  </w:abstractNum>
  <w:abstractNum w:abstractNumId="1632537">
    <w:lvl>
      <w:start w:val="3"/>
      <w:numFmt w:val="lowerLetter"/>
      <w:suff w:val="tab"/>
      <w:lvlText w:val="%1."/>
      <w:rPr>
        <w:color w:val="3370ff"/>
      </w:rPr>
    </w:lvl>
  </w:abstractNum>
  <w:abstractNum w:abstractNumId="1632538">
    <w:lvl>
      <w:numFmt w:val="bullet"/>
      <w:suff w:val="tab"/>
      <w:lvlText w:val="•"/>
      <w:rPr>
        <w:color w:val="3370ff"/>
      </w:rPr>
    </w:lvl>
  </w:abstractNum>
  <w:abstractNum w:abstractNumId="1632539">
    <w:lvl>
      <w:numFmt w:val="bullet"/>
      <w:suff w:val="tab"/>
      <w:lvlText w:val="￮"/>
      <w:rPr>
        <w:color w:val="3370ff"/>
      </w:rPr>
    </w:lvl>
  </w:abstractNum>
  <w:abstractNum w:abstractNumId="1632540">
    <w:lvl>
      <w:numFmt w:val="bullet"/>
      <w:suff w:val="tab"/>
      <w:lvlText w:val="￮"/>
      <w:rPr>
        <w:color w:val="3370ff"/>
      </w:rPr>
    </w:lvl>
  </w:abstractNum>
  <w:abstractNum w:abstractNumId="1632541">
    <w:lvl>
      <w:start w:val="1"/>
      <w:numFmt w:val="decimal"/>
      <w:suff w:val="tab"/>
      <w:lvlText w:val="%1."/>
      <w:rPr>
        <w:color w:val="3370ff"/>
      </w:rPr>
    </w:lvl>
  </w:abstractNum>
  <w:abstractNum w:abstractNumId="1632542">
    <w:lvl>
      <w:start w:val="2"/>
      <w:numFmt w:val="decimal"/>
      <w:suff w:val="tab"/>
      <w:lvlText w:val="%1."/>
      <w:rPr>
        <w:color w:val="3370ff"/>
      </w:rPr>
    </w:lvl>
  </w:abstractNum>
  <w:abstractNum w:abstractNumId="1632543">
    <w:lvl>
      <w:numFmt w:val="bullet"/>
      <w:suff w:val="tab"/>
      <w:lvlText w:val="•"/>
      <w:rPr>
        <w:color w:val="3370ff"/>
      </w:rPr>
    </w:lvl>
  </w:abstractNum>
  <w:abstractNum w:abstractNumId="1632544">
    <w:lvl>
      <w:numFmt w:val="bullet"/>
      <w:suff w:val="tab"/>
      <w:lvlText w:val="•"/>
      <w:rPr>
        <w:color w:val="3370ff"/>
      </w:rPr>
    </w:lvl>
  </w:abstractNum>
  <w:abstractNum w:abstractNumId="1632545">
    <w:lvl>
      <w:numFmt w:val="bullet"/>
      <w:suff w:val="tab"/>
      <w:lvlText w:val="•"/>
      <w:rPr>
        <w:color w:val="3370ff"/>
      </w:rPr>
    </w:lvl>
  </w:abstractNum>
  <w:abstractNum w:abstractNumId="1632546">
    <w:lvl>
      <w:numFmt w:val="bullet"/>
      <w:suff w:val="tab"/>
      <w:lvlText w:val="￮"/>
      <w:rPr>
        <w:color w:val="3370ff"/>
      </w:rPr>
    </w:lvl>
  </w:abstractNum>
  <w:abstractNum w:abstractNumId="1632547">
    <w:lvl>
      <w:numFmt w:val="bullet"/>
      <w:suff w:val="tab"/>
      <w:lvlText w:val="￮"/>
      <w:rPr>
        <w:color w:val="3370ff"/>
      </w:rPr>
    </w:lvl>
  </w:abstractNum>
  <w:abstractNum w:abstractNumId="1632548">
    <w:lvl>
      <w:numFmt w:val="bullet"/>
      <w:suff w:val="tab"/>
      <w:lvlText w:val="￮"/>
      <w:rPr>
        <w:color w:val="3370ff"/>
      </w:rPr>
    </w:lvl>
  </w:abstractNum>
  <w:abstractNum w:abstractNumId="1632549">
    <w:lvl>
      <w:numFmt w:val="bullet"/>
      <w:suff w:val="tab"/>
      <w:lvlText w:val="￮"/>
      <w:rPr>
        <w:color w:val="3370ff"/>
      </w:rPr>
    </w:lvl>
  </w:abstractNum>
  <w:abstractNum w:abstractNumId="1632550">
    <w:lvl>
      <w:numFmt w:val="bullet"/>
      <w:suff w:val="tab"/>
      <w:lvlText w:val="•"/>
      <w:rPr>
        <w:color w:val="3370ff"/>
      </w:rPr>
    </w:lvl>
  </w:abstractNum>
  <w:abstractNum w:abstractNumId="1632551">
    <w:lvl>
      <w:numFmt w:val="bullet"/>
      <w:suff w:val="tab"/>
      <w:lvlText w:val="•"/>
      <w:rPr>
        <w:color w:val="3370ff"/>
      </w:rPr>
    </w:lvl>
  </w:abstractNum>
  <w:abstractNum w:abstractNumId="1632552">
    <w:lvl>
      <w:numFmt w:val="bullet"/>
      <w:suff w:val="tab"/>
      <w:lvlText w:val="•"/>
      <w:rPr>
        <w:color w:val="3370ff"/>
      </w:rPr>
    </w:lvl>
  </w:abstractNum>
  <w:abstractNum w:abstractNumId="1632553">
    <w:lvl>
      <w:numFmt w:val="bullet"/>
      <w:suff w:val="tab"/>
      <w:lvlText w:val="￮"/>
      <w:rPr>
        <w:color w:val="3370ff"/>
      </w:rPr>
    </w:lvl>
  </w:abstractNum>
  <w:abstractNum w:abstractNumId="1632554">
    <w:lvl>
      <w:numFmt w:val="bullet"/>
      <w:suff w:val="tab"/>
      <w:lvlText w:val="￮"/>
      <w:rPr>
        <w:color w:val="3370ff"/>
      </w:rPr>
    </w:lvl>
  </w:abstractNum>
  <w:abstractNum w:abstractNumId="1632555">
    <w:lvl>
      <w:numFmt w:val="bullet"/>
      <w:suff w:val="tab"/>
      <w:lvlText w:val="￮"/>
      <w:rPr>
        <w:color w:val="3370ff"/>
      </w:rPr>
    </w:lvl>
  </w:abstractNum>
  <w:abstractNum w:abstractNumId="1632556">
    <w:lvl>
      <w:numFmt w:val="bullet"/>
      <w:suff w:val="tab"/>
      <w:lvlText w:val="￮"/>
      <w:rPr>
        <w:color w:val="3370ff"/>
      </w:rPr>
    </w:lvl>
  </w:abstractNum>
  <w:abstractNum w:abstractNumId="1632557">
    <w:lvl>
      <w:numFmt w:val="bullet"/>
      <w:suff w:val="tab"/>
      <w:lvlText w:val="￮"/>
      <w:rPr>
        <w:color w:val="3370ff"/>
      </w:rPr>
    </w:lvl>
  </w:abstractNum>
  <w:abstractNum w:abstractNumId="1632558">
    <w:lvl>
      <w:start w:val="1"/>
      <w:numFmt w:val="decimal"/>
      <w:suff w:val="tab"/>
      <w:lvlText w:val="%1."/>
      <w:rPr>
        <w:color w:val="3370ff"/>
      </w:rPr>
    </w:lvl>
  </w:abstractNum>
  <w:abstractNum w:abstractNumId="1632559">
    <w:lvl>
      <w:start w:val="2"/>
      <w:numFmt w:val="decimal"/>
      <w:suff w:val="tab"/>
      <w:lvlText w:val="%1."/>
      <w:rPr>
        <w:color w:val="3370ff"/>
      </w:rPr>
    </w:lvl>
  </w:abstractNum>
  <w:abstractNum w:abstractNumId="1632560">
    <w:lvl>
      <w:start w:val="3"/>
      <w:numFmt w:val="decimal"/>
      <w:suff w:val="tab"/>
      <w:lvlText w:val="%1."/>
      <w:rPr>
        <w:color w:val="3370ff"/>
      </w:rPr>
    </w:lvl>
  </w:abstractNum>
  <w:abstractNum w:abstractNumId="1632561">
    <w:lvl>
      <w:start w:val="4"/>
      <w:numFmt w:val="decimal"/>
      <w:suff w:val="tab"/>
      <w:lvlText w:val="%1."/>
      <w:rPr>
        <w:color w:val="3370ff"/>
      </w:rPr>
    </w:lvl>
  </w:abstractNum>
  <w:abstractNum w:abstractNumId="1632562">
    <w:lvl>
      <w:start w:val="5"/>
      <w:numFmt w:val="decimal"/>
      <w:suff w:val="tab"/>
      <w:lvlText w:val="%1."/>
      <w:rPr>
        <w:color w:val="3370ff"/>
      </w:rPr>
    </w:lvl>
  </w:abstractNum>
  <w:abstractNum w:abstractNumId="1632563">
    <w:lvl>
      <w:start w:val="6"/>
      <w:numFmt w:val="decimal"/>
      <w:suff w:val="tab"/>
      <w:lvlText w:val="%1."/>
      <w:rPr>
        <w:color w:val="3370ff"/>
      </w:rPr>
    </w:lvl>
  </w:abstractNum>
  <w:abstractNum w:abstractNumId="1632564">
    <w:lvl>
      <w:numFmt w:val="bullet"/>
      <w:suff w:val="tab"/>
      <w:lvlText w:val="•"/>
      <w:rPr>
        <w:color w:val="3370ff"/>
      </w:rPr>
    </w:lvl>
  </w:abstractNum>
  <w:abstractNum w:abstractNumId="1632565">
    <w:lvl>
      <w:numFmt w:val="bullet"/>
      <w:suff w:val="tab"/>
      <w:lvlText w:val="•"/>
      <w:rPr>
        <w:color w:val="3370ff"/>
      </w:rPr>
    </w:lvl>
  </w:abstractNum>
  <w:num w:numId="1">
    <w:abstractNumId w:val="1632489"/>
  </w:num>
  <w:num w:numId="2">
    <w:abstractNumId w:val="1632490"/>
  </w:num>
  <w:num w:numId="3">
    <w:abstractNumId w:val="1632491"/>
  </w:num>
  <w:num w:numId="4">
    <w:abstractNumId w:val="1632492"/>
  </w:num>
  <w:num w:numId="5">
    <w:abstractNumId w:val="1632493"/>
  </w:num>
  <w:num w:numId="6">
    <w:abstractNumId w:val="1632494"/>
  </w:num>
  <w:num w:numId="7">
    <w:abstractNumId w:val="1632495"/>
  </w:num>
  <w:num w:numId="8">
    <w:abstractNumId w:val="1632496"/>
  </w:num>
  <w:num w:numId="9">
    <w:abstractNumId w:val="1632497"/>
  </w:num>
  <w:num w:numId="10">
    <w:abstractNumId w:val="1632498"/>
  </w:num>
  <w:num w:numId="11">
    <w:abstractNumId w:val="1632499"/>
  </w:num>
  <w:num w:numId="12">
    <w:abstractNumId w:val="1632500"/>
  </w:num>
  <w:num w:numId="13">
    <w:abstractNumId w:val="1632501"/>
  </w:num>
  <w:num w:numId="14">
    <w:abstractNumId w:val="1632502"/>
  </w:num>
  <w:num w:numId="15">
    <w:abstractNumId w:val="1632503"/>
  </w:num>
  <w:num w:numId="16">
    <w:abstractNumId w:val="1632504"/>
  </w:num>
  <w:num w:numId="17">
    <w:abstractNumId w:val="1632505"/>
  </w:num>
  <w:num w:numId="18">
    <w:abstractNumId w:val="1632506"/>
  </w:num>
  <w:num w:numId="19">
    <w:abstractNumId w:val="1632507"/>
  </w:num>
  <w:num w:numId="20">
    <w:abstractNumId w:val="1632508"/>
  </w:num>
  <w:num w:numId="21">
    <w:abstractNumId w:val="1632509"/>
  </w:num>
  <w:num w:numId="22">
    <w:abstractNumId w:val="1632510"/>
  </w:num>
  <w:num w:numId="23">
    <w:abstractNumId w:val="1632511"/>
  </w:num>
  <w:num w:numId="24">
    <w:abstractNumId w:val="1632512"/>
  </w:num>
  <w:num w:numId="25">
    <w:abstractNumId w:val="1632513"/>
  </w:num>
  <w:num w:numId="26">
    <w:abstractNumId w:val="1632514"/>
  </w:num>
  <w:num w:numId="27">
    <w:abstractNumId w:val="1632515"/>
  </w:num>
  <w:num w:numId="28">
    <w:abstractNumId w:val="1632516"/>
  </w:num>
  <w:num w:numId="29">
    <w:abstractNumId w:val="1632517"/>
  </w:num>
  <w:num w:numId="30">
    <w:abstractNumId w:val="1632518"/>
  </w:num>
  <w:num w:numId="31">
    <w:abstractNumId w:val="1632519"/>
  </w:num>
  <w:num w:numId="32">
    <w:abstractNumId w:val="1632520"/>
  </w:num>
  <w:num w:numId="33">
    <w:abstractNumId w:val="1632521"/>
  </w:num>
  <w:num w:numId="34">
    <w:abstractNumId w:val="1632522"/>
  </w:num>
  <w:num w:numId="35">
    <w:abstractNumId w:val="1632523"/>
  </w:num>
  <w:num w:numId="36">
    <w:abstractNumId w:val="1632524"/>
  </w:num>
  <w:num w:numId="37">
    <w:abstractNumId w:val="1632525"/>
  </w:num>
  <w:num w:numId="38">
    <w:abstractNumId w:val="1632526"/>
  </w:num>
  <w:num w:numId="39">
    <w:abstractNumId w:val="1632527"/>
  </w:num>
  <w:num w:numId="40">
    <w:abstractNumId w:val="1632528"/>
  </w:num>
  <w:num w:numId="41">
    <w:abstractNumId w:val="1632529"/>
  </w:num>
  <w:num w:numId="42">
    <w:abstractNumId w:val="1632530"/>
  </w:num>
  <w:num w:numId="43">
    <w:abstractNumId w:val="1632531"/>
  </w:num>
  <w:num w:numId="44">
    <w:abstractNumId w:val="1632532"/>
  </w:num>
  <w:num w:numId="45">
    <w:abstractNumId w:val="1632533"/>
  </w:num>
  <w:num w:numId="46">
    <w:abstractNumId w:val="1632534"/>
  </w:num>
  <w:num w:numId="47">
    <w:abstractNumId w:val="1632535"/>
  </w:num>
  <w:num w:numId="48">
    <w:abstractNumId w:val="1632536"/>
  </w:num>
  <w:num w:numId="49">
    <w:abstractNumId w:val="1632537"/>
  </w:num>
  <w:num w:numId="50">
    <w:abstractNumId w:val="1632538"/>
  </w:num>
  <w:num w:numId="51">
    <w:abstractNumId w:val="1632539"/>
  </w:num>
  <w:num w:numId="52">
    <w:abstractNumId w:val="1632540"/>
  </w:num>
  <w:num w:numId="53">
    <w:abstractNumId w:val="1632541"/>
  </w:num>
  <w:num w:numId="54">
    <w:abstractNumId w:val="1632542"/>
  </w:num>
  <w:num w:numId="55">
    <w:abstractNumId w:val="1632543"/>
  </w:num>
  <w:num w:numId="56">
    <w:abstractNumId w:val="1632544"/>
  </w:num>
  <w:num w:numId="57">
    <w:abstractNumId w:val="1632545"/>
  </w:num>
  <w:num w:numId="58">
    <w:abstractNumId w:val="1632546"/>
  </w:num>
  <w:num w:numId="59">
    <w:abstractNumId w:val="1632547"/>
  </w:num>
  <w:num w:numId="60">
    <w:abstractNumId w:val="1632548"/>
  </w:num>
  <w:num w:numId="61">
    <w:abstractNumId w:val="1632549"/>
  </w:num>
  <w:num w:numId="62">
    <w:abstractNumId w:val="1632550"/>
  </w:num>
  <w:num w:numId="63">
    <w:abstractNumId w:val="1632551"/>
  </w:num>
  <w:num w:numId="64">
    <w:abstractNumId w:val="1632552"/>
  </w:num>
  <w:num w:numId="65">
    <w:abstractNumId w:val="1632553"/>
  </w:num>
  <w:num w:numId="66">
    <w:abstractNumId w:val="1632554"/>
  </w:num>
  <w:num w:numId="67">
    <w:abstractNumId w:val="1632555"/>
  </w:num>
  <w:num w:numId="68">
    <w:abstractNumId w:val="1632556"/>
  </w:num>
  <w:num w:numId="69">
    <w:abstractNumId w:val="1632557"/>
  </w:num>
  <w:num w:numId="70">
    <w:abstractNumId w:val="1632558"/>
  </w:num>
  <w:num w:numId="71">
    <w:abstractNumId w:val="1632559"/>
  </w:num>
  <w:num w:numId="72">
    <w:abstractNumId w:val="1632560"/>
  </w:num>
  <w:num w:numId="73">
    <w:abstractNumId w:val="1632561"/>
  </w:num>
  <w:num w:numId="74">
    <w:abstractNumId w:val="1632562"/>
  </w:num>
  <w:num w:numId="75">
    <w:abstractNumId w:val="1632563"/>
  </w:num>
  <w:num w:numId="76">
    <w:abstractNumId w:val="1632564"/>
  </w:num>
  <w:num w:numId="77">
    <w:abstractNumId w:val="16325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media/image3.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2025-07-21T08:28:29Z</dcterms:created>
  <dc:creator>Apache POI</dc:creator>
</cp:coreProperties>
</file>