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使用说明文档——Ameco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登陆界面和账号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网站：</w:t>
      </w:r>
      <w:r>
        <w:rPr>
          <w:rFonts w:eastAsia="等线" w:ascii="Arial" w:cs="Arial" w:hAnsi="Arial"/>
          <w:sz w:val="22"/>
        </w:rPr>
        <w:t>http://111.207.165.139:81/login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账号：admin@ameco.com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密码：Aa111111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数据集查看：</w:t>
      </w:r>
      <w:bookmarkEnd w:id="1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航段数据集：</w:t>
      </w:r>
      <w:bookmarkEnd w:id="2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展示译码过来的所有航段数据，支持发起数据探索，支持筛选查看数据。</w:t>
      </w:r>
    </w:p>
    <w:p>
      <w:pPr>
        <w:numPr>
          <w:numId w:val="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筛选数据：通过下图字段筛选需要的数据进行查看。</w:t>
      </w:r>
    </w:p>
    <w:p>
      <w:pPr>
        <w:spacing w:before="120" w:after="120" w:line="288" w:lineRule="auto"/>
        <w:ind w:left="907"/>
        <w:jc w:val="left"/>
      </w:pPr>
      <w:r>
        <w:drawing>
          <wp:inline distT="0" distR="0" distB="0" distL="0">
            <wp:extent cx="2609850" cy="2257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发起数据探索：通过填写数据探索任务名称、数据探索任务描述，同时通过QAR构型、飞机号、航段开始时间来选择航段数据集，筛选出需要探索的数据集，并进入画布中。</w:t>
      </w:r>
    </w:p>
    <w:p>
      <w:pPr>
        <w:spacing w:before="120" w:after="120" w:line="288" w:lineRule="auto"/>
        <w:ind w:left="907"/>
        <w:jc w:val="left"/>
      </w:pPr>
      <w:r>
        <w:drawing>
          <wp:inline distT="0" distR="0" distB="0" distL="0">
            <wp:extent cx="3886200" cy="3943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自定义数据集</w:t>
      </w:r>
      <w:bookmarkEnd w:id="3"/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2952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自定义数据集存储了数据探索任务所有节点输出的数据，保留了更加开放的数据分析环境，支持用户利用节点产生的数据创建新的数据探索任务。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自定义数据集支持自主创建分类并上传本地数据集，在我们的平台中进行数据分析工作。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支持利用搜索查看所需数据集。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数据探索：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数据探索列表展示全部数据探索任务；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支持编辑数据探索任务名称和描述；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支持编辑数据探索任务详情；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支持删除数据探索任务。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支持新增数据探索任务；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支持利用“名称”和“创建者”去筛选需要查看的数据探索任务。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新增数据探索任务:</w:t>
      </w:r>
      <w:bookmarkEnd w:id="5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962275" cy="30194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通过填写数据探索任务名称、数据探索任务描述，同时通过QAR构型、飞机号、航段开始时间来选择航段数据集，筛选出需要探索的数据集，并进入画布中。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编辑数据探索任务: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在数据探索任务面板中：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左侧为节点栏，其中包含预处理方法节点、特征提取节点、模型节点、预警规则节点等规则节点，可在画布上根据业务需求结合数据分析的逻辑进行编排。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间是画布详情编排区域，将节点拖入画布中，集合数据分析的逻辑，将节点相连（连线与箭头表示数据的流向）。节点可以支持查看该方法的详情（包括基础信息、以及相关代码）；在任务执行后，可以查看利用节点方法处理后的数据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端是数据选择，及执行、保存、发布按钮。数据选择支持通过参数标签和数据集标签筛选数据，并通过对单一参数的选择，完成探索任务的数据选择。发布时可选择多个同构型的不同飞机号，支持将该探索方法方法复用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底端是画布交互辅助按钮：支持清空画布、撤销、取消撤销、缩小、放大、重置画布页面、自适应画布，以及画布的缩略图。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右侧是辅助栏，默认收起状态。支持查看数据(包含可视化)、节点详情等。如图：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3906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9065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预警信息查看及溯源：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触发预警的航段会进入预警信息中，每一条预警信息都可以查看预警详情，包括基础信息、预警信息、数据探索面板；并对触发预警的航段进行溯源。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927">
    <w:lvl>
      <w:numFmt w:val="bullet"/>
      <w:suff w:val="tab"/>
      <w:lvlText w:val="￮"/>
      <w:rPr>
        <w:color w:val="3370ff"/>
      </w:rPr>
    </w:lvl>
  </w:abstractNum>
  <w:abstractNum w:abstractNumId="102928">
    <w:lvl>
      <w:numFmt w:val="bullet"/>
      <w:suff w:val="tab"/>
      <w:lvlText w:val="▪"/>
      <w:rPr>
        <w:color w:val="3370ff"/>
        <w:sz w:val="11"/>
      </w:rPr>
    </w:lvl>
  </w:abstractNum>
  <w:abstractNum w:abstractNumId="102929">
    <w:lvl>
      <w:numFmt w:val="bullet"/>
      <w:suff w:val="tab"/>
      <w:lvlText w:val="▪"/>
      <w:rPr>
        <w:color w:val="3370ff"/>
        <w:sz w:val="11"/>
      </w:rPr>
    </w:lvl>
  </w:abstractNum>
  <w:abstractNum w:abstractNumId="102930">
    <w:lvl>
      <w:numFmt w:val="bullet"/>
      <w:suff w:val="tab"/>
      <w:lvlText w:val="￮"/>
      <w:rPr>
        <w:color w:val="3370ff"/>
      </w:rPr>
    </w:lvl>
  </w:abstractNum>
  <w:abstractNum w:abstractNumId="102931">
    <w:lvl>
      <w:numFmt w:val="bullet"/>
      <w:suff w:val="tab"/>
      <w:lvlText w:val="￮"/>
      <w:rPr>
        <w:color w:val="3370ff"/>
      </w:rPr>
    </w:lvl>
  </w:abstractNum>
  <w:abstractNum w:abstractNumId="102932">
    <w:lvl>
      <w:numFmt w:val="bullet"/>
      <w:suff w:val="tab"/>
      <w:lvlText w:val="￮"/>
      <w:rPr>
        <w:color w:val="3370ff"/>
      </w:rPr>
    </w:lvl>
  </w:abstractNum>
  <w:abstractNum w:abstractNumId="102933">
    <w:lvl>
      <w:start w:val="1"/>
      <w:numFmt w:val="decimal"/>
      <w:suff w:val="tab"/>
      <w:lvlText w:val="%1."/>
      <w:rPr>
        <w:color w:val="3370ff"/>
      </w:rPr>
    </w:lvl>
  </w:abstractNum>
  <w:abstractNum w:abstractNumId="102934">
    <w:lvl>
      <w:start w:val="2"/>
      <w:numFmt w:val="decimal"/>
      <w:suff w:val="tab"/>
      <w:lvlText w:val="%1."/>
      <w:rPr>
        <w:color w:val="3370ff"/>
      </w:rPr>
    </w:lvl>
  </w:abstractNum>
  <w:abstractNum w:abstractNumId="102935">
    <w:lvl>
      <w:start w:val="3"/>
      <w:numFmt w:val="decimal"/>
      <w:suff w:val="tab"/>
      <w:lvlText w:val="%1."/>
      <w:rPr>
        <w:color w:val="3370ff"/>
      </w:rPr>
    </w:lvl>
  </w:abstractNum>
  <w:abstractNum w:abstractNumId="102936">
    <w:lvl>
      <w:start w:val="4"/>
      <w:numFmt w:val="decimal"/>
      <w:suff w:val="tab"/>
      <w:lvlText w:val="%1."/>
      <w:rPr>
        <w:color w:val="3370ff"/>
      </w:rPr>
    </w:lvl>
  </w:abstractNum>
  <w:abstractNum w:abstractNumId="102937">
    <w:lvl>
      <w:start w:val="5"/>
      <w:numFmt w:val="decimal"/>
      <w:suff w:val="tab"/>
      <w:lvlText w:val="%1."/>
      <w:rPr>
        <w:color w:val="3370ff"/>
      </w:rPr>
    </w:lvl>
  </w:abstractNum>
  <w:abstractNum w:abstractNumId="102938">
    <w:lvl>
      <w:start w:val="6"/>
      <w:numFmt w:val="decimal"/>
      <w:suff w:val="tab"/>
      <w:lvlText w:val="%1."/>
      <w:rPr>
        <w:color w:val="3370ff"/>
      </w:rPr>
    </w:lvl>
  </w:abstractNum>
  <w:abstractNum w:abstractNumId="102939">
    <w:lvl>
      <w:numFmt w:val="bullet"/>
      <w:suff w:val="tab"/>
      <w:lvlText w:val="•"/>
      <w:rPr>
        <w:color w:val="3370ff"/>
      </w:rPr>
    </w:lvl>
  </w:abstractNum>
  <w:abstractNum w:abstractNumId="102940">
    <w:lvl>
      <w:numFmt w:val="bullet"/>
      <w:suff w:val="tab"/>
      <w:lvlText w:val="￮"/>
      <w:rPr>
        <w:color w:val="3370ff"/>
      </w:rPr>
    </w:lvl>
  </w:abstractNum>
  <w:abstractNum w:abstractNumId="102941">
    <w:lvl>
      <w:numFmt w:val="bullet"/>
      <w:suff w:val="tab"/>
      <w:lvlText w:val="￮"/>
      <w:rPr>
        <w:color w:val="3370ff"/>
      </w:rPr>
    </w:lvl>
  </w:abstractNum>
  <w:abstractNum w:abstractNumId="102942">
    <w:lvl>
      <w:numFmt w:val="bullet"/>
      <w:suff w:val="tab"/>
      <w:lvlText w:val="￮"/>
      <w:rPr>
        <w:color w:val="3370ff"/>
      </w:rPr>
    </w:lvl>
  </w:abstractNum>
  <w:abstractNum w:abstractNumId="102943">
    <w:lvl>
      <w:numFmt w:val="bullet"/>
      <w:suff w:val="tab"/>
      <w:lvlText w:val="￮"/>
      <w:rPr>
        <w:color w:val="3370ff"/>
      </w:rPr>
    </w:lvl>
  </w:abstractNum>
  <w:abstractNum w:abstractNumId="102944">
    <w:lvl>
      <w:numFmt w:val="bullet"/>
      <w:suff w:val="tab"/>
      <w:lvlText w:val="￮"/>
      <w:rPr>
        <w:color w:val="3370ff"/>
      </w:rPr>
    </w:lvl>
  </w:abstractNum>
  <w:num w:numId="1">
    <w:abstractNumId w:val="102927"/>
  </w:num>
  <w:num w:numId="2">
    <w:abstractNumId w:val="102928"/>
  </w:num>
  <w:num w:numId="3">
    <w:abstractNumId w:val="102929"/>
  </w:num>
  <w:num w:numId="4">
    <w:abstractNumId w:val="102930"/>
  </w:num>
  <w:num w:numId="5">
    <w:abstractNumId w:val="102931"/>
  </w:num>
  <w:num w:numId="6">
    <w:abstractNumId w:val="102932"/>
  </w:num>
  <w:num w:numId="7">
    <w:abstractNumId w:val="102933"/>
  </w:num>
  <w:num w:numId="8">
    <w:abstractNumId w:val="102934"/>
  </w:num>
  <w:num w:numId="9">
    <w:abstractNumId w:val="102935"/>
  </w:num>
  <w:num w:numId="10">
    <w:abstractNumId w:val="102936"/>
  </w:num>
  <w:num w:numId="11">
    <w:abstractNumId w:val="102937"/>
  </w:num>
  <w:num w:numId="12">
    <w:abstractNumId w:val="102938"/>
  </w:num>
  <w:num w:numId="13">
    <w:abstractNumId w:val="102939"/>
  </w:num>
  <w:num w:numId="14">
    <w:abstractNumId w:val="102940"/>
  </w:num>
  <w:num w:numId="15">
    <w:abstractNumId w:val="102941"/>
  </w:num>
  <w:num w:numId="16">
    <w:abstractNumId w:val="102942"/>
  </w:num>
  <w:num w:numId="17">
    <w:abstractNumId w:val="102943"/>
  </w:num>
  <w:num w:numId="18">
    <w:abstractNumId w:val="1029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2024-12-06T08:12:04Z</dcterms:created>
  <dc:creator>Apache POI</dc:creator>
</cp:coreProperties>
</file>