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8.png" ContentType="image/png"/>
  <Override PartName="/word/media/rId12.png" ContentType="image/png"/>
  <Override PartName="/word/media/rId33.png" ContentType="image/png"/>
  <Override PartName="/word/media/rId23.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Quina Valley: a regional Middle Palaeolithic technological system on the southeastern margin of the Tibetan Plateau</w:t>
      </w:r>
    </w:p>
    <w:p>
      <w:pPr>
        <w:pStyle w:val="Author"/>
      </w:pPr>
      <w:r>
        <w:t xml:space="preserve">Peiyuan Xiao</w:t>
      </w:r>
      <w:r>
        <w:rPr>
          <w:vertAlign w:val="superscript"/>
        </w:rPr>
        <w:t xml:space="preserve">a,b,c</w:t>
      </w:r>
      <w:r>
        <w:t xml:space="preserve">, Qijun Ruan</w:t>
      </w:r>
      <w:r>
        <w:rPr>
          <w:vertAlign w:val="superscript"/>
        </w:rPr>
        <w:t xml:space="preserve">d</w:t>
      </w:r>
      <w:r>
        <w:t xml:space="preserve">, Zhenxiu Jia</w:t>
      </w:r>
      <w:r>
        <w:rPr>
          <w:vertAlign w:val="superscript"/>
        </w:rPr>
        <w:t xml:space="preserve">a</w:t>
      </w:r>
      <w:r>
        <w:t xml:space="preserve">, Marco Peresani</w:t>
      </w:r>
      <w:r>
        <w:rPr>
          <w:vertAlign w:val="superscript"/>
        </w:rPr>
        <w:t xml:space="preserve">e,f</w:t>
      </w:r>
      <w:r>
        <w:t xml:space="preserve">, Davide Delpiano</w:t>
      </w:r>
      <w:r>
        <w:rPr>
          <w:vertAlign w:val="superscript"/>
        </w:rPr>
        <w:t xml:space="preserve">e</w:t>
      </w:r>
      <w:r>
        <w:t xml:space="preserve">, and Ben Marwick</w:t>
      </w:r>
      <w:r>
        <w:rPr>
          <w:vertAlign w:val="superscript"/>
        </w:rPr>
        <w:t xml:space="preserve">c,✉</w:t>
      </w:r>
    </w:p>
    <w:p>
      <w:pPr>
        <w:pStyle w:val="Date"/>
      </w:pPr>
      <w:r>
        <w:t xml:space="preserve">July 28, 2026</w:t>
      </w:r>
    </w:p>
    <w:p>
      <w:pPr>
        <w:pStyle w:val="AbstractTitle"/>
      </w:pPr>
      <w:r>
        <w:t xml:space="preserve">Abstract</w:t>
      </w:r>
    </w:p>
    <w:p>
      <w:pPr>
        <w:pStyle w:val="Abstract"/>
      </w:pPr>
      <w:r>
        <w:t xml:space="preserve">Middle Palaeolithic assemblages vary widely in technology, and whether that variability reflects separate cultural traditions or shared responses to environmental pressures is a long-standing question in the study of human evolution. Among the most distinctive of these technologies is Quina, a specific technological behaviour built around thick, asymmetric blanks and the prolonged resharpening and recycling of the tools made on them, and long understood as an adaptation to high mobility in open, seasonally structured environments. In Europe, where it has been studied for over a century, Quina documented within a narrow glacial interval; in the eastern Old World it was, until recently, unknown. The identification of a complete Quina system at Longtan, on the southeastern margin of the Tibetan Plateau, changed this, but rested on a single case. Here we show that Longtan is not an isolated occurrence but one instance of a regional practice. Analysing Quina scrapers and resharpening flakes surface collected across two basins, and testing them against the Longtan material, we find that they share the same technological concept and the same strong preference for a single raw material, without systematic variation across the landscape; we term this regional entity the Quina Valley. Its setting, a dry-hot valley on the plateau margin, is far removed from the cold, open landscapes of the European Quina, yet poses an ecological problem of the same structure, one of patchy, seasonally organised resources reached by moving through the terrain. The significance of this study lies not only in identifying a regional Quina entity on the eastern side of the Old World, but also in providing an environmental rationale for its emergence in this region. Future excavation, by recovering absolute ages and faunal remains, will be essential to building a regional chronological framework, identifying the people behind this technology and reconstructing the subsistence strategies it served.</w:t>
      </w:r>
    </w:p>
    <w:p>
      <w:pPr>
        <w:pStyle w:val="FirstParagraph"/>
      </w:pPr>
      <w:r>
        <w:rPr>
          <w:vertAlign w:val="superscript"/>
        </w:rPr>
        <w:t xml:space="preserve">a</w:t>
      </w:r>
      <w:r>
        <w:t xml:space="preserve"> </w:t>
      </w:r>
      <w:r>
        <w:t xml:space="preserve">Alpine Paleoecology and Human Adaptation Group (ALPHA Group), State Key Laboratory of Tibetan Plateau Earth System, Environment and Resources, Institute of Tibetan Plateau Research, Chinese Academy of Sciences, Beijing, China</w:t>
      </w:r>
      <w:r>
        <w:br/>
      </w:r>
      <w:r>
        <w:rPr>
          <w:vertAlign w:val="superscript"/>
        </w:rPr>
        <w:t xml:space="preserve">b</w:t>
      </w:r>
      <w:r>
        <w:t xml:space="preserve"> </w:t>
      </w:r>
      <w:r>
        <w:t xml:space="preserve">University of Chinese Academy of Sciences, Beijing, China</w:t>
      </w:r>
      <w:r>
        <w:br/>
      </w:r>
      <w:r>
        <w:rPr>
          <w:vertAlign w:val="superscript"/>
        </w:rPr>
        <w:t xml:space="preserve">c</w:t>
      </w:r>
      <w:r>
        <w:t xml:space="preserve"> </w:t>
      </w:r>
      <w:r>
        <w:t xml:space="preserve">Department of Anthropology, University of Washington, Seattle, WA, USA</w:t>
      </w:r>
      <w:r>
        <w:br/>
      </w:r>
      <w:r>
        <w:rPr>
          <w:vertAlign w:val="superscript"/>
        </w:rPr>
        <w:t xml:space="preserve">d</w:t>
      </w:r>
      <w:r>
        <w:t xml:space="preserve"> </w:t>
      </w:r>
      <w:r>
        <w:t xml:space="preserve">Yunnan Provincial Institute of Cultural Relics and Archaeology, Kunming, China</w:t>
      </w:r>
      <w:r>
        <w:br/>
      </w:r>
      <w:r>
        <w:rPr>
          <w:vertAlign w:val="superscript"/>
        </w:rPr>
        <w:t xml:space="preserve">e</w:t>
      </w:r>
      <w:r>
        <w:t xml:space="preserve"> </w:t>
      </w:r>
      <w:r>
        <w:t xml:space="preserve">Department of Human Studies, Prehistoric and Anthropological Science Unit, University of Ferrara, Ferrara, Italy</w:t>
      </w:r>
      <w:r>
        <w:br/>
      </w:r>
      <w:r>
        <w:rPr>
          <w:vertAlign w:val="superscript"/>
        </w:rPr>
        <w:t xml:space="preserve">f</w:t>
      </w:r>
      <w:r>
        <w:t xml:space="preserve"> </w:t>
      </w:r>
      <w:r>
        <w:t xml:space="preserve">Consiglio Nazionale delle Ricerche-Institute of Environmental Geology and Geoengineering, Laboratory of Palynology and Palaeoecology, Research Group on Vegetation, Climate and Human Stratigraphy, Milan, Italy</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Ben Marwick &lt;bmarwick@uw.edu&gt;</w:t>
        </w:r>
      </w:hyperlink>
    </w:p>
    <w:p>
      <w:pPr>
        <w:pStyle w:val="BodyText"/>
      </w:pPr>
      <w:r>
        <w:t xml:space="preserve">Keywords: Middle Paleolithic, Southeastern Tibetan Plateau, Quina technology, Quina valleys</w:t>
      </w:r>
    </w:p>
    <w:bookmarkStart w:id="10" w:name="highlights"/>
    <w:p>
      <w:pPr>
        <w:pStyle w:val="Heading1"/>
      </w:pPr>
      <w:r>
        <w:t xml:space="preserve">Highlights</w:t>
      </w:r>
    </w:p>
    <w:bookmarkEnd w:id="10"/>
    <w:bookmarkStart w:id="11" w:name="introduction"/>
    <w:p>
      <w:pPr>
        <w:pStyle w:val="Heading1"/>
      </w:pPr>
      <w:r>
        <w:t xml:space="preserve">1. Introduction</w:t>
      </w:r>
    </w:p>
    <w:p>
      <w:pPr>
        <w:pStyle w:val="FirstParagraph"/>
      </w:pPr>
      <w:r>
        <w:t xml:space="preserve">The Middle Palaeolithic (~300-40 ka) was a period of marked diversity in both hominin populations and lithic technology, and what produced that diversity has been contested since Bordes read the variability of Mousterian assemblages as the signature of distinct cultural traditions</w:t>
      </w:r>
      <w:r>
        <w:t xml:space="preserve"> </w:t>
      </w:r>
      <w:r>
        <w:t xml:space="preserve">(Bordes, 1961a, 1950)</w:t>
      </w:r>
      <w:r>
        <w:t xml:space="preserve">. The same variability has since been attributed to the activities carried out at a site</w:t>
      </w:r>
      <w:r>
        <w:t xml:space="preserve"> </w:t>
      </w:r>
      <w:r>
        <w:t xml:space="preserve">(Binford and Binford, 1966)</w:t>
      </w:r>
      <w:r>
        <w:t xml:space="preserve">, to change through time</w:t>
      </w:r>
      <w:r>
        <w:t xml:space="preserve"> </w:t>
      </w:r>
      <w:r>
        <w:t xml:space="preserve">(Mellars, 1969)</w:t>
      </w:r>
      <w:r>
        <w:t xml:space="preserve">, to the raw material available locally and the distances over which it was moved</w:t>
      </w:r>
      <w:r>
        <w:t xml:space="preserve"> </w:t>
      </w:r>
      <w:r>
        <w:t xml:space="preserve">(Geneste, 1985; Kuhn, 1995)</w:t>
      </w:r>
      <w:r>
        <w:t xml:space="preserve">, and to the degree to which tools had been reduced</w:t>
      </w:r>
      <w:r>
        <w:t xml:space="preserve"> </w:t>
      </w:r>
      <w:r>
        <w:t xml:space="preserve">(Dibble, 1987)</w:t>
      </w:r>
      <w:r>
        <w:t xml:space="preserve">. The Quina Mousterian has been central to that debate.</w:t>
      </w:r>
    </w:p>
    <w:p>
      <w:pPr>
        <w:pStyle w:val="BodyText"/>
      </w:pPr>
      <w:r>
        <w:t xml:space="preserve">The Quina Mousterian is one of the best-defined Middle Palaeolithic techno-complexes</w:t>
      </w:r>
      <w:r>
        <w:t xml:space="preserve"> </w:t>
      </w:r>
      <w:r>
        <w:t xml:space="preserve">(Delagnes and Meignen, 2006; Faivre et al., 2017)</w:t>
      </w:r>
      <w:r>
        <w:t xml:space="preserve">, and what distinguishes it is not a tool type but a techno-economic system, the Quina system, whose defining features form three interlocking dimensions</w:t>
      </w:r>
      <w:r>
        <w:t xml:space="preserve"> </w:t>
      </w:r>
      <w:r>
        <w:t xml:space="preserve">(Delpiano et al., 2022; Peresani et al., 2023)</w:t>
      </w:r>
      <w:r>
        <w:t xml:space="preserve">. The first dimension is blank production. Quina cores receive little preparation and are reduced through alternating, concatenated removals on sub-parallel and secant surfaces, with invasive detachments that optimise the volume of stone converted into blanks</w:t>
      </w:r>
      <w:r>
        <w:t xml:space="preserve"> </w:t>
      </w:r>
      <w:r>
        <w:t xml:space="preserve">(Bourguignon, 1997; Turq, 2000; Turq, 1989)</w:t>
      </w:r>
      <w:r>
        <w:t xml:space="preserve">. The target product is a thick flake, asymmetric in cross-section, with a sharp cutting edge on one margin and a thick, often cortical, back opposite</w:t>
      </w:r>
      <w:r>
        <w:t xml:space="preserve"> </w:t>
      </w:r>
      <w:r>
        <w:t xml:space="preserve">(Hiscock et al., 2009; Turq, 1992)</w:t>
      </w:r>
      <w:r>
        <w:t xml:space="preserve">. This asymmetry is what allows such a tool to be repeatedly resharpened</w:t>
      </w:r>
      <w:r>
        <w:t xml:space="preserve"> </w:t>
      </w:r>
      <w:r>
        <w:t xml:space="preserve">(Hiscock et al., 2009; Turq, 1992)</w:t>
      </w:r>
      <w:r>
        <w:t xml:space="preserve">. The second dimension is edge maintenance, achieved through Quina retouch. Here the working edge is not merely produced but sustained, and resharpening follows a regular rhythm</w:t>
      </w:r>
      <w:r>
        <w:t xml:space="preserve"> </w:t>
      </w:r>
      <w:r>
        <w:t xml:space="preserve">(Bourguignon, 1997; Lemorini et al., 2016)</w:t>
      </w:r>
      <w:r>
        <w:t xml:space="preserve">. Early episodes detach relatively large resharpening flakes and leave convex scars, giving a plano-convex edge and preserving volume for later work; as retouch proceeds it concentrates on the margin itself, producing smaller concave scars with stepped or hinged terminations and a plano-concave edge that keeps the tool serviceable. Each generation of retouch therefore restores a working edge without drawing on new raw material. The third dimension is ramification of the reduction sequence</w:t>
      </w:r>
      <w:r>
        <w:t xml:space="preserve"> </w:t>
      </w:r>
      <w:r>
        <w:t xml:space="preserve">(Bourguignon et al., n.d.; Faivre et al., 2017)</w:t>
      </w:r>
      <w:r>
        <w:t xml:space="preserve">. Resharpening flakes detached during edge maintenance carry cutting edges of their own and can be used directly, as use-wear analysis has shown</w:t>
      </w:r>
      <w:r>
        <w:t xml:space="preserve"> </w:t>
      </w:r>
      <w:r>
        <w:t xml:space="preserve">(Claud et al., 2012)</w:t>
      </w:r>
      <w:r>
        <w:t xml:space="preserve">; in some cases they were themselves retouched into tools</w:t>
      </w:r>
      <w:r>
        <w:t xml:space="preserve"> </w:t>
      </w:r>
      <w:r>
        <w:t xml:space="preserve">(Ruan et al., 2025b)</w:t>
      </w:r>
      <w:r>
        <w:t xml:space="preserve">. Quina flakes, besides being shaped into Quina scrapers, are thick enough to serve as cores for small flakes (i.e. core-on-flake)</w:t>
      </w:r>
      <w:r>
        <w:t xml:space="preserve"> </w:t>
      </w:r>
      <w:r>
        <w:t xml:space="preserve">(Hiscock et al., 2009)</w:t>
      </w:r>
      <w:r>
        <w:t xml:space="preserve">. Use-wear on scrapers and resharpening flakes from the same assemblages indicates that the two were put to different tasks, scraping and cutting respectively</w:t>
      </w:r>
      <w:r>
        <w:t xml:space="preserve"> </w:t>
      </w:r>
      <w:r>
        <w:t xml:space="preserve">(Delpiano et al., 2022)</w:t>
      </w:r>
      <w:r>
        <w:t xml:space="preserve">, so that ramification widened the functional range of the toolkit as well as extending its life. Efficient blank production, intensive edge maintenance and ramification together create an economy of stone use in which the thick Quina flake functions as a transportable and highly extendable package of raw material, yielding a large amount of working edge from a small initial investment</w:t>
      </w:r>
      <w:r>
        <w:t xml:space="preserve"> </w:t>
      </w:r>
      <w:r>
        <w:t xml:space="preserve">(Delpiano et al., 2022; Hiscock et al., 2009)</w:t>
      </w:r>
      <w:r>
        <w:t xml:space="preserve">.</w:t>
      </w:r>
    </w:p>
    <w:p>
      <w:pPr>
        <w:pStyle w:val="BodyText"/>
      </w:pPr>
      <w:r>
        <w:t xml:space="preserve">Quina technology has been interpreted as an adaptation to high mobility in open environments where resources were patchily distributed and seasonally structured, and this interpretation rests on three lines of evidence. Faunal assemblages from Quina sites are typically dominated by a single gregarious and migratory species, most often reindeer, although equids and bovids predominate in some regions</w:t>
      </w:r>
      <w:r>
        <w:t xml:space="preserve"> </w:t>
      </w:r>
      <w:r>
        <w:t xml:space="preserve">(Castel et al., 2017; Delagnes and Rendu, 2011; Delpech, 1996; Delpiano et al., 2022)</w:t>
      </w:r>
      <w:r>
        <w:t xml:space="preserve">. Settlement organisation is correspondingly structured, with residential camps surrounded by task-specific satellite locations given over to hunting and carcass processing</w:t>
      </w:r>
      <w:r>
        <w:t xml:space="preserve"> </w:t>
      </w:r>
      <w:r>
        <w:t xml:space="preserve">(Delagnes and Rendu, 2011)</w:t>
      </w:r>
      <w:r>
        <w:t xml:space="preserve">. At the landscape scale, Quina assemblages occur in open, largly treeless in which prey were distributed across the terrain in a way that was patchy but not random</w:t>
      </w:r>
      <w:r>
        <w:t xml:space="preserve"> </w:t>
      </w:r>
      <w:r>
        <w:t xml:space="preserve">(Delpech, 1996; Hiscock et al., 2009)</w:t>
      </w:r>
      <w:r>
        <w:t xml:space="preserve">. Neanderthals under these conditions are argued to have relied on seasonal, high-mobility strategies of resource use and tool provisioning</w:t>
      </w:r>
      <w:r>
        <w:t xml:space="preserve"> </w:t>
      </w:r>
      <w:r>
        <w:t xml:space="preserve">(Delagnes and Rendu, 2011; Hiscock et al., 2009)</w:t>
      </w:r>
      <w:r>
        <w:t xml:space="preserve">, and it is here that the technological economy described above becomes advantageous: versatile blanks, tools with long use-lives and cores requiring little preparation together lower the time and energy costs of replacing equipment on the move, and reduce the risk both of being left without an effective cutting edge far from a source of raw material and of carrying a toolkit ill-suited to the tasks that a given season and location happened to present</w:t>
      </w:r>
      <w:r>
        <w:t xml:space="preserve"> </w:t>
      </w:r>
      <w:r>
        <w:t xml:space="preserve">(Delagnes and Rendu, 2011; Hiscock et al., 2009)</w:t>
      </w:r>
      <w:r>
        <w:t xml:space="preserve">.</w:t>
      </w:r>
    </w:p>
    <w:p>
      <w:pPr>
        <w:pStyle w:val="BodyText"/>
      </w:pPr>
      <w:r>
        <w:t xml:space="preserve">The distinction between the Quina system and Quina retouch alone matters when its distribution is assessed. In the strict sense, with blank production, edge maintenance and ramification operating together, Quina system is documented in western and southern Europe within a narrow interval between MIS 4 and early MIS 3, coinciding with pronounced global climatic instability</w:t>
      </w:r>
      <w:r>
        <w:t xml:space="preserve"> </w:t>
      </w:r>
      <w:r>
        <w:t xml:space="preserve">(Delagnes and Rendu, 2011; Delpiano et al., 2022)</w:t>
      </w:r>
      <w:r>
        <w:t xml:space="preserve">. Quina retouch taken on its own is far more widely distributed: in the Levant it has been reported in Acheulo–Yabrudian industries dating from as early as MIS 11</w:t>
      </w:r>
      <w:r>
        <w:t xml:space="preserve"> </w:t>
      </w:r>
      <w:r>
        <w:t xml:space="preserve">(Agam and Zupancich, 2020; Falguères et al., 2022; Zaidner and Weinstein-Evron, 2016)</w:t>
      </w:r>
      <w:r>
        <w:t xml:space="preserve">. The occurrence of so distinctive a way of maintaining a working edge in contexts this widely separated in time and space raises the possibility that Quina retouch is a recurrent solution to a recurrent problem rather than the signature of a single tradition. Neither the system nor Quina retouch, however, had been securely documented in the East Asia.</w:t>
      </w:r>
    </w:p>
    <w:p>
      <w:pPr>
        <w:pStyle w:val="BodyText"/>
      </w:pPr>
      <w:r>
        <w:t xml:space="preserve">Whether East Asia has a Middle Palaeolithic has long been contested. On the conventional view, substantial innovation in lithic technology was deferred until the Upper Palaeolithic, leaving no phase corresponding to the western Middle Palaeolithic</w:t>
      </w:r>
      <w:r>
        <w:t xml:space="preserve"> </w:t>
      </w:r>
      <w:r>
        <w:t xml:space="preserve">(Gao, 2013; Norton et al., 2009)</w:t>
      </w:r>
      <w:r>
        <w:t xml:space="preserve">. Recent discoveries have provided new evidence that is reshaping this long-standing understanding. Discoid technology is documented at Lingjing (~125–90 ka)</w:t>
      </w:r>
      <w:r>
        <w:t xml:space="preserve"> </w:t>
      </w:r>
      <w:r>
        <w:t xml:space="preserve">(Li et al., 2019; Zhao et al., 2026)</w:t>
      </w:r>
      <w:r>
        <w:t xml:space="preserve">, and Levallois technology at Guanyindong (~170–80 ka)</w:t>
      </w:r>
      <w:r>
        <w:t xml:space="preserve"> </w:t>
      </w:r>
      <w:r>
        <w:t xml:space="preserve">(Hu et al., 2019)</w:t>
      </w:r>
      <w:r>
        <w:t xml:space="preserve"> </w:t>
      </w:r>
      <w:r>
        <w:t xml:space="preserve">and Jinsitai (~47–37 ka)</w:t>
      </w:r>
      <w:r>
        <w:t xml:space="preserve"> </w:t>
      </w:r>
      <w:r>
        <w:t xml:space="preserve">(Li et al., 2018)</w:t>
      </w:r>
      <w:r>
        <w:t xml:space="preserve">. These finds indicate that the technological scenario of the East Asian Middle Palaeolithic is more complex than the conventional view allows. It is against this background that we identified a complete Quina system at Longtan, dated to ~60–50 ka</w:t>
      </w:r>
      <w:r>
        <w:t xml:space="preserve"> </w:t>
      </w:r>
      <w:r>
        <w:t xml:space="preserve">(Ruan et al., 2025b)</w:t>
      </w:r>
      <w:r>
        <w:t xml:space="preserve">, the first Quina site in East Asia to be unambiguously characterised, formally excavated, securely dated and systematically analysed. This discovery not only filled a long-standing gap in the eastern Old World distribution of Quina technology, but also provided new evidence for reassessing the diversity and complexity of the East Asian Middle Palaeolithic. More importantly, Longtan is unlikely to be an isolated case. Surface collections bearing Quina features have been recovered from river terraces at a number of localities in the Huangping Basin, where Longtan is situated, and in the neighbouring Binchuan Basin</w:t>
      </w:r>
      <w:r>
        <w:t xml:space="preserve"> </w:t>
      </w:r>
      <w:r>
        <w:t xml:space="preserve">(Ruan et al., 2025b;</w:t>
      </w:r>
      <w:r>
        <w:t xml:space="preserve"> </w:t>
      </w:r>
      <w:r>
        <w:t xml:space="preserve">Xiao et al.</w:t>
      </w:r>
      <w:r>
        <w:t xml:space="preserve">, 2024)</w:t>
      </w:r>
      <w:r>
        <w:t xml:space="preserve">. These finds suggest that Quina technology on the southeastern margin of the Tibetan Plateau may not be confined to a single site, but may instead represent a regional technological phenomenon of some spatial extent.</w:t>
      </w:r>
    </w:p>
    <w:p>
      <w:pPr>
        <w:pStyle w:val="BodyText"/>
      </w:pPr>
      <w:r>
        <w:t xml:space="preserve">The Huangping and Binchuan basins lie in the Hengduan Mountains, on the southeastern margin of the Tibetan Plateau, in what is today the dry-hot valley zone of the Jinsha River drainage. At roughly 26°N, in relief of this amplitude and under monsoon control</w:t>
      </w:r>
      <w:r>
        <w:t xml:space="preserve"> </w:t>
      </w:r>
      <w:r>
        <w:t xml:space="preserve">(Xiao et al., 2010; Zhisheng et al., 2011)</w:t>
      </w:r>
      <w:r>
        <w:t xml:space="preserve">, the region is governed by a climatic regime unlike the mid-latitude, glacial-stage settings of western Europe in which the European Quina is documented</w:t>
      </w:r>
      <w:r>
        <w:t xml:space="preserve"> </w:t>
      </w:r>
      <w:r>
        <w:t xml:space="preserve">(Delpech, 1996; Delpiano et al., 2022)</w:t>
      </w:r>
      <w:r>
        <w:t xml:space="preserve">. A technology usually associated with open landscapes, seasonally structured resources and high mobility subsistence therefore occurs here under a quite different climatic regime, and whether the two settings nonetheless resemble one another in the respects that bear on how technology was organised is a question we return to once the technological results are in place. All of the localities so far identified, moreover, apart from Longtan itself, are surface collections without absolute dates, so that whether they constitute a coherent regional technological entity is equally open.</w:t>
      </w:r>
    </w:p>
    <w:p>
      <w:pPr>
        <w:pStyle w:val="BodyText"/>
      </w:pPr>
      <w:r>
        <w:t xml:space="preserve">The analysis proceeds in two steps. We ask first whether the surface collections share a consistent technological concept with the Quina technology at Longtan, and can therefore be identified as a single regional technological entity, which we term the Quina Valley. To answer this we systematically analyse the most diagnostic elements of the Quina system, the Quina scrapers and the resharpening flakes removed in maintaining them, and assess their technological consistency with the excavated material from Longtan. Only if the first step can be sustained does the second question arise: whether such an entity can be accounted for by the environmental setting of the region, its available resources and the strategies by which technology was organised. Here we bring together the spatial distribution of the localities, the raw materials used at them and the environmental characteristics of the region. Taken together, these analyses clarify the regional distribution of Quina technology in East Asia and provide new insight into the relationship between environmental constraints, technological convergence and regional technological organisation during the Middle Palaeolithic.</w:t>
      </w:r>
    </w:p>
    <w:bookmarkEnd w:id="11"/>
    <w:bookmarkStart w:id="16" w:name="Xe64caa0b97daa935e0ab91f3be0165400be3f53"/>
    <w:p>
      <w:pPr>
        <w:pStyle w:val="Heading1"/>
      </w:pPr>
      <w:r>
        <w:t xml:space="preserve">2. Regional Geological and Palaeoenvironmental Setting</w:t>
      </w:r>
    </w:p>
    <w:p>
      <w:pPr>
        <w:pStyle w:val="FirstParagraph"/>
      </w:pPr>
      <w:r>
        <w:t xml:space="preserve">The tectonic framework of the study area determines both where its intermontane basins lie and where knappable stone is available within them. The area falls within the Jinsha River drainage in the southern Hengduan Mountains, on the southeastern margin of the Tibetan Plateau, and is controlled by a system of approximately north–south trending faults: continued relative uplift of massifs such as Yulong Mountains and Diancang Shan, alternating with subsidence of the ground between them, has produced a series of north–south trending intermontane basins, among them Lijiang, Heqing and Dali [Li et al. 2014]. This alternation of uplifted ranges and downfaulted basins shelters the deeply incised valley floors from precipitation carried by the Indian monsoon and the warm, moist airflow from the southwest, and gives them, today, a dry-hot valley climate marked by a sharp division between wet and dry seasons and by high insolation; the modern vegetation is dominated by drought-tolerant shrub and savanna formations [ref]. The Quina localities discussed here are concentrated in two of these basins, the Huangping Basin in the southwest of Heqing County and the neighbouring Binchuan Basin, each of them cut by tributaries of the Jinsha River: the Caifeng River in the Huangping Basin, and the Sangyuan River together with its tributary the Liandong River in the Binchuan Basin (</w:t>
      </w:r>
      <w:hyperlink w:anchor="fig-study-area">
        <w:r>
          <w:rPr>
            <w:rStyle w:val="Hyperlink"/>
          </w:rPr>
          <w:t xml:space="preserve">Fig. 1</w:t>
        </w:r>
      </w:hyperlink>
      <w:r>
        <w:t xml:space="preserve">). The two basins differ in bedrock. Permian volcanic rocks are extensively exposed along the western side of the Huangping Basin, with Triassic sedimentary rocks predominating to the east, whereas the Binchuan Basin is largely mantled by unconsolidated Quaternary sediments and exposes its Permian volcanic basement only locally [ref]. The volcanic sequence comprises basalt, tuff and trachyte [ref]. Because the rivers of both basins cut across these outcrops, volcanic cobbles were carried into the gravel bars of the valley floors, and it was these bars, rather than the outcrops themselves, that supplied the stone used at the localities.</w:t>
      </w:r>
    </w:p>
    <w:tbl>
      <w:tblPr>
        <w:tblStyle w:val="Table"/>
        <w:tblW w:type="pct" w:w="5000"/>
        <w:tblLayout w:type="fixed"/>
        <w:tblLook w:firstRow="0" w:lastRow="0" w:firstColumn="0" w:lastColumn="0" w:noHBand="0" w:noVBand="0" w:val="0000"/>
      </w:tblPr>
      <w:tblGrid>
        <w:gridCol w:w="7920"/>
      </w:tblGrid>
      <w:tr>
        <w:tc>
          <w:tcPr/>
          <w:bookmarkStart w:id="15" w:name="fig-study-area"/>
          <w:p>
            <w:pPr>
              <w:pStyle w:val="Compact"/>
              <w:jc w:val="center"/>
            </w:pPr>
            <w:r>
              <w:drawing>
                <wp:inline>
                  <wp:extent cx="5394960" cy="4396859"/>
                  <wp:effectExtent b="0" l="0" r="0" t="0"/>
                  <wp:docPr descr="" title="" id="13" name="Picture"/>
                  <a:graphic>
                    <a:graphicData uri="http://schemas.openxmlformats.org/drawingml/2006/picture">
                      <pic:pic>
                        <pic:nvPicPr>
                          <pic:cNvPr descr="../figures/study_area.png" id="14" name="Picture"/>
                          <pic:cNvPicPr>
                            <a:picLocks noChangeArrowheads="1" noChangeAspect="1"/>
                          </pic:cNvPicPr>
                        </pic:nvPicPr>
                        <pic:blipFill>
                          <a:blip r:embed="rId12"/>
                          <a:stretch>
                            <a:fillRect/>
                          </a:stretch>
                        </pic:blipFill>
                        <pic:spPr bwMode="auto">
                          <a:xfrm>
                            <a:off x="0" y="0"/>
                            <a:ext cx="5394960" cy="4396859"/>
                          </a:xfrm>
                          <a:prstGeom prst="rect">
                            <a:avLst/>
                          </a:prstGeom>
                          <a:noFill/>
                          <a:ln w="9525">
                            <a:noFill/>
                            <a:headEnd/>
                            <a:tailEnd/>
                          </a:ln>
                        </pic:spPr>
                      </pic:pic>
                    </a:graphicData>
                  </a:graphic>
                </wp:inline>
              </w:drawing>
            </w:r>
          </w:p>
          <w:p>
            <w:pPr>
              <w:jc w:val="center"/>
            </w:pPr>
            <w:pPr>
              <w:jc w:val="left"/>
              <w:spacing w:before="200"/>
              <w:pStyle w:val="ImageCaption"/>
            </w:pPr>
            <w:r>
              <w:t xml:space="preserve">Fig. 1: The study area. (A) Position on the southeastern margin of the Tibetan Plateau, with an oblique block model of the two basins and the three surveyed valleys; relief is rendered from the SRTM DEM at ~3× vertical exaggeration. (B) The Quina-bearing localities on shaded relief, with symbol fill giving the basin and symbol shape the position within the terrace sequence. (C) Topographic profile along a traverse visiting every locality, the localities being ordered by position along their own valley rather than by latitude; each is plotted at its recorded elevation, and the dashed hairlines give the offset to the DEM surface, which is appreciable only at the two hilltop localities and at the cave of Tianhuadong. [[Vertical exaggeration of (C) to be stated.]]</w:t>
            </w:r>
          </w:p>
          <w:bookmarkEnd w:id="15"/>
        </w:tc>
      </w:tr>
    </w:tbl>
    <w:p>
      <w:pPr>
        <w:pStyle w:val="BodyText"/>
      </w:pPr>
      <w:r>
        <w:t xml:space="preserve">The regional monsoon record places the occupation of these basins within an interval of recurrent aridity rather than within a settled climatic phase. The nearest palaeoclimate records covering this period come from the lacustrine sediments of the Heqing Basin, about 60 km north of the Huangping and Binchuan basins and some 650 m higher, which are among the longest and most continuous environmental sequences available for the Asian monsoon domain and are highly sensitive to variation in the Indian Summer Monsoon (ISM) [Xiao et al. 2010; An et al. 2011]. Magnetic and geochemical proxies there record a return to aridity between 69 and 57 ka, corresponding to MIS 4, and a generally humid MIS 3 thereafter, punctuated by repeated arid events [Yang et al. 2025]; millennial-scale weakenings of the monsoon, corresponding closely to North Atlantic cold events, have been resolved in the same basin from 52 ka onwards [Hou et al. 2026], overlapping the end of the interval dated at Longtan and continuing after it. Given the distance and altitudinal offset just noted, these records register monsoon variation at a regional scale rather than local conditions at any one place, and we treat them here as context rather than as a proxy for the localities themselves. Read at that scale, what matters is not whether a particular stage was on balance wetter or drier, but that the occupation falls where the MIS 4 arid phase gives way to a monsoon recovery that was itself repeatedly interrupted.</w:t>
      </w:r>
    </w:p>
    <w:p>
      <w:pPr>
        <w:pStyle w:val="BodyText"/>
      </w:pPr>
      <w:r>
        <w:t xml:space="preserve">Longtan provides the local counterpart to this regional picture, since it preserves both a secure chronology and a record of vegetation change. Optically stimulated luminescence (OSL) dating places its in situ cultural layer at ~60–50 ka</w:t>
      </w:r>
      <w:r>
        <w:t xml:space="preserve"> </w:t>
      </w:r>
      <w:r>
        <w:t xml:space="preserve">(Ruan et al., 2025b)</w:t>
      </w:r>
      <w:r>
        <w:t xml:space="preserve">, and Longtan remains the only locality in the study area dated in this way; OSL ages of ~90–40 ka have been reported for the cultural layers at the nearby Tianhuadong site [ref], but neither its chronology nor its technological attribution is yet secure enough to carry weight here. The surface collections examined below have no independent age control, and the Longtan dates cannot be transferred to them: what those dates establish is when the Quina system was present in this landscape, not when any individual collection was formed. What Longtan adds beyond a date is a local environmental record. Pollen analysis there documents a transition from coniferous forest to a more open woodland-steppe, with the Quina-bearing layer falling within the phase of vegetation opening</w:t>
      </w:r>
      <w:r>
        <w:t xml:space="preserve"> </w:t>
      </w:r>
      <w:r>
        <w:t xml:space="preserve">(Ruan et al., 2025b)</w:t>
      </w:r>
      <w:r>
        <w:t xml:space="preserve">; in relief of this amplitude a valley-floor spectrum integrates vegetation from several altitudinal belts, so this is better read as a relative shift towards more open conditions than as a measure of the vegetation immediately around the site. Taken together, the two records indicate that hominins were present in this landscape while it was becoming more open locally, and during an interval when the regional monsoon system was subject to repeated interruption. Whether that setting can account for the technology found within it is a question we return to once the technological results have been presented.</w:t>
      </w:r>
    </w:p>
    <w:bookmarkEnd w:id="16"/>
    <w:bookmarkStart w:id="22" w:name="materials-and-methods"/>
    <w:p>
      <w:pPr>
        <w:pStyle w:val="Heading1"/>
      </w:pPr>
      <w:r>
        <w:t xml:space="preserve">3. Materials and methods</w:t>
      </w:r>
    </w:p>
    <w:bookmarkStart w:id="18" w:name="survey-and-selection-of-localities"/>
    <w:p>
      <w:pPr>
        <w:pStyle w:val="Heading2"/>
      </w:pPr>
      <w:r>
        <w:t xml:space="preserve">3.1 Survey and selection of localities</w:t>
      </w:r>
    </w:p>
    <w:p>
      <w:pPr>
        <w:pStyle w:val="FirstParagraph"/>
      </w:pPr>
      <w:r>
        <w:t xml:space="preserve">The surface material analysed here was recovered during four seasons of pedestrian survey in the Huangping and Binchuan basins, carried out in 2010, 2013, 2016 and 2022. Survey followed the main valleys of the two basins, the Caifeng River in the Huangping Basin and the Sangyuan River together with its tributary the Liandong River in the Binchuan Basin, and each flight of river terraces was walked in turn. Survey areas and walking routes were designed to cover the full range of landforms that humans might have used in the past. Routes were recorded continuously using the mobile GPS application 2bulu, localities and artefacts were photographed, and a field form was completed for each locality giving its position, its place within the terrace sequence, its straight-line distance to the river channel, and the number and types of artefacts present.</w:t>
      </w:r>
    </w:p>
    <w:p>
      <w:pPr>
        <w:pStyle w:val="BodyText"/>
      </w:pPr>
      <w:r>
        <w:t xml:space="preserve">Because this study is concerned with Quina technology, the localities recorded during survey were then screened, and only those yielding diagnostic Quina scrapers and resharpening flakes were retained. On this criterion, 22 of the 33 localities recorded in the Binchuan Basin (67%) and all five of those recorded in the Huangping Basin contain Quina specimens (</w:t>
      </w:r>
      <w:hyperlink w:anchor="tbl-localities">
        <w:r>
          <w:rPr>
            <w:rStyle w:val="Hyperlink"/>
          </w:rPr>
          <w:t xml:space="preserve">Table 1</w:t>
        </w:r>
      </w:hyperlink>
      <w:r>
        <w:t xml:space="preserve">). Two consequences of this design should be stated at the outset. First, the criterion is one of presence rather than of degree: localities were retained on whether Quina pieces occur at them, not on how those pieces were made or how far they had been reduced, so that none of the technological variables analysed below entered the selection. Second, what Section 4 reports are patterns among Quina-bearing localities rather than a map of Quina technology across the two basins; since the visibility of surface localities depends on exposure, vegetation cover and survey intensity, these patterns are read here as trends and not as reality densities.</w:t>
      </w:r>
    </w:p>
    <w:tbl>
      <w:tblPr>
        <w:tblStyle w:val="Table"/>
        <w:tblW w:type="pct" w:w="5000"/>
        <w:tblLayout w:type="fixed"/>
        <w:tblLook w:firstRow="0" w:lastRow="0" w:firstColumn="0" w:lastColumn="0" w:noHBand="0" w:noVBand="0" w:val="0000"/>
      </w:tblPr>
      <w:tblGrid>
        <w:gridCol w:w="7920"/>
      </w:tblGrid>
      <w:tr>
        <w:tc>
          <w:tcPr/>
          <w:bookmarkStart w:id="17" w:name="tbl-localities"/>
          <w:p>
            <w:pPr>
              <w:jc w:val="center"/>
            </w:pPr>
            <w:pPr>
              <w:jc w:val="left"/>
              <w:spacing w:before="200"/>
              <w:pStyle w:val="ImageCaption"/>
            </w:pPr>
            <w:r>
              <w:t xml:space="preserve">Table 1: The Quina-bearing localities retained for analysis, by basin and valley. Landform is the position within the terrace sequence, T2 the lowest terrace, with the three localities standing well above that sequence entered as hilltops. Coordinates are degrees, minutes and seconds, and elevation is metres above sea level. The last two columns give the assemblage on which the analyses below are based.</w:t>
            </w:r>
          </w:p>
          <w:tbl>
            <w:tblPr>
              <w:tblStyle w:val="Table"/>
              <w:tblW w:type="pct" w:w="5000"/>
              <w:tblLayout w:type="fixed"/>
              <w:tblLook w:firstRow="1" w:lastRow="0" w:firstColumn="0" w:lastColumn="0" w:noHBand="0" w:noVBand="0" w:val="0020"/>
            </w:tblPr>
            <w:tblGrid>
              <w:gridCol w:w="2405"/>
              <w:gridCol w:w="528"/>
              <w:gridCol w:w="528"/>
              <w:gridCol w:w="762"/>
              <w:gridCol w:w="821"/>
              <w:gridCol w:w="821"/>
              <w:gridCol w:w="880"/>
              <w:gridCol w:w="1173"/>
            </w:tblGrid>
            <w:tr>
              <w:trPr>
                <w:tblHeader w:val="on"/>
              </w:trPr>
              <w:tc>
                <w:tcPr/>
                <w:p>
                  <w:pPr>
                    <w:pStyle w:val="Compact"/>
                    <w:jc w:val="left"/>
                    <w:jc w:val="center"/>
                  </w:pPr>
                  <w:r>
                    <w:t xml:space="preserve">Locality</w:t>
                  </w:r>
                </w:p>
              </w:tc>
              <w:tc>
                <w:tcPr/>
                <w:p>
                  <w:pPr>
                    <w:pStyle w:val="Compact"/>
                    <w:jc w:val="left"/>
                    <w:jc w:val="center"/>
                  </w:pPr>
                  <w:r>
                    <w:t xml:space="preserve">Valley</w:t>
                  </w:r>
                </w:p>
              </w:tc>
              <w:tc>
                <w:tcPr/>
                <w:p>
                  <w:pPr>
                    <w:pStyle w:val="Compact"/>
                    <w:jc w:val="left"/>
                    <w:jc w:val="center"/>
                  </w:pPr>
                  <w:r>
                    <w:t xml:space="preserve">Landform</w:t>
                  </w:r>
                </w:p>
              </w:tc>
              <w:tc>
                <w:tcPr/>
                <w:p>
                  <w:pPr>
                    <w:pStyle w:val="Compact"/>
                    <w:jc w:val="right"/>
                    <w:jc w:val="center"/>
                  </w:pPr>
                  <w:r>
                    <w:t xml:space="preserve">Latitude</w:t>
                  </w:r>
                </w:p>
              </w:tc>
              <w:tc>
                <w:tcPr/>
                <w:p>
                  <w:pPr>
                    <w:pStyle w:val="Compact"/>
                    <w:jc w:val="right"/>
                    <w:jc w:val="center"/>
                  </w:pPr>
                  <w:r>
                    <w:t xml:space="preserve">Longitude</w:t>
                  </w:r>
                </w:p>
              </w:tc>
              <w:tc>
                <w:tcPr/>
                <w:p>
                  <w:pPr>
                    <w:pStyle w:val="Compact"/>
                    <w:jc w:val="right"/>
                    <w:jc w:val="center"/>
                  </w:pPr>
                  <w:r>
                    <w:t xml:space="preserve">Elevation (m)</w:t>
                  </w:r>
                </w:p>
              </w:tc>
              <w:tc>
                <w:tcPr/>
                <w:p>
                  <w:pPr>
                    <w:pStyle w:val="Compact"/>
                    <w:jc w:val="right"/>
                    <w:jc w:val="center"/>
                  </w:pPr>
                  <w:r>
                    <w:t xml:space="preserve">Quina scrapers</w:t>
                  </w:r>
                </w:p>
              </w:tc>
              <w:tc>
                <w:tcPr/>
                <w:p>
                  <w:pPr>
                    <w:pStyle w:val="Compact"/>
                    <w:jc w:val="right"/>
                    <w:jc w:val="center"/>
                  </w:pPr>
                  <w:r>
                    <w:t xml:space="preserve">Resharpening flakes</w:t>
                  </w:r>
                </w:p>
              </w:tc>
            </w:tr>
            <w:tr>
              <w:tc>
                <w:tcPr/>
                <w:p>
                  <w:pPr>
                    <w:pStyle w:val="Compact"/>
                    <w:jc w:val="left"/>
                    <w:jc w:val="center"/>
                  </w:pPr>
                  <w:r>
                    <w:rPr>
                      <w:b/>
                      <w:bCs/>
                    </w:rPr>
                    <w:t xml:space="preserve">Binchuan Basin</w:t>
                  </w:r>
                  <w:r>
                    <w:t xml:space="preserve"> </w:t>
                  </w:r>
                  <w:r>
                    <w:t xml:space="preserve">(</w:t>
                  </w:r>
                  <w:r>
                    <w:rPr>
                      <w:i/>
                      <w:iCs/>
                    </w:rPr>
                    <w:t xml:space="preserve">n</w:t>
                  </w:r>
                  <w:r>
                    <w:t xml:space="preserve"> </w:t>
                  </w:r>
                  <w:r>
                    <w:t xml:space="preserve">= 22 localities)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46</w:t>
                  </w:r>
                </w:p>
              </w:tc>
              <w:tc>
                <w:tcPr/>
                <w:p>
                  <w:pPr>
                    <w:pStyle w:val="Compact"/>
                    <w:jc w:val="right"/>
                    <w:jc w:val="center"/>
                  </w:pPr>
                  <w:r>
                    <w:t xml:space="preserve">11</w:t>
                  </w:r>
                </w:p>
              </w:tc>
            </w:tr>
            <w:tr>
              <w:tc>
                <w:tcPr/>
                <w:p>
                  <w:pPr>
                    <w:pStyle w:val="Compact"/>
                    <w:jc w:val="left"/>
                    <w:jc w:val="center"/>
                  </w:pPr>
                  <w:r>
                    <w:t xml:space="preserve">   Haibacun</w:t>
                  </w:r>
                </w:p>
              </w:tc>
              <w:tc>
                <w:tcPr/>
                <w:p>
                  <w:pPr>
                    <w:pStyle w:val="Compact"/>
                    <w:jc w:val="left"/>
                    <w:jc w:val="center"/>
                  </w:pPr>
                  <w:r>
                    <w:t xml:space="preserve">Sangyuan</w:t>
                  </w:r>
                </w:p>
              </w:tc>
              <w:tc>
                <w:tcPr/>
                <w:p>
                  <w:pPr>
                    <w:pStyle w:val="Compact"/>
                    <w:jc w:val="left"/>
                    <w:jc w:val="center"/>
                  </w:pPr>
                  <w:r>
                    <w:t xml:space="preserve">hilltop</w:t>
                  </w:r>
                </w:p>
              </w:tc>
              <w:tc>
                <w:tcPr/>
                <w:p>
                  <w:pPr>
                    <w:pStyle w:val="Compact"/>
                    <w:jc w:val="right"/>
                    <w:jc w:val="center"/>
                  </w:pPr>
                  <w:r>
                    <w:t xml:space="preserve">25°59′47.9″N</w:t>
                  </w:r>
                </w:p>
              </w:tc>
              <w:tc>
                <w:tcPr/>
                <w:p>
                  <w:pPr>
                    <w:pStyle w:val="Compact"/>
                    <w:jc w:val="right"/>
                    <w:jc w:val="center"/>
                  </w:pPr>
                  <w:r>
                    <w:t xml:space="preserve">100°31′10.5″E</w:t>
                  </w:r>
                </w:p>
              </w:tc>
              <w:tc>
                <w:tcPr/>
                <w:p>
                  <w:pPr>
                    <w:pStyle w:val="Compact"/>
                    <w:jc w:val="right"/>
                    <w:jc w:val="center"/>
                  </w:pPr>
                  <w:r>
                    <w:t xml:space="preserve">1498</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   Zhaizishan</w:t>
                  </w:r>
                </w:p>
              </w:tc>
              <w:tc>
                <w:tcPr/>
                <w:p>
                  <w:pPr>
                    <w:pStyle w:val="Compact"/>
                    <w:jc w:val="left"/>
                    <w:jc w:val="center"/>
                  </w:pPr>
                  <w:r>
                    <w:t xml:space="preserve">Sangyuan</w:t>
                  </w:r>
                </w:p>
              </w:tc>
              <w:tc>
                <w:tcPr/>
                <w:p>
                  <w:pPr>
                    <w:pStyle w:val="Compact"/>
                    <w:jc w:val="left"/>
                    <w:jc w:val="center"/>
                  </w:pPr>
                  <w:r>
                    <w:t xml:space="preserve">T3</w:t>
                  </w:r>
                </w:p>
              </w:tc>
              <w:tc>
                <w:tcPr/>
                <w:p>
                  <w:pPr>
                    <w:pStyle w:val="Compact"/>
                    <w:jc w:val="right"/>
                    <w:jc w:val="center"/>
                  </w:pPr>
                  <w:r>
                    <w:t xml:space="preserve">25°58′55.6″N</w:t>
                  </w:r>
                </w:p>
              </w:tc>
              <w:tc>
                <w:tcPr/>
                <w:p>
                  <w:pPr>
                    <w:pStyle w:val="Compact"/>
                    <w:jc w:val="right"/>
                    <w:jc w:val="center"/>
                  </w:pPr>
                  <w:r>
                    <w:t xml:space="preserve">100°32′04.5″E</w:t>
                  </w:r>
                </w:p>
              </w:tc>
              <w:tc>
                <w:tcPr/>
                <w:p>
                  <w:pPr>
                    <w:pStyle w:val="Compact"/>
                    <w:jc w:val="right"/>
                    <w:jc w:val="center"/>
                  </w:pPr>
                  <w:r>
                    <w:t xml:space="preserve">1378</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   Wuguiqing</w:t>
                  </w:r>
                </w:p>
              </w:tc>
              <w:tc>
                <w:tcPr/>
                <w:p>
                  <w:pPr>
                    <w:pStyle w:val="Compact"/>
                    <w:jc w:val="left"/>
                    <w:jc w:val="center"/>
                  </w:pPr>
                  <w:r>
                    <w:t xml:space="preserve">Sangyuan</w:t>
                  </w:r>
                </w:p>
              </w:tc>
              <w:tc>
                <w:tcPr/>
                <w:p>
                  <w:pPr>
                    <w:pStyle w:val="Compact"/>
                    <w:jc w:val="left"/>
                    <w:jc w:val="center"/>
                  </w:pPr>
                  <w:r>
                    <w:t xml:space="preserve">hilltop</w:t>
                  </w:r>
                </w:p>
              </w:tc>
              <w:tc>
                <w:tcPr/>
                <w:p>
                  <w:pPr>
                    <w:pStyle w:val="Compact"/>
                    <w:jc w:val="right"/>
                    <w:jc w:val="center"/>
                  </w:pPr>
                  <w:r>
                    <w:t xml:space="preserve">26°00′00.6″N</w:t>
                  </w:r>
                </w:p>
              </w:tc>
              <w:tc>
                <w:tcPr/>
                <w:p>
                  <w:pPr>
                    <w:pStyle w:val="Compact"/>
                    <w:jc w:val="right"/>
                    <w:jc w:val="center"/>
                  </w:pPr>
                  <w:r>
                    <w:t xml:space="preserve">100°31′18.7″E</w:t>
                  </w:r>
                </w:p>
              </w:tc>
              <w:tc>
                <w:tcPr/>
                <w:p>
                  <w:pPr>
                    <w:pStyle w:val="Compact"/>
                    <w:jc w:val="right"/>
                    <w:jc w:val="center"/>
                  </w:pPr>
                  <w:r>
                    <w:t xml:space="preserve">1542</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   Dapingdi 1</w:t>
                  </w:r>
                </w:p>
              </w:tc>
              <w:tc>
                <w:tcPr/>
                <w:p>
                  <w:pPr>
                    <w:pStyle w:val="Compact"/>
                    <w:jc w:val="left"/>
                    <w:jc w:val="center"/>
                  </w:pPr>
                  <w:r>
                    <w:t xml:space="preserve">Sangyuan</w:t>
                  </w:r>
                </w:p>
              </w:tc>
              <w:tc>
                <w:tcPr/>
                <w:p>
                  <w:pPr>
                    <w:pStyle w:val="Compact"/>
                    <w:jc w:val="left"/>
                    <w:jc w:val="center"/>
                  </w:pPr>
                  <w:r>
                    <w:t xml:space="preserve">T3</w:t>
                  </w:r>
                </w:p>
              </w:tc>
              <w:tc>
                <w:tcPr/>
                <w:p>
                  <w:pPr>
                    <w:pStyle w:val="Compact"/>
                    <w:jc w:val="right"/>
                    <w:jc w:val="center"/>
                  </w:pPr>
                  <w:r>
                    <w:t xml:space="preserve">26°00′00.7″N</w:t>
                  </w:r>
                </w:p>
              </w:tc>
              <w:tc>
                <w:tcPr/>
                <w:p>
                  <w:pPr>
                    <w:pStyle w:val="Compact"/>
                    <w:jc w:val="right"/>
                    <w:jc w:val="center"/>
                  </w:pPr>
                  <w:r>
                    <w:t xml:space="preserve">100°32′20.9″E</w:t>
                  </w:r>
                </w:p>
              </w:tc>
              <w:tc>
                <w:tcPr/>
                <w:p>
                  <w:pPr>
                    <w:pStyle w:val="Compact"/>
                    <w:jc w:val="right"/>
                    <w:jc w:val="center"/>
                  </w:pPr>
                  <w:r>
                    <w:t xml:space="preserve">1359</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   Dapingdi 2</w:t>
                  </w:r>
                </w:p>
              </w:tc>
              <w:tc>
                <w:tcPr/>
                <w:p>
                  <w:pPr>
                    <w:pStyle w:val="Compact"/>
                    <w:jc w:val="left"/>
                    <w:jc w:val="center"/>
                  </w:pPr>
                  <w:r>
                    <w:t xml:space="preserve">Sangyuan</w:t>
                  </w:r>
                </w:p>
              </w:tc>
              <w:tc>
                <w:tcPr/>
                <w:p>
                  <w:pPr>
                    <w:pStyle w:val="Compact"/>
                    <w:jc w:val="left"/>
                    <w:jc w:val="center"/>
                  </w:pPr>
                  <w:r>
                    <w:t xml:space="preserve">T3</w:t>
                  </w:r>
                </w:p>
              </w:tc>
              <w:tc>
                <w:tcPr/>
                <w:p>
                  <w:pPr>
                    <w:pStyle w:val="Compact"/>
                    <w:jc w:val="right"/>
                    <w:jc w:val="center"/>
                  </w:pPr>
                  <w:r>
                    <w:t xml:space="preserve">26°00′02.8″N</w:t>
                  </w:r>
                </w:p>
              </w:tc>
              <w:tc>
                <w:tcPr/>
                <w:p>
                  <w:pPr>
                    <w:pStyle w:val="Compact"/>
                    <w:jc w:val="right"/>
                    <w:jc w:val="center"/>
                  </w:pPr>
                  <w:r>
                    <w:t xml:space="preserve">100°32′16.7″E</w:t>
                  </w:r>
                </w:p>
              </w:tc>
              <w:tc>
                <w:tcPr/>
                <w:p>
                  <w:pPr>
                    <w:pStyle w:val="Compact"/>
                    <w:jc w:val="right"/>
                    <w:jc w:val="center"/>
                  </w:pPr>
                  <w:r>
                    <w:t xml:space="preserve">1380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   Yanjianqiao</w:t>
                  </w:r>
                </w:p>
              </w:tc>
              <w:tc>
                <w:tcPr/>
                <w:p>
                  <w:pPr>
                    <w:pStyle w:val="Compact"/>
                    <w:jc w:val="left"/>
                    <w:jc w:val="center"/>
                  </w:pPr>
                  <w:r>
                    <w:t xml:space="preserve">Sangyuan</w:t>
                  </w:r>
                </w:p>
              </w:tc>
              <w:tc>
                <w:tcPr/>
                <w:p>
                  <w:pPr>
                    <w:pStyle w:val="Compact"/>
                    <w:jc w:val="left"/>
                    <w:jc w:val="center"/>
                  </w:pPr>
                  <w:r>
                    <w:t xml:space="preserve">T3</w:t>
                  </w:r>
                </w:p>
              </w:tc>
              <w:tc>
                <w:tcPr/>
                <w:p>
                  <w:pPr>
                    <w:pStyle w:val="Compact"/>
                    <w:jc w:val="right"/>
                    <w:jc w:val="center"/>
                  </w:pPr>
                  <w:r>
                    <w:t xml:space="preserve">25°57′31.7″N</w:t>
                  </w:r>
                </w:p>
              </w:tc>
              <w:tc>
                <w:tcPr/>
                <w:p>
                  <w:pPr>
                    <w:pStyle w:val="Compact"/>
                    <w:jc w:val="right"/>
                    <w:jc w:val="center"/>
                  </w:pPr>
                  <w:r>
                    <w:t xml:space="preserve">100°31′48.0″E</w:t>
                  </w:r>
                </w:p>
              </w:tc>
              <w:tc>
                <w:tcPr/>
                <w:p>
                  <w:pPr>
                    <w:pStyle w:val="Compact"/>
                    <w:jc w:val="right"/>
                    <w:jc w:val="center"/>
                  </w:pPr>
                  <w:r>
                    <w:t xml:space="preserve">1406</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   Zhouxiyingliangzi</w:t>
                  </w:r>
                </w:p>
              </w:tc>
              <w:tc>
                <w:tcPr/>
                <w:p>
                  <w:pPr>
                    <w:pStyle w:val="Compact"/>
                    <w:jc w:val="left"/>
                    <w:jc w:val="center"/>
                  </w:pPr>
                  <w:r>
                    <w:t xml:space="preserve">Liandong</w:t>
                  </w:r>
                </w:p>
              </w:tc>
              <w:tc>
                <w:tcPr/>
                <w:p>
                  <w:pPr>
                    <w:pStyle w:val="Compact"/>
                    <w:jc w:val="left"/>
                    <w:jc w:val="center"/>
                  </w:pPr>
                  <w:r>
                    <w:t xml:space="preserve">T3</w:t>
                  </w:r>
                </w:p>
              </w:tc>
              <w:tc>
                <w:tcPr/>
                <w:p>
                  <w:pPr>
                    <w:pStyle w:val="Compact"/>
                    <w:jc w:val="right"/>
                    <w:jc w:val="center"/>
                  </w:pPr>
                  <w:r>
                    <w:t xml:space="preserve">25°49′43.5″N</w:t>
                  </w:r>
                </w:p>
              </w:tc>
              <w:tc>
                <w:tcPr/>
                <w:p>
                  <w:pPr>
                    <w:pStyle w:val="Compact"/>
                    <w:jc w:val="right"/>
                    <w:jc w:val="center"/>
                  </w:pPr>
                  <w:r>
                    <w:t xml:space="preserve">100°32′05.5″E</w:t>
                  </w:r>
                </w:p>
              </w:tc>
              <w:tc>
                <w:tcPr/>
                <w:p>
                  <w:pPr>
                    <w:pStyle w:val="Compact"/>
                    <w:jc w:val="right"/>
                    <w:jc w:val="center"/>
                  </w:pPr>
                  <w:r>
                    <w:t xml:space="preserve">1511</w:t>
                  </w:r>
                </w:p>
              </w:tc>
              <w:tc>
                <w:tcPr/>
                <w:p>
                  <w:pPr>
                    <w:pStyle w:val="Compact"/>
                    <w:jc w:val="right"/>
                    <w:jc w:val="center"/>
                  </w:pPr>
                  <w:r>
                    <w:t xml:space="preserve">2</w:t>
                  </w:r>
                </w:p>
              </w:tc>
              <w:tc>
                <w:tcPr/>
                <w:p>
                  <w:pPr>
                    <w:pStyle w:val="Compact"/>
                    <w:jc w:val="right"/>
                    <w:jc w:val="center"/>
                  </w:pPr>
                  <w:r>
                    <w:t xml:space="preserve">0</w:t>
                  </w:r>
                </w:p>
              </w:tc>
            </w:tr>
            <w:tr>
              <w:tc>
                <w:tcPr/>
                <w:p>
                  <w:pPr>
                    <w:pStyle w:val="Compact"/>
                    <w:jc w:val="left"/>
                    <w:jc w:val="center"/>
                  </w:pPr>
                  <w:r>
                    <w:t xml:space="preserve">   Zhongjialiangzi</w:t>
                  </w:r>
                </w:p>
              </w:tc>
              <w:tc>
                <w:tcPr/>
                <w:p>
                  <w:pPr>
                    <w:pStyle w:val="Compact"/>
                    <w:jc w:val="left"/>
                    <w:jc w:val="center"/>
                  </w:pPr>
                  <w:r>
                    <w:t xml:space="preserve">Liandong</w:t>
                  </w:r>
                </w:p>
              </w:tc>
              <w:tc>
                <w:tcPr/>
                <w:p>
                  <w:pPr>
                    <w:pStyle w:val="Compact"/>
                    <w:jc w:val="left"/>
                    <w:jc w:val="center"/>
                  </w:pPr>
                  <w:r>
                    <w:t xml:space="preserve">T3</w:t>
                  </w:r>
                </w:p>
              </w:tc>
              <w:tc>
                <w:tcPr/>
                <w:p>
                  <w:pPr>
                    <w:pStyle w:val="Compact"/>
                    <w:jc w:val="right"/>
                    <w:jc w:val="center"/>
                  </w:pPr>
                  <w:r>
                    <w:t xml:space="preserve">25°54′07.4″N</w:t>
                  </w:r>
                </w:p>
              </w:tc>
              <w:tc>
                <w:tcPr/>
                <w:p>
                  <w:pPr>
                    <w:pStyle w:val="Compact"/>
                    <w:jc w:val="right"/>
                    <w:jc w:val="center"/>
                  </w:pPr>
                  <w:r>
                    <w:t xml:space="preserve">100°28′11.7″E</w:t>
                  </w:r>
                </w:p>
              </w:tc>
              <w:tc>
                <w:tcPr/>
                <w:p>
                  <w:pPr>
                    <w:pStyle w:val="Compact"/>
                    <w:jc w:val="right"/>
                    <w:jc w:val="center"/>
                  </w:pPr>
                  <w:r>
                    <w:t xml:space="preserve">1652</w:t>
                  </w:r>
                </w:p>
              </w:tc>
              <w:tc>
                <w:tcPr/>
                <w:p>
                  <w:pPr>
                    <w:pStyle w:val="Compact"/>
                    <w:jc w:val="right"/>
                    <w:jc w:val="center"/>
                  </w:pPr>
                  <w:r>
                    <w:t xml:space="preserve">2</w:t>
                  </w:r>
                </w:p>
              </w:tc>
              <w:tc>
                <w:tcPr/>
                <w:p>
                  <w:pPr>
                    <w:pStyle w:val="Compact"/>
                    <w:jc w:val="right"/>
                    <w:jc w:val="center"/>
                  </w:pPr>
                  <w:r>
                    <w:t xml:space="preserve">0</w:t>
                  </w:r>
                </w:p>
              </w:tc>
            </w:tr>
            <w:tr>
              <w:tc>
                <w:tcPr/>
                <w:p>
                  <w:pPr>
                    <w:pStyle w:val="Compact"/>
                    <w:jc w:val="left"/>
                    <w:jc w:val="center"/>
                  </w:pPr>
                  <w:r>
                    <w:t xml:space="preserve">   Wayaowan</w:t>
                  </w:r>
                </w:p>
              </w:tc>
              <w:tc>
                <w:tcPr/>
                <w:p>
                  <w:pPr>
                    <w:pStyle w:val="Compact"/>
                    <w:jc w:val="left"/>
                    <w:jc w:val="center"/>
                  </w:pPr>
                  <w:r>
                    <w:t xml:space="preserve">Liandong</w:t>
                  </w:r>
                </w:p>
              </w:tc>
              <w:tc>
                <w:tcPr/>
                <w:p>
                  <w:pPr>
                    <w:pStyle w:val="Compact"/>
                    <w:jc w:val="left"/>
                    <w:jc w:val="center"/>
                  </w:pPr>
                  <w:r>
                    <w:t xml:space="preserve">hilltop</w:t>
                  </w:r>
                </w:p>
              </w:tc>
              <w:tc>
                <w:tcPr/>
                <w:p>
                  <w:pPr>
                    <w:pStyle w:val="Compact"/>
                    <w:jc w:val="right"/>
                    <w:jc w:val="center"/>
                  </w:pPr>
                  <w:r>
                    <w:t xml:space="preserve">25°53′59.6″N</w:t>
                  </w:r>
                </w:p>
              </w:tc>
              <w:tc>
                <w:tcPr/>
                <w:p>
                  <w:pPr>
                    <w:pStyle w:val="Compact"/>
                    <w:jc w:val="right"/>
                    <w:jc w:val="center"/>
                  </w:pPr>
                  <w:r>
                    <w:t xml:space="preserve">100°29′34.6″E</w:t>
                  </w:r>
                </w:p>
              </w:tc>
              <w:tc>
                <w:tcPr/>
                <w:p>
                  <w:pPr>
                    <w:pStyle w:val="Compact"/>
                    <w:jc w:val="right"/>
                    <w:jc w:val="center"/>
                  </w:pPr>
                  <w:r>
                    <w:t xml:space="preserve">1722</w:t>
                  </w:r>
                </w:p>
              </w:tc>
              <w:tc>
                <w:tcPr/>
                <w:p>
                  <w:pPr>
                    <w:pStyle w:val="Compact"/>
                    <w:jc w:val="right"/>
                    <w:jc w:val="center"/>
                  </w:pPr>
                  <w:r>
                    <w:t xml:space="preserve">10</w:t>
                  </w:r>
                </w:p>
              </w:tc>
              <w:tc>
                <w:tcPr/>
                <w:p>
                  <w:pPr>
                    <w:pStyle w:val="Compact"/>
                    <w:jc w:val="right"/>
                    <w:jc w:val="center"/>
                  </w:pPr>
                  <w:r>
                    <w:t xml:space="preserve">0</w:t>
                  </w:r>
                </w:p>
              </w:tc>
            </w:tr>
            <w:tr>
              <w:tc>
                <w:tcPr/>
                <w:p>
                  <w:pPr>
                    <w:pStyle w:val="Compact"/>
                    <w:jc w:val="left"/>
                    <w:jc w:val="center"/>
                  </w:pPr>
                  <w:r>
                    <w:t xml:space="preserve">   Nanjingzhuang</w:t>
                  </w:r>
                </w:p>
              </w:tc>
              <w:tc>
                <w:tcPr/>
                <w:p>
                  <w:pPr>
                    <w:pStyle w:val="Compact"/>
                    <w:jc w:val="left"/>
                    <w:jc w:val="center"/>
                  </w:pPr>
                  <w:r>
                    <w:t xml:space="preserve">Liandong</w:t>
                  </w:r>
                </w:p>
              </w:tc>
              <w:tc>
                <w:tcPr/>
                <w:p>
                  <w:pPr>
                    <w:pStyle w:val="Compact"/>
                    <w:jc w:val="left"/>
                    <w:jc w:val="center"/>
                  </w:pPr>
                  <w:r>
                    <w:t xml:space="preserve">T3</w:t>
                  </w:r>
                </w:p>
              </w:tc>
              <w:tc>
                <w:tcPr/>
                <w:p>
                  <w:pPr>
                    <w:pStyle w:val="Compact"/>
                    <w:jc w:val="right"/>
                    <w:jc w:val="center"/>
                  </w:pPr>
                  <w:r>
                    <w:t xml:space="preserve">25°53′35.4″N</w:t>
                  </w:r>
                </w:p>
              </w:tc>
              <w:tc>
                <w:tcPr/>
                <w:p>
                  <w:pPr>
                    <w:pStyle w:val="Compact"/>
                    <w:jc w:val="right"/>
                    <w:jc w:val="center"/>
                  </w:pPr>
                  <w:r>
                    <w:t xml:space="preserve">100°28′23.9″E</w:t>
                  </w:r>
                </w:p>
              </w:tc>
              <w:tc>
                <w:tcPr/>
                <w:p>
                  <w:pPr>
                    <w:pStyle w:val="Compact"/>
                    <w:jc w:val="right"/>
                    <w:jc w:val="center"/>
                  </w:pPr>
                  <w:r>
                    <w:t xml:space="preserve">1644</w:t>
                  </w:r>
                </w:p>
              </w:tc>
              <w:tc>
                <w:tcPr/>
                <w:p>
                  <w:pPr>
                    <w:pStyle w:val="Compact"/>
                    <w:jc w:val="right"/>
                    <w:jc w:val="center"/>
                  </w:pPr>
                  <w:r>
                    <w:t xml:space="preserve">2</w:t>
                  </w:r>
                </w:p>
              </w:tc>
              <w:tc>
                <w:tcPr/>
                <w:p>
                  <w:pPr>
                    <w:pStyle w:val="Compact"/>
                    <w:jc w:val="right"/>
                    <w:jc w:val="center"/>
                  </w:pPr>
                  <w:r>
                    <w:t xml:space="preserve">0</w:t>
                  </w:r>
                </w:p>
              </w:tc>
            </w:tr>
            <w:tr>
              <w:tc>
                <w:tcPr/>
                <w:p>
                  <w:pPr>
                    <w:pStyle w:val="Compact"/>
                    <w:jc w:val="left"/>
                    <w:jc w:val="center"/>
                  </w:pPr>
                  <w:r>
                    <w:t xml:space="preserve">   Qingguangshan</w:t>
                  </w:r>
                </w:p>
              </w:tc>
              <w:tc>
                <w:tcPr/>
                <w:p>
                  <w:pPr>
                    <w:pStyle w:val="Compact"/>
                    <w:jc w:val="left"/>
                    <w:jc w:val="center"/>
                  </w:pPr>
                  <w:r>
                    <w:t xml:space="preserve">Liandong</w:t>
                  </w:r>
                </w:p>
              </w:tc>
              <w:tc>
                <w:tcPr/>
                <w:p>
                  <w:pPr>
                    <w:pStyle w:val="Compact"/>
                    <w:jc w:val="left"/>
                    <w:jc w:val="center"/>
                  </w:pPr>
                  <w:r>
                    <w:t xml:space="preserve">T3</w:t>
                  </w:r>
                </w:p>
              </w:tc>
              <w:tc>
                <w:tcPr/>
                <w:p>
                  <w:pPr>
                    <w:pStyle w:val="Compact"/>
                    <w:jc w:val="right"/>
                    <w:jc w:val="center"/>
                  </w:pPr>
                  <w:r>
                    <w:t xml:space="preserve">25°54′22.7″N</w:t>
                  </w:r>
                </w:p>
              </w:tc>
              <w:tc>
                <w:tcPr/>
                <w:p>
                  <w:pPr>
                    <w:pStyle w:val="Compact"/>
                    <w:jc w:val="right"/>
                    <w:jc w:val="center"/>
                  </w:pPr>
                  <w:r>
                    <w:t xml:space="preserve">100°27′21.3″E</w:t>
                  </w:r>
                </w:p>
              </w:tc>
              <w:tc>
                <w:tcPr/>
                <w:p>
                  <w:pPr>
                    <w:pStyle w:val="Compact"/>
                    <w:jc w:val="right"/>
                    <w:jc w:val="center"/>
                  </w:pPr>
                  <w:r>
                    <w:t xml:space="preserve">1676</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   Niunitang</w:t>
                  </w:r>
                </w:p>
              </w:tc>
              <w:tc>
                <w:tcPr/>
                <w:p>
                  <w:pPr>
                    <w:pStyle w:val="Compact"/>
                    <w:jc w:val="left"/>
                    <w:jc w:val="center"/>
                  </w:pPr>
                  <w:r>
                    <w:t xml:space="preserve">Liandong</w:t>
                  </w:r>
                </w:p>
              </w:tc>
              <w:tc>
                <w:tcPr/>
                <w:p>
                  <w:pPr>
                    <w:pStyle w:val="Compact"/>
                    <w:jc w:val="left"/>
                    <w:jc w:val="center"/>
                  </w:pPr>
                  <w:r>
                    <w:t xml:space="preserve">T4</w:t>
                  </w:r>
                </w:p>
              </w:tc>
              <w:tc>
                <w:tcPr/>
                <w:p>
                  <w:pPr>
                    <w:pStyle w:val="Compact"/>
                    <w:jc w:val="right"/>
                    <w:jc w:val="center"/>
                  </w:pPr>
                  <w:r>
                    <w:t xml:space="preserve">25°53′24.5″N</w:t>
                  </w:r>
                </w:p>
              </w:tc>
              <w:tc>
                <w:tcPr/>
                <w:p>
                  <w:pPr>
                    <w:pStyle w:val="Compact"/>
                    <w:jc w:val="right"/>
                    <w:jc w:val="center"/>
                  </w:pPr>
                  <w:r>
                    <w:t xml:space="preserve">100°27′37.1″E</w:t>
                  </w:r>
                </w:p>
              </w:tc>
              <w:tc>
                <w:tcPr/>
                <w:p>
                  <w:pPr>
                    <w:pStyle w:val="Compact"/>
                    <w:jc w:val="right"/>
                    <w:jc w:val="center"/>
                  </w:pPr>
                  <w:r>
                    <w:t xml:space="preserve">1664</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   Futianzhuang</w:t>
                  </w:r>
                </w:p>
              </w:tc>
              <w:tc>
                <w:tcPr/>
                <w:p>
                  <w:pPr>
                    <w:pStyle w:val="Compact"/>
                    <w:jc w:val="left"/>
                    <w:jc w:val="center"/>
                  </w:pPr>
                  <w:r>
                    <w:t xml:space="preserve">Liandong</w:t>
                  </w:r>
                </w:p>
              </w:tc>
              <w:tc>
                <w:tcPr/>
                <w:p>
                  <w:pPr>
                    <w:pStyle w:val="Compact"/>
                    <w:jc w:val="left"/>
                    <w:jc w:val="center"/>
                  </w:pPr>
                  <w:r>
                    <w:t xml:space="preserve">T4</w:t>
                  </w:r>
                </w:p>
              </w:tc>
              <w:tc>
                <w:tcPr/>
                <w:p>
                  <w:pPr>
                    <w:pStyle w:val="Compact"/>
                    <w:jc w:val="right"/>
                    <w:jc w:val="center"/>
                  </w:pPr>
                  <w:r>
                    <w:t xml:space="preserve">25°53′06.1″N</w:t>
                  </w:r>
                </w:p>
              </w:tc>
              <w:tc>
                <w:tcPr/>
                <w:p>
                  <w:pPr>
                    <w:pStyle w:val="Compact"/>
                    <w:jc w:val="right"/>
                    <w:jc w:val="center"/>
                  </w:pPr>
                  <w:r>
                    <w:t xml:space="preserve">100°27′45.0″E</w:t>
                  </w:r>
                </w:p>
              </w:tc>
              <w:tc>
                <w:tcPr/>
                <w:p>
                  <w:pPr>
                    <w:pStyle w:val="Compact"/>
                    <w:jc w:val="right"/>
                    <w:jc w:val="center"/>
                  </w:pPr>
                  <w:r>
                    <w:t xml:space="preserve">1666</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   Laojianshan</w:t>
                  </w:r>
                </w:p>
              </w:tc>
              <w:tc>
                <w:tcPr/>
                <w:p>
                  <w:pPr>
                    <w:pStyle w:val="Compact"/>
                    <w:jc w:val="left"/>
                    <w:jc w:val="center"/>
                  </w:pPr>
                  <w:r>
                    <w:t xml:space="preserve">Liandong</w:t>
                  </w:r>
                </w:p>
              </w:tc>
              <w:tc>
                <w:tcPr/>
                <w:p>
                  <w:pPr>
                    <w:pStyle w:val="Compact"/>
                    <w:jc w:val="left"/>
                    <w:jc w:val="center"/>
                  </w:pPr>
                  <w:r>
                    <w:t xml:space="preserve">T4</w:t>
                  </w:r>
                </w:p>
              </w:tc>
              <w:tc>
                <w:tcPr/>
                <w:p>
                  <w:pPr>
                    <w:pStyle w:val="Compact"/>
                    <w:jc w:val="right"/>
                    <w:jc w:val="center"/>
                  </w:pPr>
                  <w:r>
                    <w:t xml:space="preserve">25°52′52.2″N</w:t>
                  </w:r>
                </w:p>
              </w:tc>
              <w:tc>
                <w:tcPr/>
                <w:p>
                  <w:pPr>
                    <w:pStyle w:val="Compact"/>
                    <w:jc w:val="right"/>
                    <w:jc w:val="center"/>
                  </w:pPr>
                  <w:r>
                    <w:t xml:space="preserve">100°28′02.8″E</w:t>
                  </w:r>
                </w:p>
              </w:tc>
              <w:tc>
                <w:tcPr/>
                <w:p>
                  <w:pPr>
                    <w:pStyle w:val="Compact"/>
                    <w:jc w:val="right"/>
                    <w:jc w:val="center"/>
                  </w:pPr>
                  <w:r>
                    <w:t xml:space="preserve">1649</w:t>
                  </w:r>
                </w:p>
              </w:tc>
              <w:tc>
                <w:tcPr/>
                <w:p>
                  <w:pPr>
                    <w:pStyle w:val="Compact"/>
                    <w:jc w:val="right"/>
                    <w:jc w:val="center"/>
                  </w:pPr>
                  <w:r>
                    <w:t xml:space="preserve">2</w:t>
                  </w:r>
                </w:p>
              </w:tc>
              <w:tc>
                <w:tcPr/>
                <w:p>
                  <w:pPr>
                    <w:pStyle w:val="Compact"/>
                    <w:jc w:val="right"/>
                    <w:jc w:val="center"/>
                  </w:pPr>
                  <w:r>
                    <w:t xml:space="preserve">0</w:t>
                  </w:r>
                </w:p>
              </w:tc>
            </w:tr>
            <w:tr>
              <w:tc>
                <w:tcPr/>
                <w:p>
                  <w:pPr>
                    <w:pStyle w:val="Compact"/>
                    <w:jc w:val="left"/>
                    <w:jc w:val="center"/>
                  </w:pPr>
                  <w:r>
                    <w:t xml:space="preserve">   Pengjiadadi</w:t>
                  </w:r>
                </w:p>
              </w:tc>
              <w:tc>
                <w:tcPr/>
                <w:p>
                  <w:pPr>
                    <w:pStyle w:val="Compact"/>
                    <w:jc w:val="left"/>
                    <w:jc w:val="center"/>
                  </w:pPr>
                  <w:r>
                    <w:t xml:space="preserve">Liandong</w:t>
                  </w:r>
                </w:p>
              </w:tc>
              <w:tc>
                <w:tcPr/>
                <w:p>
                  <w:pPr>
                    <w:pStyle w:val="Compact"/>
                    <w:jc w:val="left"/>
                    <w:jc w:val="center"/>
                  </w:pPr>
                  <w:r>
                    <w:t xml:space="preserve">T3</w:t>
                  </w:r>
                </w:p>
              </w:tc>
              <w:tc>
                <w:tcPr/>
                <w:p>
                  <w:pPr>
                    <w:pStyle w:val="Compact"/>
                    <w:jc w:val="right"/>
                    <w:jc w:val="center"/>
                  </w:pPr>
                  <w:r>
                    <w:t xml:space="preserve">25°52′41.0″N</w:t>
                  </w:r>
                </w:p>
              </w:tc>
              <w:tc>
                <w:tcPr/>
                <w:p>
                  <w:pPr>
                    <w:pStyle w:val="Compact"/>
                    <w:jc w:val="right"/>
                    <w:jc w:val="center"/>
                  </w:pPr>
                  <w:r>
                    <w:t xml:space="preserve">100°28′10.0″E</w:t>
                  </w:r>
                </w:p>
              </w:tc>
              <w:tc>
                <w:tcPr/>
                <w:p>
                  <w:pPr>
                    <w:pStyle w:val="Compact"/>
                    <w:jc w:val="right"/>
                    <w:jc w:val="center"/>
                  </w:pPr>
                  <w:r>
                    <w:t xml:space="preserve">1631</w:t>
                  </w:r>
                </w:p>
              </w:tc>
              <w:tc>
                <w:tcPr/>
                <w:p>
                  <w:pPr>
                    <w:pStyle w:val="Compact"/>
                    <w:jc w:val="right"/>
                    <w:jc w:val="center"/>
                  </w:pPr>
                  <w:r>
                    <w:t xml:space="preserve">2</w:t>
                  </w:r>
                </w:p>
              </w:tc>
              <w:tc>
                <w:tcPr/>
                <w:p>
                  <w:pPr>
                    <w:pStyle w:val="Compact"/>
                    <w:jc w:val="right"/>
                    <w:jc w:val="center"/>
                  </w:pPr>
                  <w:r>
                    <w:t xml:space="preserve">0</w:t>
                  </w:r>
                </w:p>
              </w:tc>
            </w:tr>
            <w:tr>
              <w:tc>
                <w:tcPr/>
                <w:p>
                  <w:pPr>
                    <w:pStyle w:val="Compact"/>
                    <w:jc w:val="left"/>
                    <w:jc w:val="center"/>
                  </w:pPr>
                  <w:r>
                    <w:t xml:space="preserve">   Zhaokanzhuang</w:t>
                  </w:r>
                </w:p>
              </w:tc>
              <w:tc>
                <w:tcPr/>
                <w:p>
                  <w:pPr>
                    <w:pStyle w:val="Compact"/>
                    <w:jc w:val="left"/>
                    <w:jc w:val="center"/>
                  </w:pPr>
                  <w:r>
                    <w:t xml:space="preserve">Liandong</w:t>
                  </w:r>
                </w:p>
              </w:tc>
              <w:tc>
                <w:tcPr/>
                <w:p>
                  <w:pPr>
                    <w:pStyle w:val="Compact"/>
                    <w:jc w:val="left"/>
                    <w:jc w:val="center"/>
                  </w:pPr>
                  <w:r>
                    <w:t xml:space="preserve">T3</w:t>
                  </w:r>
                </w:p>
              </w:tc>
              <w:tc>
                <w:tcPr/>
                <w:p>
                  <w:pPr>
                    <w:pStyle w:val="Compact"/>
                    <w:jc w:val="right"/>
                    <w:jc w:val="center"/>
                  </w:pPr>
                  <w:r>
                    <w:t xml:space="preserve">25°52′25.0″N</w:t>
                  </w:r>
                </w:p>
              </w:tc>
              <w:tc>
                <w:tcPr/>
                <w:p>
                  <w:pPr>
                    <w:pStyle w:val="Compact"/>
                    <w:jc w:val="right"/>
                    <w:jc w:val="center"/>
                  </w:pPr>
                  <w:r>
                    <w:t xml:space="preserve">100°28′16.0″E</w:t>
                  </w:r>
                </w:p>
              </w:tc>
              <w:tc>
                <w:tcPr/>
                <w:p>
                  <w:pPr>
                    <w:pStyle w:val="Compact"/>
                    <w:jc w:val="right"/>
                    <w:jc w:val="center"/>
                  </w:pPr>
                  <w:r>
                    <w:t xml:space="preserve">1621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   Mianhualiangzi</w:t>
                  </w:r>
                </w:p>
              </w:tc>
              <w:tc>
                <w:tcPr/>
                <w:p>
                  <w:pPr>
                    <w:pStyle w:val="Compact"/>
                    <w:jc w:val="left"/>
                    <w:jc w:val="center"/>
                  </w:pPr>
                  <w:r>
                    <w:t xml:space="preserve">Liandong</w:t>
                  </w:r>
                </w:p>
              </w:tc>
              <w:tc>
                <w:tcPr/>
                <w:p>
                  <w:pPr>
                    <w:pStyle w:val="Compact"/>
                    <w:jc w:val="left"/>
                    <w:jc w:val="center"/>
                  </w:pPr>
                  <w:r>
                    <w:t xml:space="preserve">T4</w:t>
                  </w:r>
                </w:p>
              </w:tc>
              <w:tc>
                <w:tcPr/>
                <w:p>
                  <w:pPr>
                    <w:pStyle w:val="Compact"/>
                    <w:jc w:val="right"/>
                    <w:jc w:val="center"/>
                  </w:pPr>
                  <w:r>
                    <w:t xml:space="preserve">25°53′03.2″N</w:t>
                  </w:r>
                </w:p>
              </w:tc>
              <w:tc>
                <w:tcPr/>
                <w:p>
                  <w:pPr>
                    <w:pStyle w:val="Compact"/>
                    <w:jc w:val="right"/>
                    <w:jc w:val="center"/>
                  </w:pPr>
                  <w:r>
                    <w:t xml:space="preserve">100°29′05.2″E</w:t>
                  </w:r>
                </w:p>
              </w:tc>
              <w:tc>
                <w:tcPr/>
                <w:p>
                  <w:pPr>
                    <w:pStyle w:val="Compact"/>
                    <w:jc w:val="right"/>
                    <w:jc w:val="center"/>
                  </w:pPr>
                  <w:r>
                    <w:t xml:space="preserve">1635</w:t>
                  </w:r>
                </w:p>
              </w:tc>
              <w:tc>
                <w:tcPr/>
                <w:p>
                  <w:pPr>
                    <w:pStyle w:val="Compact"/>
                    <w:jc w:val="right"/>
                    <w:jc w:val="center"/>
                  </w:pPr>
                  <w:r>
                    <w:t xml:space="preserve">4</w:t>
                  </w:r>
                </w:p>
              </w:tc>
              <w:tc>
                <w:tcPr/>
                <w:p>
                  <w:pPr>
                    <w:pStyle w:val="Compact"/>
                    <w:jc w:val="right"/>
                    <w:jc w:val="center"/>
                  </w:pPr>
                  <w:r>
                    <w:t xml:space="preserve">0</w:t>
                  </w:r>
                </w:p>
              </w:tc>
            </w:tr>
            <w:tr>
              <w:tc>
                <w:tcPr/>
                <w:p>
                  <w:pPr>
                    <w:pStyle w:val="Compact"/>
                    <w:jc w:val="left"/>
                    <w:jc w:val="center"/>
                  </w:pPr>
                  <w:r>
                    <w:t xml:space="preserve">   Mianhuadi</w:t>
                  </w:r>
                </w:p>
              </w:tc>
              <w:tc>
                <w:tcPr/>
                <w:p>
                  <w:pPr>
                    <w:pStyle w:val="Compact"/>
                    <w:jc w:val="left"/>
                    <w:jc w:val="center"/>
                  </w:pPr>
                  <w:r>
                    <w:t xml:space="preserve">Liandong</w:t>
                  </w:r>
                </w:p>
              </w:tc>
              <w:tc>
                <w:tcPr/>
                <w:p>
                  <w:pPr>
                    <w:pStyle w:val="Compact"/>
                    <w:jc w:val="left"/>
                    <w:jc w:val="center"/>
                  </w:pPr>
                  <w:r>
                    <w:t xml:space="preserve">T3</w:t>
                  </w:r>
                </w:p>
              </w:tc>
              <w:tc>
                <w:tcPr/>
                <w:p>
                  <w:pPr>
                    <w:pStyle w:val="Compact"/>
                    <w:jc w:val="right"/>
                    <w:jc w:val="center"/>
                  </w:pPr>
                  <w:r>
                    <w:t xml:space="preserve">25°52′51.2″N</w:t>
                  </w:r>
                </w:p>
              </w:tc>
              <w:tc>
                <w:tcPr/>
                <w:p>
                  <w:pPr>
                    <w:pStyle w:val="Compact"/>
                    <w:jc w:val="right"/>
                    <w:jc w:val="center"/>
                  </w:pPr>
                  <w:r>
                    <w:t xml:space="preserve">100°29′23.8″E</w:t>
                  </w:r>
                </w:p>
              </w:tc>
              <w:tc>
                <w:tcPr/>
                <w:p>
                  <w:pPr>
                    <w:pStyle w:val="Compact"/>
                    <w:jc w:val="right"/>
                    <w:jc w:val="center"/>
                  </w:pPr>
                  <w:r>
                    <w:t xml:space="preserve">1626</w:t>
                  </w:r>
                </w:p>
              </w:tc>
              <w:tc>
                <w:tcPr/>
                <w:p>
                  <w:pPr>
                    <w:pStyle w:val="Compact"/>
                    <w:jc w:val="right"/>
                    <w:jc w:val="center"/>
                  </w:pPr>
                  <w:r>
                    <w:t xml:space="preserve">2</w:t>
                  </w:r>
                </w:p>
              </w:tc>
              <w:tc>
                <w:tcPr/>
                <w:p>
                  <w:pPr>
                    <w:pStyle w:val="Compact"/>
                    <w:jc w:val="right"/>
                    <w:jc w:val="center"/>
                  </w:pPr>
                  <w:r>
                    <w:t xml:space="preserve">0</w:t>
                  </w:r>
                </w:p>
              </w:tc>
            </w:tr>
            <w:tr>
              <w:tc>
                <w:tcPr/>
                <w:p>
                  <w:pPr>
                    <w:pStyle w:val="Compact"/>
                    <w:jc w:val="left"/>
                    <w:jc w:val="center"/>
                  </w:pPr>
                  <w:r>
                    <w:t xml:space="preserve">   Shitouwan</w:t>
                  </w:r>
                </w:p>
              </w:tc>
              <w:tc>
                <w:tcPr/>
                <w:p>
                  <w:pPr>
                    <w:pStyle w:val="Compact"/>
                    <w:jc w:val="left"/>
                    <w:jc w:val="center"/>
                  </w:pPr>
                  <w:r>
                    <w:t xml:space="preserve">Liandong</w:t>
                  </w:r>
                </w:p>
              </w:tc>
              <w:tc>
                <w:tcPr/>
                <w:p>
                  <w:pPr>
                    <w:pStyle w:val="Compact"/>
                    <w:jc w:val="left"/>
                    <w:jc w:val="center"/>
                  </w:pPr>
                  <w:r>
                    <w:t xml:space="preserve">T3</w:t>
                  </w:r>
                </w:p>
              </w:tc>
              <w:tc>
                <w:tcPr/>
                <w:p>
                  <w:pPr>
                    <w:pStyle w:val="Compact"/>
                    <w:jc w:val="right"/>
                    <w:jc w:val="center"/>
                  </w:pPr>
                  <w:r>
                    <w:t xml:space="preserve">25°52′41.5″N</w:t>
                  </w:r>
                </w:p>
              </w:tc>
              <w:tc>
                <w:tcPr/>
                <w:p>
                  <w:pPr>
                    <w:pStyle w:val="Compact"/>
                    <w:jc w:val="right"/>
                    <w:jc w:val="center"/>
                  </w:pPr>
                  <w:r>
                    <w:t xml:space="preserve">100°30′01.7″E</w:t>
                  </w:r>
                </w:p>
              </w:tc>
              <w:tc>
                <w:tcPr/>
                <w:p>
                  <w:pPr>
                    <w:pStyle w:val="Compact"/>
                    <w:jc w:val="right"/>
                    <w:jc w:val="center"/>
                  </w:pPr>
                  <w:r>
                    <w:t xml:space="preserve">1617</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   Jiancaowan</w:t>
                  </w:r>
                </w:p>
              </w:tc>
              <w:tc>
                <w:tcPr/>
                <w:p>
                  <w:pPr>
                    <w:pStyle w:val="Compact"/>
                    <w:jc w:val="left"/>
                    <w:jc w:val="center"/>
                  </w:pPr>
                  <w:r>
                    <w:t xml:space="preserve">Liandong</w:t>
                  </w:r>
                </w:p>
              </w:tc>
              <w:tc>
                <w:tcPr/>
                <w:p>
                  <w:pPr>
                    <w:pStyle w:val="Compact"/>
                    <w:jc w:val="left"/>
                    <w:jc w:val="center"/>
                  </w:pPr>
                  <w:r>
                    <w:t xml:space="preserve">T4</w:t>
                  </w:r>
                </w:p>
              </w:tc>
              <w:tc>
                <w:tcPr/>
                <w:p>
                  <w:pPr>
                    <w:pStyle w:val="Compact"/>
                    <w:jc w:val="right"/>
                    <w:jc w:val="center"/>
                  </w:pPr>
                  <w:r>
                    <w:t xml:space="preserve">25°52′10.0″N</w:t>
                  </w:r>
                </w:p>
              </w:tc>
              <w:tc>
                <w:tcPr/>
                <w:p>
                  <w:pPr>
                    <w:pStyle w:val="Compact"/>
                    <w:jc w:val="right"/>
                    <w:jc w:val="center"/>
                  </w:pPr>
                  <w:r>
                    <w:t xml:space="preserve">100°29′22.7″E</w:t>
                  </w:r>
                </w:p>
              </w:tc>
              <w:tc>
                <w:tcPr/>
                <w:p>
                  <w:pPr>
                    <w:pStyle w:val="Compact"/>
                    <w:jc w:val="right"/>
                    <w:jc w:val="center"/>
                  </w:pPr>
                  <w:r>
                    <w:t xml:space="preserve">1620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   Baifen</w:t>
                  </w:r>
                </w:p>
              </w:tc>
              <w:tc>
                <w:tcPr/>
                <w:p>
                  <w:pPr>
                    <w:pStyle w:val="Compact"/>
                    <w:jc w:val="left"/>
                    <w:jc w:val="center"/>
                  </w:pPr>
                  <w:r>
                    <w:t xml:space="preserve">Liandong</w:t>
                  </w:r>
                </w:p>
              </w:tc>
              <w:tc>
                <w:tcPr/>
                <w:p>
                  <w:pPr>
                    <w:pStyle w:val="Compact"/>
                    <w:jc w:val="left"/>
                    <w:jc w:val="center"/>
                  </w:pPr>
                  <w:r>
                    <w:t xml:space="preserve">T3</w:t>
                  </w:r>
                </w:p>
              </w:tc>
              <w:tc>
                <w:tcPr/>
                <w:p>
                  <w:pPr>
                    <w:pStyle w:val="Compact"/>
                    <w:jc w:val="right"/>
                    <w:jc w:val="center"/>
                  </w:pPr>
                  <w:r>
                    <w:t xml:space="preserve">25°52′21.2″N</w:t>
                  </w:r>
                </w:p>
              </w:tc>
              <w:tc>
                <w:tcPr/>
                <w:p>
                  <w:pPr>
                    <w:pStyle w:val="Compact"/>
                    <w:jc w:val="right"/>
                    <w:jc w:val="center"/>
                  </w:pPr>
                  <w:r>
                    <w:t xml:space="preserve">100°29′17.8″E</w:t>
                  </w:r>
                </w:p>
              </w:tc>
              <w:tc>
                <w:tcPr/>
                <w:p>
                  <w:pPr>
                    <w:pStyle w:val="Compact"/>
                    <w:jc w:val="right"/>
                    <w:jc w:val="center"/>
                  </w:pPr>
                  <w:r>
                    <w:t xml:space="preserve">1599</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   Caifengcun</w:t>
                  </w:r>
                </w:p>
              </w:tc>
              <w:tc>
                <w:tcPr/>
                <w:p>
                  <w:pPr>
                    <w:pStyle w:val="Compact"/>
                    <w:jc w:val="left"/>
                    <w:jc w:val="center"/>
                  </w:pPr>
                  <w:r>
                    <w:t xml:space="preserve">Liandong</w:t>
                  </w:r>
                </w:p>
              </w:tc>
              <w:tc>
                <w:tcPr/>
                <w:p>
                  <w:pPr>
                    <w:pStyle w:val="Compact"/>
                    <w:jc w:val="left"/>
                    <w:jc w:val="center"/>
                  </w:pPr>
                  <w:r>
                    <w:t xml:space="preserve">T4</w:t>
                  </w:r>
                </w:p>
              </w:tc>
              <w:tc>
                <w:tcPr/>
                <w:p>
                  <w:pPr>
                    <w:pStyle w:val="Compact"/>
                    <w:jc w:val="right"/>
                    <w:jc w:val="center"/>
                  </w:pPr>
                  <w:r>
                    <w:t xml:space="preserve">25°50′08.4″N</w:t>
                  </w:r>
                </w:p>
              </w:tc>
              <w:tc>
                <w:tcPr/>
                <w:p>
                  <w:pPr>
                    <w:pStyle w:val="Compact"/>
                    <w:jc w:val="right"/>
                    <w:jc w:val="center"/>
                  </w:pPr>
                  <w:r>
                    <w:t xml:space="preserve">100°31′07.3″E</w:t>
                  </w:r>
                </w:p>
              </w:tc>
              <w:tc>
                <w:tcPr/>
                <w:p>
                  <w:pPr>
                    <w:pStyle w:val="Compact"/>
                    <w:jc w:val="right"/>
                    <w:jc w:val="center"/>
                  </w:pPr>
                  <w:r>
                    <w:t xml:space="preserve">1521</w:t>
                  </w:r>
                </w:p>
              </w:tc>
              <w:tc>
                <w:tcPr/>
                <w:p>
                  <w:pPr>
                    <w:pStyle w:val="Compact"/>
                    <w:jc w:val="right"/>
                    <w:jc w:val="center"/>
                  </w:pPr>
                  <w:r>
                    <w:t xml:space="preserve">6</w:t>
                  </w:r>
                </w:p>
              </w:tc>
              <w:tc>
                <w:tcPr/>
                <w:p>
                  <w:pPr>
                    <w:pStyle w:val="Compact"/>
                    <w:jc w:val="right"/>
                    <w:jc w:val="center"/>
                  </w:pPr>
                  <w:r>
                    <w:t xml:space="preserve">2</w:t>
                  </w:r>
                </w:p>
              </w:tc>
            </w:tr>
            <w:tr>
              <w:tc>
                <w:tcPr/>
                <w:p>
                  <w:pPr>
                    <w:pStyle w:val="Compact"/>
                    <w:jc w:val="left"/>
                    <w:jc w:val="center"/>
                  </w:pPr>
                  <w:r>
                    <w:rPr>
                      <w:b/>
                      <w:bCs/>
                    </w:rPr>
                    <w:t xml:space="preserve">Huangping Basin</w:t>
                  </w:r>
                  <w:r>
                    <w:t xml:space="preserve"> </w:t>
                  </w:r>
                  <w:r>
                    <w:t xml:space="preserve">(</w:t>
                  </w:r>
                  <w:r>
                    <w:rPr>
                      <w:i/>
                      <w:iCs/>
                    </w:rPr>
                    <w:t xml:space="preserve">n</w:t>
                  </w:r>
                  <w:r>
                    <w:t xml:space="preserve"> </w:t>
                  </w:r>
                  <w:r>
                    <w:t xml:space="preserve">= 5 localities)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120</w:t>
                  </w:r>
                </w:p>
              </w:tc>
              <w:tc>
                <w:tcPr/>
                <w:p>
                  <w:pPr>
                    <w:pStyle w:val="Compact"/>
                    <w:jc w:val="right"/>
                    <w:jc w:val="center"/>
                  </w:pPr>
                  <w:r>
                    <w:t xml:space="preserve">47</w:t>
                  </w:r>
                </w:p>
              </w:tc>
            </w:tr>
            <w:tr>
              <w:tc>
                <w:tcPr/>
                <w:p>
                  <w:pPr>
                    <w:pStyle w:val="Compact"/>
                    <w:jc w:val="left"/>
                    <w:jc w:val="center"/>
                  </w:pPr>
                  <w:r>
                    <w:t xml:space="preserve">   Songping</w:t>
                  </w:r>
                </w:p>
              </w:tc>
              <w:tc>
                <w:tcPr/>
                <w:p>
                  <w:pPr>
                    <w:pStyle w:val="Compact"/>
                    <w:jc w:val="left"/>
                    <w:jc w:val="center"/>
                  </w:pPr>
                  <w:r>
                    <w:t xml:space="preserve">Caifeng</w:t>
                  </w:r>
                </w:p>
              </w:tc>
              <w:tc>
                <w:tcPr/>
                <w:p>
                  <w:pPr>
                    <w:pStyle w:val="Compact"/>
                    <w:jc w:val="left"/>
                    <w:jc w:val="center"/>
                  </w:pPr>
                  <w:r>
                    <w:t xml:space="preserve">T3</w:t>
                  </w:r>
                </w:p>
              </w:tc>
              <w:tc>
                <w:tcPr/>
                <w:p>
                  <w:pPr>
                    <w:pStyle w:val="Compact"/>
                    <w:jc w:val="right"/>
                    <w:jc w:val="center"/>
                  </w:pPr>
                  <w:r>
                    <w:t xml:space="preserve">25°58′37.8″N</w:t>
                  </w:r>
                </w:p>
              </w:tc>
              <w:tc>
                <w:tcPr/>
                <w:p>
                  <w:pPr>
                    <w:pStyle w:val="Compact"/>
                    <w:jc w:val="right"/>
                    <w:jc w:val="center"/>
                  </w:pPr>
                  <w:r>
                    <w:t xml:space="preserve">100°26′48.2″E</w:t>
                  </w:r>
                </w:p>
              </w:tc>
              <w:tc>
                <w:tcPr/>
                <w:p>
                  <w:pPr>
                    <w:pStyle w:val="Compact"/>
                    <w:jc w:val="right"/>
                    <w:jc w:val="center"/>
                  </w:pPr>
                  <w:r>
                    <w:t xml:space="preserve">1726</w:t>
                  </w:r>
                </w:p>
              </w:tc>
              <w:tc>
                <w:tcPr/>
                <w:p>
                  <w:pPr>
                    <w:pStyle w:val="Compact"/>
                    <w:jc w:val="right"/>
                    <w:jc w:val="center"/>
                  </w:pPr>
                  <w:r>
                    <w:t xml:space="preserve">19</w:t>
                  </w:r>
                </w:p>
              </w:tc>
              <w:tc>
                <w:tcPr/>
                <w:p>
                  <w:pPr>
                    <w:pStyle w:val="Compact"/>
                    <w:jc w:val="right"/>
                    <w:jc w:val="center"/>
                  </w:pPr>
                  <w:r>
                    <w:t xml:space="preserve">5</w:t>
                  </w:r>
                </w:p>
              </w:tc>
            </w:tr>
            <w:tr>
              <w:tc>
                <w:tcPr/>
                <w:p>
                  <w:pPr>
                    <w:pStyle w:val="Compact"/>
                    <w:jc w:val="left"/>
                    <w:jc w:val="center"/>
                  </w:pPr>
                  <w:r>
                    <w:t xml:space="preserve">   Dazhuang</w:t>
                  </w:r>
                </w:p>
              </w:tc>
              <w:tc>
                <w:tcPr/>
                <w:p>
                  <w:pPr>
                    <w:pStyle w:val="Compact"/>
                    <w:jc w:val="left"/>
                    <w:jc w:val="center"/>
                  </w:pPr>
                  <w:r>
                    <w:t xml:space="preserve">Caifeng</w:t>
                  </w:r>
                </w:p>
              </w:tc>
              <w:tc>
                <w:tcPr/>
                <w:p>
                  <w:pPr>
                    <w:pStyle w:val="Compact"/>
                    <w:jc w:val="left"/>
                    <w:jc w:val="center"/>
                  </w:pPr>
                  <w:r>
                    <w:t xml:space="preserve">T2</w:t>
                  </w:r>
                </w:p>
              </w:tc>
              <w:tc>
                <w:tcPr/>
                <w:p>
                  <w:pPr>
                    <w:pStyle w:val="Compact"/>
                    <w:jc w:val="right"/>
                    <w:jc w:val="center"/>
                  </w:pPr>
                  <w:r>
                    <w:t xml:space="preserve">26°00′17.6″N</w:t>
                  </w:r>
                </w:p>
              </w:tc>
              <w:tc>
                <w:tcPr/>
                <w:p>
                  <w:pPr>
                    <w:pStyle w:val="Compact"/>
                    <w:jc w:val="right"/>
                    <w:jc w:val="center"/>
                  </w:pPr>
                  <w:r>
                    <w:t xml:space="preserve">100°26′03.6″E</w:t>
                  </w:r>
                </w:p>
              </w:tc>
              <w:tc>
                <w:tcPr/>
                <w:p>
                  <w:pPr>
                    <w:pStyle w:val="Compact"/>
                    <w:jc w:val="right"/>
                    <w:jc w:val="center"/>
                  </w:pPr>
                  <w:r>
                    <w:t xml:space="preserve">1624</w:t>
                  </w:r>
                </w:p>
              </w:tc>
              <w:tc>
                <w:tcPr/>
                <w:p>
                  <w:pPr>
                    <w:pStyle w:val="Compact"/>
                    <w:jc w:val="right"/>
                    <w:jc w:val="center"/>
                  </w:pPr>
                  <w:r>
                    <w:t xml:space="preserve">6</w:t>
                  </w:r>
                </w:p>
              </w:tc>
              <w:tc>
                <w:tcPr/>
                <w:p>
                  <w:pPr>
                    <w:pStyle w:val="Compact"/>
                    <w:jc w:val="right"/>
                    <w:jc w:val="center"/>
                  </w:pPr>
                  <w:r>
                    <w:t xml:space="preserve">5</w:t>
                  </w:r>
                </w:p>
              </w:tc>
            </w:tr>
            <w:tr>
              <w:tc>
                <w:tcPr/>
                <w:p>
                  <w:pPr>
                    <w:pStyle w:val="Compact"/>
                    <w:jc w:val="left"/>
                    <w:jc w:val="center"/>
                  </w:pPr>
                  <w:r>
                    <w:t xml:space="preserve">   Tianhua Cave</w:t>
                  </w:r>
                </w:p>
              </w:tc>
              <w:tc>
                <w:tcPr/>
                <w:p>
                  <w:pPr>
                    <w:pStyle w:val="Compact"/>
                    <w:jc w:val="left"/>
                    <w:jc w:val="center"/>
                  </w:pPr>
                  <w:r>
                    <w:t xml:space="preserve">Caifeng</w:t>
                  </w:r>
                </w:p>
              </w:tc>
              <w:tc>
                <w:tcPr/>
                <w:p>
                  <w:pPr>
                    <w:pStyle w:val="Compact"/>
                    <w:jc w:val="left"/>
                    <w:jc w:val="center"/>
                  </w:pPr>
                  <w:r>
                    <w:t xml:space="preserve">T3</w:t>
                  </w:r>
                </w:p>
              </w:tc>
              <w:tc>
                <w:tcPr/>
                <w:p>
                  <w:pPr>
                    <w:pStyle w:val="Compact"/>
                    <w:jc w:val="right"/>
                    <w:jc w:val="center"/>
                  </w:pPr>
                  <w:r>
                    <w:t xml:space="preserve">26°02′12.7″N</w:t>
                  </w:r>
                </w:p>
              </w:tc>
              <w:tc>
                <w:tcPr/>
                <w:p>
                  <w:pPr>
                    <w:pStyle w:val="Compact"/>
                    <w:jc w:val="right"/>
                    <w:jc w:val="center"/>
                  </w:pPr>
                  <w:r>
                    <w:t xml:space="preserve">100°27′38.9″E</w:t>
                  </w:r>
                </w:p>
              </w:tc>
              <w:tc>
                <w:tcPr/>
                <w:p>
                  <w:pPr>
                    <w:pStyle w:val="Compact"/>
                    <w:jc w:val="right"/>
                    <w:jc w:val="center"/>
                  </w:pPr>
                  <w:r>
                    <w:t xml:space="preserve">1805</w:t>
                  </w:r>
                </w:p>
              </w:tc>
              <w:tc>
                <w:tcPr/>
                <w:p>
                  <w:pPr>
                    <w:pStyle w:val="Compact"/>
                    <w:jc w:val="right"/>
                    <w:jc w:val="center"/>
                  </w:pPr>
                  <w:r>
                    <w:t xml:space="preserve">49</w:t>
                  </w:r>
                </w:p>
              </w:tc>
              <w:tc>
                <w:tcPr/>
                <w:p>
                  <w:pPr>
                    <w:pStyle w:val="Compact"/>
                    <w:jc w:val="right"/>
                    <w:jc w:val="center"/>
                  </w:pPr>
                  <w:r>
                    <w:t xml:space="preserve">15</w:t>
                  </w:r>
                </w:p>
              </w:tc>
            </w:tr>
            <w:tr>
              <w:tc>
                <w:tcPr/>
                <w:p>
                  <w:pPr>
                    <w:pStyle w:val="Compact"/>
                    <w:jc w:val="left"/>
                    <w:jc w:val="center"/>
                  </w:pPr>
                  <w:r>
                    <w:t xml:space="preserve">   Longtan</w:t>
                  </w:r>
                </w:p>
              </w:tc>
              <w:tc>
                <w:tcPr/>
                <w:p>
                  <w:pPr>
                    <w:pStyle w:val="Compact"/>
                    <w:jc w:val="left"/>
                    <w:jc w:val="center"/>
                  </w:pPr>
                  <w:r>
                    <w:t xml:space="preserve">Caifeng</w:t>
                  </w:r>
                </w:p>
              </w:tc>
              <w:tc>
                <w:tcPr/>
                <w:p>
                  <w:pPr>
                    <w:pStyle w:val="Compact"/>
                    <w:jc w:val="left"/>
                    <w:jc w:val="center"/>
                  </w:pPr>
                  <w:r>
                    <w:t xml:space="preserve">T2</w:t>
                  </w:r>
                </w:p>
              </w:tc>
              <w:tc>
                <w:tcPr/>
                <w:p>
                  <w:pPr>
                    <w:pStyle w:val="Compact"/>
                    <w:jc w:val="right"/>
                    <w:jc w:val="center"/>
                  </w:pPr>
                  <w:r>
                    <w:t xml:space="preserve">26°01′47.0″N</w:t>
                  </w:r>
                </w:p>
              </w:tc>
              <w:tc>
                <w:tcPr/>
                <w:p>
                  <w:pPr>
                    <w:pStyle w:val="Compact"/>
                    <w:jc w:val="right"/>
                    <w:jc w:val="center"/>
                  </w:pPr>
                  <w:r>
                    <w:t xml:space="preserve">100°24′54.0″E</w:t>
                  </w:r>
                </w:p>
              </w:tc>
              <w:tc>
                <w:tcPr/>
                <w:p>
                  <w:pPr>
                    <w:pStyle w:val="Compact"/>
                    <w:jc w:val="right"/>
                    <w:jc w:val="center"/>
                  </w:pPr>
                  <w:r>
                    <w:t xml:space="preserve">1540</w:t>
                  </w:r>
                </w:p>
              </w:tc>
              <w:tc>
                <w:tcPr/>
                <w:p>
                  <w:pPr>
                    <w:pStyle w:val="Compact"/>
                    <w:jc w:val="right"/>
                    <w:jc w:val="center"/>
                  </w:pPr>
                  <w:r>
                    <w:t xml:space="preserve">15</w:t>
                  </w:r>
                </w:p>
              </w:tc>
              <w:tc>
                <w:tcPr/>
                <w:p>
                  <w:pPr>
                    <w:pStyle w:val="Compact"/>
                    <w:jc w:val="right"/>
                    <w:jc w:val="center"/>
                  </w:pPr>
                  <w:r>
                    <w:t xml:space="preserve">11</w:t>
                  </w:r>
                </w:p>
              </w:tc>
            </w:tr>
            <w:tr>
              <w:tc>
                <w:tcPr/>
                <w:p>
                  <w:pPr>
                    <w:pStyle w:val="Compact"/>
                    <w:jc w:val="left"/>
                    <w:jc w:val="center"/>
                  </w:pPr>
                  <w:r>
                    <w:t xml:space="preserve">   Guanshan</w:t>
                  </w:r>
                </w:p>
              </w:tc>
              <w:tc>
                <w:tcPr/>
                <w:p>
                  <w:pPr>
                    <w:pStyle w:val="Compact"/>
                    <w:jc w:val="left"/>
                    <w:jc w:val="center"/>
                  </w:pPr>
                  <w:r>
                    <w:t xml:space="preserve">Caifeng</w:t>
                  </w:r>
                </w:p>
              </w:tc>
              <w:tc>
                <w:tcPr/>
                <w:p>
                  <w:pPr>
                    <w:pStyle w:val="Compact"/>
                    <w:jc w:val="left"/>
                    <w:jc w:val="center"/>
                  </w:pPr>
                  <w:r>
                    <w:t xml:space="preserve">T2</w:t>
                  </w:r>
                </w:p>
              </w:tc>
              <w:tc>
                <w:tcPr/>
                <w:p>
                  <w:pPr>
                    <w:pStyle w:val="Compact"/>
                    <w:jc w:val="right"/>
                    <w:jc w:val="center"/>
                  </w:pPr>
                  <w:r>
                    <w:t xml:space="preserve">26°02′12.2″N</w:t>
                  </w:r>
                </w:p>
              </w:tc>
              <w:tc>
                <w:tcPr/>
                <w:p>
                  <w:pPr>
                    <w:pStyle w:val="Compact"/>
                    <w:jc w:val="right"/>
                    <w:jc w:val="center"/>
                  </w:pPr>
                  <w:r>
                    <w:t xml:space="preserve">100°24′38.1″E</w:t>
                  </w:r>
                </w:p>
              </w:tc>
              <w:tc>
                <w:tcPr/>
                <w:p>
                  <w:pPr>
                    <w:pStyle w:val="Compact"/>
                    <w:jc w:val="right"/>
                    <w:jc w:val="center"/>
                  </w:pPr>
                  <w:r>
                    <w:t xml:space="preserve">1578</w:t>
                  </w:r>
                </w:p>
              </w:tc>
              <w:tc>
                <w:tcPr/>
                <w:p>
                  <w:pPr>
                    <w:pStyle w:val="Compact"/>
                    <w:jc w:val="right"/>
                    <w:jc w:val="center"/>
                  </w:pPr>
                  <w:r>
                    <w:t xml:space="preserve">31</w:t>
                  </w:r>
                </w:p>
              </w:tc>
              <w:tc>
                <w:tcPr/>
                <w:p>
                  <w:pPr>
                    <w:pStyle w:val="Compact"/>
                    <w:jc w:val="right"/>
                    <w:jc w:val="center"/>
                  </w:pPr>
                  <w:r>
                    <w:t xml:space="preserve">11</w:t>
                  </w:r>
                </w:p>
              </w:tc>
            </w:tr>
            <w:tr>
              <w:tc>
                <w:tcPr/>
                <w:p>
                  <w:pPr>
                    <w:pStyle w:val="Compact"/>
                    <w:jc w:val="left"/>
                    <w:jc w:val="center"/>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166</w:t>
                  </w:r>
                </w:p>
              </w:tc>
              <w:tc>
                <w:tcPr/>
                <w:p>
                  <w:pPr>
                    <w:pStyle w:val="Compact"/>
                    <w:jc w:val="right"/>
                    <w:jc w:val="center"/>
                  </w:pPr>
                  <w:r>
                    <w:t xml:space="preserve">58</w:t>
                  </w:r>
                </w:p>
              </w:tc>
            </w:tr>
          </w:tbl>
          <w:bookmarkEnd w:id="17"/>
          <w:p/>
        </w:tc>
      </w:tr>
    </w:tbl>
    <w:bookmarkEnd w:id="18"/>
    <w:bookmarkStart w:id="19" w:name="survey-and-analysis-of-raw-materials"/>
    <w:p>
      <w:pPr>
        <w:pStyle w:val="Heading2"/>
      </w:pPr>
      <w:r>
        <w:t xml:space="preserve">3.2 Survey and analysis of raw materials</w:t>
      </w:r>
    </w:p>
    <w:p>
      <w:pPr>
        <w:pStyle w:val="FirstParagraph"/>
      </w:pPr>
      <w:r>
        <w:t xml:space="preserve">To establish what raw material was locally available, gravel bars were sampled at five points along three river channels. At each point an area of 1–2 m² was cleared and every cobble longer than 30 mm exposed at the surface was recorded. For each cobble we recorded length, width and thickness (mm), roundness on a four-point scale (angular, subangular, subrounded, well-rounded) and shape (sub-oval, tabular or irregular). These records give the relative abundance of each lithology on the gravel bars. Because the shape terms of the field record mix geometric form with regularity, form was not analysed from them but derived from the axes themselves: the three measurements of each cobble were sorted into</w:t>
      </w:r>
      <w:r>
        <w:t xml:space="preserve"> </w:t>
      </w:r>
      <w:r>
        <w:rPr>
          <w:i/>
          <w:iCs/>
        </w:rPr>
        <w:t xml:space="preserve">a</w:t>
      </w:r>
      <w:r>
        <w:t xml:space="preserve"> </w:t>
      </w:r>
      <w:r>
        <w:t xml:space="preserve">&gt;=</w:t>
      </w:r>
      <w:r>
        <w:t xml:space="preserve"> </w:t>
      </w:r>
      <w:r>
        <w:rPr>
          <w:i/>
          <w:iCs/>
        </w:rPr>
        <w:t xml:space="preserve">b</w:t>
      </w:r>
      <w:r>
        <w:t xml:space="preserve"> </w:t>
      </w:r>
      <w:r>
        <w:t xml:space="preserve">&gt;=</w:t>
      </w:r>
      <w:r>
        <w:t xml:space="preserve"> </w:t>
      </w:r>
      <w:r>
        <w:rPr>
          <w:i/>
          <w:iCs/>
        </w:rPr>
        <w:t xml:space="preserve">c</w:t>
      </w:r>
      <w:r>
        <w:t xml:space="preserve"> </w:t>
      </w:r>
      <w:r>
        <w:t xml:space="preserve">and classified on the ratios</w:t>
      </w:r>
      <w:r>
        <w:t xml:space="preserve"> </w:t>
      </w:r>
      <w:r>
        <w:rPr>
          <w:i/>
          <w:iCs/>
        </w:rPr>
        <w:t xml:space="preserve">b</w:t>
      </w:r>
      <w:r>
        <w:t xml:space="preserve">/</w:t>
      </w:r>
      <w:r>
        <w:rPr>
          <w:i/>
          <w:iCs/>
        </w:rPr>
        <w:t xml:space="preserve">a</w:t>
      </w:r>
      <w:r>
        <w:t xml:space="preserve"> </w:t>
      </w:r>
      <w:r>
        <w:t xml:space="preserve">and</w:t>
      </w:r>
      <w:r>
        <w:t xml:space="preserve"> </w:t>
      </w:r>
      <w:r>
        <w:rPr>
          <w:i/>
          <w:iCs/>
        </w:rPr>
        <w:t xml:space="preserve">c</w:t>
      </w:r>
      <w:r>
        <w:t xml:space="preserve">/</w:t>
      </w:r>
      <w:r>
        <w:rPr>
          <w:i/>
          <w:iCs/>
        </w:rPr>
        <w:t xml:space="preserve">b</w:t>
      </w:r>
      <w:r>
        <w:t xml:space="preserve"> </w:t>
      </w:r>
      <w:r>
        <w:t xml:space="preserve">at the thresholds of 2/3 that define Zingg’s four classes, here named equant, tabular, prismatic and bladed</w:t>
      </w:r>
      <w:r>
        <w:t xml:space="preserve"> </w:t>
      </w:r>
      <w:r>
        <w:t xml:space="preserve">(1935)</w:t>
      </w:r>
      <w:r>
        <w:t xml:space="preserve">, with the maximum projection sphericity (</w:t>
      </w:r>
      <w:r>
        <w:rPr>
          <w:i/>
          <w:iCs/>
        </w:rPr>
        <w:t xml:space="preserve">c</w:t>
      </w:r>
      <w:r>
        <w:t xml:space="preserve">²/</w:t>
      </w:r>
      <w:r>
        <w:rPr>
          <w:i/>
          <w:iCs/>
        </w:rPr>
        <w:t xml:space="preserve">ab</w:t>
      </w:r>
      <w:r>
        <w:t xml:space="preserve">)</w:t>
      </w:r>
      <w:r>
        <w:rPr>
          <w:vertAlign w:val="superscript"/>
        </w:rPr>
        <w:t xml:space="preserve">1/3</w:t>
      </w:r>
      <w:r>
        <w:t xml:space="preserve"> </w:t>
      </w:r>
      <w:r>
        <w:t xml:space="preserve">of Sneed and Folk</w:t>
      </w:r>
      <w:r>
        <w:t xml:space="preserve"> </w:t>
      </w:r>
      <w:r>
        <w:t xml:space="preserve">(1958)</w:t>
      </w:r>
      <w:r>
        <w:t xml:space="preserve"> </w:t>
      </w:r>
      <w:r>
        <w:t xml:space="preserve">reported alongside as the continuous form of the same geometry. Form was compared between lithologies by PERMANOVA on Euclidean distances of the two z-scored ratios, so that the comparison rests on the ratios as measured rather than on the classes into which they fall, and size and sphericity with Mann–Whitney rank sum tests.</w:t>
      </w:r>
    </w:p>
    <w:p>
      <w:pPr>
        <w:pStyle w:val="BodyText"/>
      </w:pPr>
      <w:r>
        <w:t xml:space="preserve">To characterise the internal properties of the dominant raw material, thin sections were prepared from five trachyte cobbles and examined petrographically, with mineral composition determined by energy-dispersive spectroscopy. Identifications were carried out by the Guangxi Institute of Geological Survey and the China University of Geosciences (Wuhan). The raw material of each artefact was assigned macroscopically to the same lithological categories, using the surveyed cobbles as a reference collection.</w:t>
      </w:r>
    </w:p>
    <w:p>
      <w:pPr>
        <w:pStyle w:val="BodyText"/>
      </w:pPr>
      <w:r>
        <w:t xml:space="preserve">Differences in raw material composition, both between the gravel bars and the artefacts and between spatial units, were tested by permutational multivariate analysis of variance (PERMANOVA), stratified at two scales, basin and valley.</w:t>
      </w:r>
    </w:p>
    <w:p>
      <w:pPr>
        <w:pStyle w:val="BodyText"/>
      </w:pPr>
      <w:r>
        <w:t xml:space="preserve">Because the artefacts are made overwhelmingly on river cobbles, the straight-line distance from each locality to the nearest channel was used as a proxy for proximity to a source of raw material. These distances are strongly skewed, the groups differ considerably in size, and their variances are unequal, so differences between the two basins were tested with a Mann–Whitney U test and differences among the three valleys with a Kruskal–Wallis rank sum test; medians are reported as the measure of central tendency and the rank tests taken as the primary criterion. Cobble size was summarised as the geometric mean of length, width and thickness and compared between lithologies with a Mann–Whitney U test</w:t>
      </w:r>
      <w:r>
        <w:t xml:space="preserve"> </w:t>
      </w:r>
      <w:r>
        <w:t xml:space="preserve">(Eren et al., 2014)</w:t>
      </w:r>
      <w:r>
        <w:t xml:space="preserve">.</w:t>
      </w:r>
    </w:p>
    <w:p>
      <w:pPr>
        <w:pStyle w:val="BodyText"/>
      </w:pPr>
      <w:r>
        <w:t xml:space="preserve">Raw material selection was quantified with Jacobs’ electivity index</w:t>
      </w:r>
      <w:r>
        <w:t xml:space="preserve"> </w:t>
      </w:r>
      <w:r>
        <w:rPr>
          <w:i/>
          <w:iCs/>
        </w:rPr>
        <w:t xml:space="preserve">D</w:t>
      </w:r>
      <w:r>
        <w:t xml:space="preserve"> </w:t>
      </w:r>
      <w:r>
        <w:t xml:space="preserve">(Jacobs, 1974)</w:t>
      </w:r>
      <w:r>
        <w:t xml:space="preserve">, a modification of Ivlev’s index that corrects for the relative abundance of the available resources:</w:t>
      </w:r>
    </w:p>
    <w:p>
      <w:pPr>
        <w:pStyle w:val="BodyText"/>
      </w:pPr>
      <m:oMathPara>
        <m:oMathParaPr>
          <m:jc m:val="center"/>
        </m:oMathParaPr>
        <m:oMath>
          <m:r>
            <m:t>D</m:t>
          </m:r>
          <m:r>
            <m:rPr>
              <m:sty m:val="p"/>
            </m:rPr>
            <m:t>=</m:t>
          </m:r>
          <m:f>
            <m:fPr>
              <m:type m:val="bar"/>
            </m:fPr>
            <m:num>
              <m:r>
                <m:t>r</m:t>
              </m:r>
              <m:r>
                <m:rPr>
                  <m:sty m:val="p"/>
                </m:rPr>
                <m:t>−</m:t>
              </m:r>
              <m:r>
                <m:t>p</m:t>
              </m:r>
            </m:num>
            <m:den>
              <m:r>
                <m:t> </m:t>
              </m:r>
              <m:r>
                <m:t>r</m:t>
              </m:r>
              <m:r>
                <m:rPr>
                  <m:sty m:val="p"/>
                </m:rPr>
                <m:t>+</m:t>
              </m:r>
              <m:r>
                <m:t>p</m:t>
              </m:r>
              <m:r>
                <m:rPr>
                  <m:sty m:val="p"/>
                </m:rPr>
                <m:t>−</m:t>
              </m:r>
              <m:r>
                <m:t>2</m:t>
              </m:r>
              <m:r>
                <m:t> </m:t>
              </m:r>
              <m:r>
                <m:t>r</m:t>
              </m:r>
              <m:r>
                <m:t> </m:t>
              </m:r>
              <m:r>
                <m:t>p</m:t>
              </m:r>
              <m:r>
                <m:t> </m:t>
              </m:r>
            </m:den>
          </m:f>
        </m:oMath>
      </m:oMathPara>
    </w:p>
    <w:p>
      <w:pPr>
        <w:pStyle w:val="FirstParagraph"/>
      </w:pPr>
      <w:r>
        <w:t xml:space="preserve">where</w:t>
      </w:r>
      <w:r>
        <w:t xml:space="preserve"> </w:t>
      </w:r>
      <w:r>
        <w:rPr>
          <w:i/>
          <w:iCs/>
        </w:rPr>
        <w:t xml:space="preserve">r</w:t>
      </w:r>
      <w:r>
        <w:t xml:space="preserve"> </w:t>
      </w:r>
      <w:r>
        <w:t xml:space="preserve">is the proportion of a given raw material among the artefacts and</w:t>
      </w:r>
      <w:r>
        <w:t xml:space="preserve"> </w:t>
      </w:r>
      <w:r>
        <w:rPr>
          <w:i/>
          <w:iCs/>
        </w:rPr>
        <w:t xml:space="preserve">p</w:t>
      </w:r>
      <w:r>
        <w:t xml:space="preserve"> </w:t>
      </w:r>
      <w:r>
        <w:t xml:space="preserve">is its proportion among the cobbles recorded in the gravel survey.</w:t>
      </w:r>
      <w:r>
        <w:t xml:space="preserve"> </w:t>
      </w:r>
      <w:r>
        <w:rPr>
          <w:i/>
          <w:iCs/>
        </w:rPr>
        <w:t xml:space="preserve">D</w:t>
      </w:r>
      <w:r>
        <w:t xml:space="preserve"> </w:t>
      </w:r>
      <w:r>
        <w:t xml:space="preserve">ranges from −1 (complete avoidance) through 0 (use in proportion to availability) to +1 (complete selection). It was computed for each raw material in the surface Quina scrapers against availability pooled across the gravel survey. Where either proportion is zero the index saturates: a material absent from the gravel survey returns</w:t>
      </w:r>
      <w:r>
        <w:t xml:space="preserve"> </w:t>
      </w:r>
      <w:r>
        <w:rPr>
          <w:i/>
          <w:iCs/>
        </w:rPr>
        <w:t xml:space="preserve">D</w:t>
      </w:r>
      <w:r>
        <w:t xml:space="preserve"> </w:t>
      </w:r>
      <w:r>
        <w:t xml:space="preserve">= +1, and one absent from the artefacts returns</w:t>
      </w:r>
      <w:r>
        <w:t xml:space="preserve"> </w:t>
      </w:r>
      <w:r>
        <w:rPr>
          <w:i/>
          <w:iCs/>
        </w:rPr>
        <w:t xml:space="preserve">D</w:t>
      </w:r>
      <w:r>
        <w:t xml:space="preserve"> </w:t>
      </w:r>
      <w:r>
        <w:t xml:space="preserve">= −1, whatever the value of the other proportion. In these cases</w:t>
      </w:r>
      <w:r>
        <w:t xml:space="preserve"> </w:t>
      </w:r>
      <w:r>
        <w:rPr>
          <w:i/>
          <w:iCs/>
        </w:rPr>
        <w:t xml:space="preserve">D</w:t>
      </w:r>
      <w:r>
        <w:t xml:space="preserve"> </w:t>
      </w:r>
      <w:r>
        <w:t xml:space="preserve">records the direction of the selection but not its strength, and a zero in the gravel survey is in any case a sampling zero rather than a demonstrated absence. Such values are therefore reported for completeness but are not read on the same scale as those computed from two non-zero proportions.</w:t>
      </w:r>
    </w:p>
    <w:bookmarkEnd w:id="19"/>
    <w:bookmarkStart w:id="20" w:name="X5d1db9e11f30252a7289dfbbf7a6d2845590ab2"/>
    <w:p>
      <w:pPr>
        <w:pStyle w:val="Heading2"/>
      </w:pPr>
      <w:r>
        <w:t xml:space="preserve">3.3 Techno-typological analysis of Quina retouch products</w:t>
      </w:r>
    </w:p>
    <w:p>
      <w:pPr>
        <w:pStyle w:val="FirstParagraph"/>
      </w:pPr>
      <w:r>
        <w:t xml:space="preserve">The techno-typological observations and measurements follow established practice in the study of Quina technology</w:t>
      </w:r>
      <w:r>
        <w:t xml:space="preserve"> </w:t>
      </w:r>
      <w:r>
        <w:t xml:space="preserve">(Bourguignon, 1997; Hiscock and Clarkson, 2008; Peresani et al., 2023; Ruan et al., 2025b)</w:t>
      </w:r>
      <w:r>
        <w:t xml:space="preserve">. For each scraper we recorded length, width, thickness and mass; blank type; cortex position; platform type and platform depth (PD); interior platform angle (IPA); the number of retouch generations; the numbers of convex scars and concave scars; the geometric index of unifacial reduction (GIUR)</w:t>
      </w:r>
      <w:r>
        <w:t xml:space="preserve"> </w:t>
      </w:r>
      <w:r>
        <w:t xml:space="preserve">(Kuhn, 1990)</w:t>
      </w:r>
      <w:r>
        <w:t xml:space="preserve"> </w:t>
      </w:r>
      <w:r>
        <w:t xml:space="preserve">and the proportion of the perimeter retouched; the edge angle; and its attribution within Bordes’ type list</w:t>
      </w:r>
      <w:r>
        <w:t xml:space="preserve"> </w:t>
      </w:r>
      <w:r>
        <w:t xml:space="preserve">(Bordes, 1961b; Debénath and Dibble, 1994)</w:t>
      </w:r>
      <w:r>
        <w:t xml:space="preserve">. For each resharpening flake we recorded platform type, PD, IPA and exterior platform angle (EPA). Relationships between edge angle and GIUR, the proportion of retouched edge and the mean number of retouch generations were examined with Spearman rank correlation, with p-values adjusted by the Bonferroni procedure. The difference between the EPAs of the resharpening flakes and the edge angles of the scrapers was tested with Welch’s t-test, so that unequal variances would not affect the inference</w:t>
      </w:r>
      <w:r>
        <w:t xml:space="preserve"> </w:t>
      </w:r>
      <w:r>
        <w:t xml:space="preserve">(Welch, 1947)</w:t>
      </w:r>
      <w:r>
        <w:t xml:space="preserve">.</w:t>
      </w:r>
    </w:p>
    <w:p>
      <w:pPr>
        <w:pStyle w:val="BodyText"/>
      </w:pPr>
      <w:r>
        <w:t xml:space="preserve">To test the technological consistency between the surface Quina scrapers and the excavated material, the Quina scrapers from Longtan were used as the reference, and non-Quina scrapers from the same site were included as a technological control group. To reduce dimensionality and minimise redundancy among correlated variables, six of the recorded variables were selected for multivariate analysis as the most representative: thickness, proportion of the perimeter retouched, GIUR, number of total scars, number of retouch generations and edge angle. All were standardised to z-scores and differences between specimens computed as Euclidean distances. Differences between groups were tested by PERMANOVA, with the proportion of variance explained (</w:t>
      </w:r>
      <w:r>
        <w:rPr>
          <w:i/>
          <w:iCs/>
        </w:rPr>
        <w:t xml:space="preserve">R</w:t>
      </w:r>
      <w:r>
        <w:t xml:space="preserve">²) reported for each pairwise comparison. The non-Quina scrapers serve to calibrate the scale on which those</w:t>
      </w:r>
      <w:r>
        <w:t xml:space="preserve"> </w:t>
      </w:r>
      <w:r>
        <w:rPr>
          <w:i/>
          <w:iCs/>
        </w:rPr>
        <w:t xml:space="preserve">R</w:t>
      </w:r>
      <w:r>
        <w:t xml:space="preserve">² values are read: if the same set of variables separates Quina from ordinary scrapers with a high</w:t>
      </w:r>
      <w:r>
        <w:t xml:space="preserve"> </w:t>
      </w:r>
      <w:r>
        <w:rPr>
          <w:i/>
          <w:iCs/>
        </w:rPr>
        <w:t xml:space="preserve">R</w:t>
      </w:r>
      <w:r>
        <w:t xml:space="preserve">² while the two Quina groups differ only at a low</w:t>
      </w:r>
      <w:r>
        <w:t xml:space="preserve"> </w:t>
      </w:r>
      <w:r>
        <w:rPr>
          <w:i/>
          <w:iCs/>
        </w:rPr>
        <w:t xml:space="preserve">R</w:t>
      </w:r>
      <w:r>
        <w:t xml:space="preserve">², the latter is more likely to reflect a real technological similarity than a lack of statistical power. At the univariate level, mean GIUR, scar count and mean number of retouch generations were compared with Kruskal–Wallis rank sum tests followed by Dunn’s post hoc comparisons, and thickness, proportion of the perimeter retouched and edge angle with Welch’s ANOVA followed by Welch’s t post hoc comparisons; all post hoc comparisons were corrected using the Bonferroni method. Technological dispersion between groups was tested with PERMDISP. To compare the degree of variation within groups, the coefficients of variation (CV) of length, width, thickness, mass and edge angle were tested for equality across groups using the Krishnamoorthy–Lee modified signed likelihood ratio test (KL-MSLRT)</w:t>
      </w:r>
      <w:r>
        <w:t xml:space="preserve"> </w:t>
      </w:r>
      <w:r>
        <w:t xml:space="preserve">(Krishnamoorthy and Lee, 2014)</w:t>
      </w:r>
      <w:r>
        <w:t xml:space="preserve">, these being ratio-scale variables with a true zero. GIUR, the proportion of the perimeter retouched, number of total scars and the number of retouch generations were instead compared with Fligner–Killeen tests: the first two are bounded on [0, 1], which leaves the CV without a clear interpretation, and the last two are counts whose variance structure does not meet the assumptions required for comparing CVs. To assess how robust the results are, the analyses were repeated with the surface specimens collected from within the area of the Longtan site removed.</w:t>
      </w:r>
    </w:p>
    <w:p>
      <w:pPr>
        <w:pStyle w:val="BodyText"/>
      </w:pPr>
      <w:r>
        <w:t xml:space="preserve">To test whether technological variation is systematically structured by the landscape, the analysis was repeated with the locality as the unit, each locality represented by the median value of its Quina scrapers on the same six variables. Four landscape variables were considered: basin (Huangping or Binchuan), the height of the locality above the present-day channel, distance from the locality to that channel, and assemblage size (number of specimens). Height above the channel was used in preference to a categorical terrace level, and in preference to absolute elevation: it is the continuous quantity of which terrace level is a discretisation, and because it is measured from the local channel rather than from sea level, the difference in base level between the two basins cancels out. Basin, the only categorical variable, was tested with PERMANOVA and PERMDISP; the three continuous variables with Spearman rank correlation, and with locality-level PERMANOVA on Euclidean distances.</w:t>
      </w:r>
    </w:p>
    <w:p>
      <w:pPr>
        <w:pStyle w:val="BodyText"/>
      </w:pPr>
      <w:r>
        <w:t xml:space="preserve">All statistical analyses were carried out in R 4.5.2</w:t>
      </w:r>
      <w:r>
        <w:t xml:space="preserve"> </w:t>
      </w:r>
      <w:r>
        <w:t xml:space="preserve">(R Core Team, 2025)</w:t>
      </w:r>
      <w:r>
        <w:t xml:space="preserve">. Package versions, permutation, Monte Carlo and bootstrap settings, and the random seed are given in Supplementary S1.</w:t>
      </w:r>
    </w:p>
    <w:bookmarkEnd w:id="20"/>
    <w:bookmarkStart w:id="21" w:name="reproducibility-and-open-materials"/>
    <w:p>
      <w:pPr>
        <w:pStyle w:val="Heading2"/>
      </w:pPr>
      <w:r>
        <w:t xml:space="preserve">3.4 Reproducibility and open materials</w:t>
      </w:r>
    </w:p>
    <w:p>
      <w:pPr>
        <w:pStyle w:val="FirstParagraph"/>
      </w:pPr>
      <w:r>
        <w:t xml:space="preserve">Computational reproducibility remains a challenge in archaeological science, yet it underpins both the credibility of quantitative results and their re-use by others</w:t>
      </w:r>
      <w:r>
        <w:t xml:space="preserve"> </w:t>
      </w:r>
      <w:r>
        <w:t xml:space="preserve">(</w:t>
      </w:r>
      <w:r>
        <w:t xml:space="preserve">Marwick et al.</w:t>
      </w:r>
      <w:r>
        <w:t xml:space="preserve">, n.d.; Marwick, 2017)</w:t>
      </w:r>
      <w:r>
        <w:t xml:space="preserve">. All materials needed to reproduce the analyses reported here are therefore available in a version-controlled online repository at [[OSF DOI]]. These comprise the raw data underlying every reported result together with the complete code used for the analyses and for the figures derived from them. The repository is organised with a logical folder structure and relative file paths, so that the code runs without manual modification.</w:t>
      </w:r>
    </w:p>
    <w:bookmarkEnd w:id="21"/>
    <w:bookmarkEnd w:id="22"/>
    <w:bookmarkStart w:id="51" w:name="results"/>
    <w:p>
      <w:pPr>
        <w:pStyle w:val="Heading1"/>
      </w:pPr>
      <w:r>
        <w:t xml:space="preserve">4. Results</w:t>
      </w:r>
    </w:p>
    <w:bookmarkStart w:id="27" w:name="X67489709238f44c34d95d0e720d7d38e00243ce"/>
    <w:p>
      <w:pPr>
        <w:pStyle w:val="Heading2"/>
      </w:pPr>
      <w:r>
        <w:t xml:space="preserve">4.1 Landscape distribution and raw material economy</w:t>
      </w:r>
    </w:p>
    <w:p>
      <w:pPr>
        <w:pStyle w:val="FirstParagraph"/>
      </w:pPr>
      <w:r>
        <w:t xml:space="preserve">Quina localities in both basins lie along the valley systems, on river terraces, and at consistently short distances from the channels. In the Huangping Basin they are concentrated on the second and third terraces; in the Binchuan Basin they extend across the second to fourth terraces (T2–T4), with a small number (</w:t>
      </w:r>
      <w:r>
        <w:rPr>
          <w:i/>
          <w:iCs/>
        </w:rPr>
        <w:t xml:space="preserve">n</w:t>
      </w:r>
      <w:r>
        <w:t xml:space="preserve"> </w:t>
      </w:r>
      <w:r>
        <w:t xml:space="preserve">= 3) occurring higher, on hilltops. Because the artefacts are made overwhelmingly on river cobbles, the straight-line distance from a locality to the nearest channel serves as a proxy for ease of access to lithic raw material. Across the three valleys, the Sangyuan, Liandong and Caifeng, these distances are short and similarly distributed, with a median of 596 m. Neither comparison detected a difference between spatial units, whether at the scale of the basin (</w:t>
      </w:r>
      <w:r>
        <w:rPr>
          <w:i/>
          <w:iCs/>
        </w:rPr>
        <w:t xml:space="preserve">U</w:t>
      </w:r>
      <w:r>
        <w:t xml:space="preserve"> </w:t>
      </w:r>
      <w:r>
        <w:t xml:space="preserve">= 33,</w:t>
      </w:r>
      <w:r>
        <w:t xml:space="preserve"> </w:t>
      </w:r>
      <w:r>
        <w:rPr>
          <w:i/>
          <w:iCs/>
        </w:rPr>
        <w:t xml:space="preserve">p</w:t>
      </w:r>
      <w:r>
        <w:t xml:space="preserve"> </w:t>
      </w:r>
      <w:r>
        <w:t xml:space="preserve">= 0.262) or of the valley (</w:t>
      </w:r>
      <w:r>
        <w:rPr>
          <w:i/>
          <w:iCs/>
        </w:rPr>
        <w:t xml:space="preserve">H</w:t>
      </w:r>
      <w:r>
        <w:t xml:space="preserve"> </w:t>
      </w:r>
      <w:r>
        <w:t xml:space="preserve">= 4.17,</w:t>
      </w:r>
      <w:r>
        <w:t xml:space="preserve"> </w:t>
      </w:r>
      <w:r>
        <w:rPr>
          <w:i/>
          <w:iCs/>
        </w:rPr>
        <w:t xml:space="preserve">df</w:t>
      </w:r>
      <w:r>
        <w:t xml:space="preserve"> </w:t>
      </w:r>
      <w:r>
        <w:t xml:space="preserve">= 2,</w:t>
      </w:r>
      <w:r>
        <w:t xml:space="preserve"> </w:t>
      </w:r>
      <w:r>
        <w:rPr>
          <w:i/>
          <w:iCs/>
        </w:rPr>
        <w:t xml:space="preserve">p</w:t>
      </w:r>
      <w:r>
        <w:t xml:space="preserve"> </w:t>
      </w:r>
      <w:r>
        <w:t xml:space="preserve">= 0.124). Access to river gravels therefore appears to have been broadly comparable across the study area, so that differences in the raw materials actually used at these localities are unlikely to be explained by differential proximity to a source.</w:t>
      </w:r>
    </w:p>
    <w:p>
      <w:pPr>
        <w:pStyle w:val="BodyText"/>
      </w:pPr>
      <w:r>
        <w:t xml:space="preserve">Raw material use does not follow raw material abundance. On the gravel bars, sandstone is the most abundant lithology (69.7% of 469 cobbles), with trachyte second (27.5%); among the artefacts, trachyte accounts for 95.8%. The bars are not uniform in composition, however: raw material composition differs significantly between sampling points (</w:t>
      </w:r>
      <w:r>
        <w:rPr>
          <w:i/>
          <w:iCs/>
        </w:rPr>
        <w:t xml:space="preserve">R</w:t>
      </w:r>
      <w:r>
        <w:t xml:space="preserve">² = 0.108, pseudo-</w:t>
      </w:r>
      <w:r>
        <w:rPr>
          <w:i/>
          <w:iCs/>
        </w:rPr>
        <w:t xml:space="preserve">F</w:t>
      </w:r>
      <w:r>
        <w:t xml:space="preserve"> </w:t>
      </w:r>
      <w:r>
        <w:t xml:space="preserve">= 14.02,</w:t>
      </w:r>
      <w:r>
        <w:t xml:space="preserve"> </w:t>
      </w:r>
      <w:r>
        <w:rPr>
          <w:i/>
          <w:iCs/>
        </w:rPr>
        <w:t xml:space="preserve">p</w:t>
      </w:r>
      <w:r>
        <w:t xml:space="preserve"> </w:t>
      </w:r>
      <w:r>
        <w:t xml:space="preserve">&lt; 0.001), and stratified analysis attributes this variation to differences between valleys (</w:t>
      </w:r>
      <w:r>
        <w:rPr>
          <w:i/>
          <w:iCs/>
        </w:rPr>
        <w:t xml:space="preserve">R</w:t>
      </w:r>
      <w:r>
        <w:t xml:space="preserve">² = 0.106, pseudo-</w:t>
      </w:r>
      <w:r>
        <w:rPr>
          <w:i/>
          <w:iCs/>
        </w:rPr>
        <w:t xml:space="preserve">F</w:t>
      </w:r>
      <w:r>
        <w:t xml:space="preserve"> </w:t>
      </w:r>
      <w:r>
        <w:t xml:space="preserve">= 27.53,</w:t>
      </w:r>
      <w:r>
        <w:t xml:space="preserve"> </w:t>
      </w:r>
      <w:r>
        <w:rPr>
          <w:i/>
          <w:iCs/>
        </w:rPr>
        <w:t xml:space="preserve">p</w:t>
      </w:r>
      <w:r>
        <w:t xml:space="preserve"> </w:t>
      </w:r>
      <w:r>
        <w:t xml:space="preserve">&lt; 0.001) rather than within them. Sandstone-dominated and trachyte-richer bars are therefore distributed unevenly across the study area, in a pattern that follows the contrast in bedrock described in Section 2 ([[Fig. X]]). If knappers had simply worked whatever lay most abundantly at hand, the raw material composition of the artefacts should vary from valley to valley in the same way.</w:t>
      </w:r>
    </w:p>
    <w:p>
      <w:pPr>
        <w:pStyle w:val="BodyText"/>
      </w:pPr>
      <w:r>
        <w:t xml:space="preserve">That expectation is not met. The raw material composition of the Quina scrapers is uniform across the study area, differing neither between basins (</w:t>
      </w:r>
      <w:r>
        <w:rPr>
          <w:i/>
          <w:iCs/>
        </w:rPr>
        <w:t xml:space="preserve">R</w:t>
      </w:r>
      <w:r>
        <w:t xml:space="preserve">² = 0.004, pseudo-</w:t>
      </w:r>
      <w:r>
        <w:rPr>
          <w:i/>
          <w:iCs/>
        </w:rPr>
        <w:t xml:space="preserve">F</w:t>
      </w:r>
      <w:r>
        <w:t xml:space="preserve"> </w:t>
      </w:r>
      <w:r>
        <w:t xml:space="preserve">= 0.71,</w:t>
      </w:r>
      <w:r>
        <w:t xml:space="preserve"> </w:t>
      </w:r>
      <w:r>
        <w:rPr>
          <w:i/>
          <w:iCs/>
        </w:rPr>
        <w:t xml:space="preserve">p</w:t>
      </w:r>
      <w:r>
        <w:t xml:space="preserve"> </w:t>
      </w:r>
      <w:r>
        <w:t xml:space="preserve">= 0.549) nor between valleys (</w:t>
      </w:r>
      <w:r>
        <w:rPr>
          <w:i/>
          <w:iCs/>
        </w:rPr>
        <w:t xml:space="preserve">R</w:t>
      </w:r>
      <w:r>
        <w:t xml:space="preserve">² = 0.005, pseudo-</w:t>
      </w:r>
      <w:r>
        <w:rPr>
          <w:i/>
          <w:iCs/>
        </w:rPr>
        <w:t xml:space="preserve">F</w:t>
      </w:r>
      <w:r>
        <w:t xml:space="preserve"> </w:t>
      </w:r>
      <w:r>
        <w:t xml:space="preserve">= 0.40,</w:t>
      </w:r>
      <w:r>
        <w:t xml:space="preserve"> </w:t>
      </w:r>
      <w:r>
        <w:rPr>
          <w:i/>
          <w:iCs/>
        </w:rPr>
        <w:t xml:space="preserve">p</w:t>
      </w:r>
      <w:r>
        <w:t xml:space="preserve"> </w:t>
      </w:r>
      <w:r>
        <w:t xml:space="preserve">= 0.714) (</w:t>
      </w:r>
      <w:hyperlink w:anchor="fig-raw-material-composition">
        <w:r>
          <w:rPr>
            <w:rStyle w:val="Hyperlink"/>
          </w:rPr>
          <w:t xml:space="preserve">Fig. 2</w:t>
        </w:r>
      </w:hyperlink>
      <w:r>
        <w:t xml:space="preserve">). The same material was selected wherever knappers used, although sandstone is more abundant on the bars and although the composition of those bars varies from valley to valley. Jacobs’ electivity index puts the strength of that preference on a common scale: trachyte is strongly selected (</w:t>
      </w:r>
      <w:r>
        <w:rPr>
          <w:i/>
          <w:iCs/>
        </w:rPr>
        <w:t xml:space="preserve">D</w:t>
      </w:r>
      <w:r>
        <w:t xml:space="preserve"> </w:t>
      </w:r>
      <w:r>
        <w:t xml:space="preserve">= 0.97) and sandstone strongly avoided (</w:t>
      </w:r>
      <w:r>
        <w:rPr>
          <w:i/>
          <w:iCs/>
        </w:rPr>
        <w:t xml:space="preserve">D</w:t>
      </w:r>
      <w:r>
        <w:t xml:space="preserve"> </w:t>
      </w:r>
      <w:r>
        <w:t xml:space="preserve">= -0.98), with quartz and mudstone likewise avoided (</w:t>
      </w:r>
      <w:r>
        <w:rPr>
          <w:i/>
          <w:iCs/>
        </w:rPr>
        <w:t xml:space="preserve">D</w:t>
      </w:r>
      <w:r>
        <w:t xml:space="preserve"> </w:t>
      </w:r>
      <w:r>
        <w:t xml:space="preserve">= -1.00 in each case, neither being used at all); andesite returns</w:t>
      </w:r>
      <w:r>
        <w:t xml:space="preserve"> </w:t>
      </w:r>
      <w:r>
        <w:rPr>
          <w:i/>
          <w:iCs/>
        </w:rPr>
        <w:t xml:space="preserve">D</w:t>
      </w:r>
      <w:r>
        <w:t xml:space="preserve"> </w:t>
      </w:r>
      <w:r>
        <w:t xml:space="preserve">= 1.00, but only because the 4 andesite artefacts have no counterpart among the recorded cobbles, so that its index is undefined in practice rather than informative. Because D returns to zero only when a raw material is used in proportion to its availability, trachyte would have to make up some 96% of the gravel before its use could be read as neutral; no redistribution of availability among the valleys approaches that figure, so neither the direction nor the magnitude of the selection depends on how availability is pooled. The selection of trachyte, in other words, was made against local abundance rather than in step with it.</w:t>
      </w:r>
    </w:p>
    <w:tbl>
      <w:tblPr>
        <w:tblStyle w:val="Table"/>
        <w:tblW w:type="pct" w:w="5000"/>
        <w:tblLayout w:type="fixed"/>
        <w:tblLook w:firstRow="0" w:lastRow="0" w:firstColumn="0" w:lastColumn="0" w:noHBand="0" w:noVBand="0" w:val="0000"/>
      </w:tblPr>
      <w:tblGrid>
        <w:gridCol w:w="7920"/>
      </w:tblGrid>
      <w:tr>
        <w:tc>
          <w:tcPr/>
          <w:bookmarkStart w:id="26" w:name="fig-raw-material-composition"/>
          <w:p>
            <w:pPr>
              <w:pStyle w:val="Compact"/>
              <w:jc w:val="center"/>
            </w:pPr>
            <w:r>
              <w:drawing>
                <wp:inline>
                  <wp:extent cx="5403966" cy="5953522"/>
                  <wp:effectExtent b="0" l="0" r="0" t="0"/>
                  <wp:docPr descr="" title="" id="24" name="Picture"/>
                  <a:graphic>
                    <a:graphicData uri="http://schemas.openxmlformats.org/drawingml/2006/picture">
                      <pic:pic>
                        <pic:nvPicPr>
                          <pic:cNvPr descr="manuscript_files/figure-docx/fig-raw-material-composition-1.png" id="25" name="Picture"/>
                          <pic:cNvPicPr>
                            <a:picLocks noChangeArrowheads="1" noChangeAspect="1"/>
                          </pic:cNvPicPr>
                        </pic:nvPicPr>
                        <pic:blipFill>
                          <a:blip r:embed="rId23"/>
                          <a:stretch>
                            <a:fillRect/>
                          </a:stretch>
                        </pic:blipFill>
                        <pic:spPr bwMode="auto">
                          <a:xfrm>
                            <a:off x="0" y="0"/>
                            <a:ext cx="5403966" cy="5953522"/>
                          </a:xfrm>
                          <a:prstGeom prst="rect">
                            <a:avLst/>
                          </a:prstGeom>
                          <a:noFill/>
                          <a:ln w="9525">
                            <a:noFill/>
                            <a:headEnd/>
                            <a:tailEnd/>
                          </a:ln>
                        </pic:spPr>
                      </pic:pic>
                    </a:graphicData>
                  </a:graphic>
                </wp:inline>
              </w:drawing>
            </w:r>
          </w:p>
          <w:p>
            <w:pPr>
              <w:jc w:val="center"/>
            </w:pPr>
            <w:pPr>
              <w:jc w:val="left"/>
              <w:spacing w:before="200"/>
              <w:pStyle w:val="ImageCaption"/>
            </w:pPr>
            <w:r>
              <w:t xml:space="preserve">Fig. 2: Raw material availability, and the properties on which the selection did and did not turn. (A) Raw material composition of river-bar cobbles and surface-collected Quina scrapers across the three valleys. Each row of stacked bars represents a 100% composition: the upper row shows the lithology of available river cobbles, and the lower row shows the lithology of surface-collected Quina scrapers. Per-cell sample sizes are indicated by bar charts on the right. (B) to (D) compare the two lithologies present in quantity, trachyte (</w:t>
            </w:r>
            <w:r>
              <w:rPr>
                <w:i/>
                <w:iCs/>
              </w:rPr>
              <w:t xml:space="preserve">n</w:t>
            </w:r>
            <w:r>
              <w:t xml:space="preserve"> </w:t>
            </w:r>
            <w:r>
              <w:t xml:space="preserve">= 129) and sandstone (</w:t>
            </w:r>
            <w:r>
              <w:rPr>
                <w:i/>
                <w:iCs/>
              </w:rPr>
              <w:t xml:space="preserve">n</w:t>
            </w:r>
            <w:r>
              <w:t xml:space="preserve"> </w:t>
            </w:r>
            <w:r>
              <w:t xml:space="preserve">= 327), on the two properties of a cobble that can be measured from the survey record. (B) Size, the geometric mean of length, breadth and thickness of a cobble, on a logarithmic axis, these sizes being right-skewed: each point is one cobble, the box gives the median and the quartiles with whiskers reaching 1.5 times the interquartile range, and the filled circle is the geometric mean quoted in the text. (C) Form, on the two axial ratios of Zingg</w:t>
            </w:r>
            <w:r>
              <w:t xml:space="preserve"> </w:t>
            </w:r>
            <w:r>
              <w:t xml:space="preserve">(1935)</w:t>
            </w:r>
            <w:r>
              <w:t xml:space="preserve">. The three measurements of each cobble are sorted before they are used, so that length, breadth and thickness here are the longest, intermediate and shortest axis of that cobble rather than the columns as recorded; five records needed reordering. The dashed lines are the thresholds at 2/3 and divide the four classes named in the corners, and the colours are those of (A), trachyte pink and sandstone blue. The test is run on the ratios themselves rather than on the four classes: PERMANOVA on Euclidean distances of the two z-scored ratios, 9,999 permutations (</w:t>
            </w:r>
            <w:r>
              <w:rPr>
                <w:i/>
                <w:iCs/>
              </w:rPr>
              <w:t xml:space="preserve">R</w:t>
            </w:r>
            <w:r>
              <w:t xml:space="preserve">² = 0.002, pseudo-</w:t>
            </w:r>
            <w:r>
              <w:rPr>
                <w:i/>
                <w:iCs/>
              </w:rPr>
              <w:t xml:space="preserve">F</w:t>
            </w:r>
            <w:r>
              <w:t xml:space="preserve"> </w:t>
            </w:r>
            <w:r>
              <w:t xml:space="preserve">= 0.73). The maximum projection sphericity of Sneed and Folk</w:t>
            </w:r>
            <w:r>
              <w:t xml:space="preserve"> </w:t>
            </w:r>
            <w:r>
              <w:t xml:space="preserve">(1958)</w:t>
            </w:r>
            <w:r>
              <w:t xml:space="preserve"> </w:t>
            </w:r>
            <w:r>
              <w:t xml:space="preserve">is the continuous form of the same geometry and gives the same answer (medians 0.70 and 0.68,</w:t>
            </w:r>
            <w:r>
              <w:t xml:space="preserve"> </w:t>
            </w:r>
            <w:r>
              <w:rPr>
                <w:i/>
                <w:iCs/>
              </w:rPr>
              <w:t xml:space="preserve">U</w:t>
            </w:r>
            <w:r>
              <w:t xml:space="preserve"> </w:t>
            </w:r>
            <w:r>
              <w:t xml:space="preserve">= 20090,</w:t>
            </w:r>
            <w:r>
              <w:t xml:space="preserve"> </w:t>
            </w:r>
            <w:r>
              <w:rPr>
                <w:i/>
                <w:iCs/>
              </w:rPr>
              <w:t xml:space="preserve">p</w:t>
            </w:r>
            <w:r>
              <w:t xml:space="preserve"> </w:t>
            </w:r>
            <w:r>
              <w:t xml:space="preserve">= 0.430). (D) The four classes of (C) as the percentage of each lithology that falls in each, in the colours of (A) and (C); the two lithologies are compared on the ratios themselves in (C), so no further test is made here. The bracket in (B) is a Mann–Whitney rank sum test and carries the same significance marks as the other figures of this paper (ns / * / ** / *** / ****). Trachyte is the larger of the two and is not distinguishable from it in form.</w:t>
            </w:r>
          </w:p>
          <w:bookmarkEnd w:id="26"/>
        </w:tc>
      </w:tr>
    </w:tbl>
    <w:p>
      <w:pPr>
        <w:pStyle w:val="BodyText"/>
      </w:pPr>
      <w:r>
        <w:t xml:space="preserve">Two properties of the trachyte account for this preference, and a third can be excluded. Trachyte cobbles are significantly larger than sandstone cobbles (GM = 62.0 mm against 52.2 mm;</w:t>
      </w:r>
      <w:r>
        <w:t xml:space="preserve"> </w:t>
      </w:r>
      <w:r>
        <w:rPr>
          <w:i/>
          <w:iCs/>
        </w:rPr>
        <w:t xml:space="preserve">U</w:t>
      </w:r>
      <w:r>
        <w:t xml:space="preserve"> </w:t>
      </w:r>
      <w:r>
        <w:t xml:space="preserve">= 16864,</w:t>
      </w:r>
      <w:r>
        <w:t xml:space="preserve"> </w:t>
      </w:r>
      <w:r>
        <w:rPr>
          <w:i/>
          <w:iCs/>
        </w:rPr>
        <w:t xml:space="preserve">p</w:t>
      </w:r>
      <w:r>
        <w:t xml:space="preserve"> </w:t>
      </w:r>
      <w:r>
        <w:t xml:space="preserve">&lt; 0.001), giving a greater initial volume from which to sustain prolonged reduction. Their form does not distinguish them: on Zingg’s two axial ratios the two lithologies are indistinguishable (</w:t>
      </w:r>
      <w:r>
        <w:rPr>
          <w:i/>
          <w:iCs/>
        </w:rPr>
        <w:t xml:space="preserve">R</w:t>
      </w:r>
      <w:r>
        <w:t xml:space="preserve">² = 0.002, pseudo-</w:t>
      </w:r>
      <w:r>
        <w:rPr>
          <w:i/>
          <w:iCs/>
        </w:rPr>
        <w:t xml:space="preserve">F</w:t>
      </w:r>
      <w:r>
        <w:t xml:space="preserve"> </w:t>
      </w:r>
      <w:r>
        <w:t xml:space="preserve">= 0.73,</w:t>
      </w:r>
      <w:r>
        <w:t xml:space="preserve"> </w:t>
      </w:r>
      <w:r>
        <w:rPr>
          <w:i/>
          <w:iCs/>
        </w:rPr>
        <w:t xml:space="preserve">p</w:t>
      </w:r>
      <w:r>
        <w:t xml:space="preserve"> </w:t>
      </w:r>
      <w:r>
        <w:t xml:space="preserve">= 0.482), so the preference cannot have turned on the shapes in which the two raw materials occur on the bars (</w:t>
      </w:r>
      <w:hyperlink w:anchor="fig-raw-material-composition">
        <w:r>
          <w:rPr>
            <w:rStyle w:val="Hyperlink"/>
          </w:rPr>
          <w:t xml:space="preserve">Fig. 2</w:t>
        </w:r>
      </w:hyperlink>
      <w:r>
        <w:t xml:space="preserve">). What remains is the way the fracture predictability. In thin section the trachyte is porphyritic, with euhedral tabular to prismatic K-feldspar phenocrysts (~0.3–5.0 mm, ~1–10% of the rock) set in a hyalopilitic groundmass of K-feldspar microlites, chlorite or altered mafic minerals, magnetite and about 50% devitrified glass ([[Fig. X]]). Assessed on the criteria conventionally applied to volcanic rock, groundmass texture together with the size and abundance of phenocrysts</w:t>
      </w:r>
      <w:r>
        <w:t xml:space="preserve"> </w:t>
      </w:r>
      <w:r>
        <w:t xml:space="preserve">(</w:t>
      </w:r>
      <w:r>
        <w:rPr>
          <w:b/>
          <w:bCs/>
        </w:rPr>
        <w:t xml:space="preserve">stout2005?</w:t>
      </w:r>
      <w:r>
        <w:t xml:space="preserve">)</w:t>
      </w:r>
      <w:r>
        <w:t xml:space="preserve">, it is a fine-grained rock with a low phenocryst content, properties associated elsewhere with predictable conchoidal fracture and hence with long, continuous and acute edges. Size and fracture quality are the two properties on which prolonged resharpening most directly depends.</w:t>
      </w:r>
    </w:p>
    <w:bookmarkEnd w:id="27"/>
    <w:bookmarkStart w:id="50" w:name="Xd54b0698e3ffc7fe47f4b47eb7f1ab2622e19cb"/>
    <w:p>
      <w:pPr>
        <w:pStyle w:val="Heading2"/>
      </w:pPr>
      <w:r>
        <w:t xml:space="preserve">4.2 Characterising the Quina retouch products</w:t>
      </w:r>
    </w:p>
    <w:bookmarkStart w:id="42" w:name="techno-typological-features"/>
    <w:p>
      <w:pPr>
        <w:pStyle w:val="Heading3"/>
      </w:pPr>
      <w:r>
        <w:t xml:space="preserve">4.2.1 Techno-typological features</w:t>
      </w:r>
    </w:p>
    <w:p>
      <w:pPr>
        <w:pStyle w:val="FirstParagraph"/>
      </w:pPr>
      <w:r>
        <w:t xml:space="preserve">The 166 Quina scrapers from the surface collections are consistent with the Quina technological concept in each of its three dimensions: in the blanks selection, in the retouch strategy, in the ramification (</w:t>
      </w:r>
      <w:hyperlink w:anchor="tbl-retouch-products">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quina-scrapers"/>
          <w:p>
            <w:pPr>
              <w:pStyle w:val="Compact"/>
              <w:jc w:val="center"/>
            </w:pPr>
            <w:r>
              <w:drawing>
                <wp:inline>
                  <wp:extent cx="5394960" cy="6806217"/>
                  <wp:effectExtent b="0" l="0" r="0" t="0"/>
                  <wp:docPr descr="" title="" id="29" name="Picture"/>
                  <a:graphic>
                    <a:graphicData uri="http://schemas.openxmlformats.org/drawingml/2006/picture">
                      <pic:pic>
                        <pic:nvPicPr>
                          <pic:cNvPr descr="../figures/quina_scraper.png" id="30" name="Picture"/>
                          <pic:cNvPicPr>
                            <a:picLocks noChangeArrowheads="1" noChangeAspect="1"/>
                          </pic:cNvPicPr>
                        </pic:nvPicPr>
                        <pic:blipFill>
                          <a:blip r:embed="rId28"/>
                          <a:stretch>
                            <a:fillRect/>
                          </a:stretch>
                        </pic:blipFill>
                        <pic:spPr bwMode="auto">
                          <a:xfrm>
                            <a:off x="0" y="0"/>
                            <a:ext cx="5394960" cy="6806217"/>
                          </a:xfrm>
                          <a:prstGeom prst="rect">
                            <a:avLst/>
                          </a:prstGeom>
                          <a:noFill/>
                          <a:ln w="9525">
                            <a:noFill/>
                            <a:headEnd/>
                            <a:tailEnd/>
                          </a:ln>
                        </pic:spPr>
                      </pic:pic>
                    </a:graphicData>
                  </a:graphic>
                </wp:inline>
              </w:drawing>
            </w:r>
          </w:p>
          <w:p>
            <w:pPr>
              <w:jc w:val="center"/>
            </w:pPr>
            <w:pPr>
              <w:jc w:val="left"/>
              <w:spacing w:before="200"/>
              <w:pStyle w:val="ImageCaption"/>
            </w:pPr>
            <w:r>
              <w:t xml:space="preserve">Fig. 3: Quina scrapers from the surface collections. (A) to (F) are six specimens, each shown in several views with its cross-section in grey; the outline in (C) marks [[what the outline marks]] and the diagram in (F) gives the direction of the removals. Scale bars are 50 mm except in (D), where the bar is 20 mm. [[Specimen numbers and localities to be added.]]</w:t>
            </w:r>
          </w:p>
          <w:bookmarkEnd w:id="3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 w:name="tbl-retouch-products"/>
          <w:p>
            <w:pPr>
              <w:jc w:val="center"/>
            </w:pPr>
            <w:pPr>
              <w:jc w:val="left"/>
              <w:spacing w:before="200"/>
              <w:pStyle w:val="ImageCaption"/>
            </w:pPr>
            <w:r>
              <w:t xml:space="preserve">Table 2: Metric and reduction attributes of the Quina scrapers and the resharpening flakes from the surface collections. Not every attribute could be measured on every specimen: the platform attributes are recorded only on those that retain the platform of the blank, and GIUR on all but one scraper. The retouch attributes apply to the scrapers alone and the exterior platform angle to the resharpening flakes alone.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Attribute</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Median</w:t>
                  </w:r>
                </w:p>
              </w:tc>
              <w:tc>
                <w:tcPr/>
                <w:p>
                  <w:pPr>
                    <w:pStyle w:val="Compact"/>
                    <w:jc w:val="right"/>
                    <w:jc w:val="center"/>
                  </w:pPr>
                  <w:r>
                    <w:t xml:space="preserve">Q1–Q3</w:t>
                  </w:r>
                </w:p>
              </w:tc>
            </w:tr>
            <w:tr>
              <w:tc>
                <w:tcPr/>
                <w:p>
                  <w:pPr>
                    <w:pStyle w:val="Compact"/>
                    <w:jc w:val="left"/>
                    <w:jc w:val="center"/>
                  </w:pPr>
                  <w:r>
                    <w:rPr>
                      <w:b/>
                      <w:bCs/>
                    </w:rPr>
                    <w:t xml:space="preserve">Quina scrapers</w:t>
                  </w:r>
                  <w:r>
                    <w:t xml:space="preserve"> </w:t>
                  </w:r>
                  <w:r>
                    <w:t xml:space="preserve">(</w:t>
                  </w:r>
                  <w:r>
                    <w:rPr>
                      <w:i/>
                      <w:iCs/>
                    </w:rPr>
                    <w:t xml:space="preserve">n</w:t>
                  </w:r>
                  <w:r>
                    <w:t xml:space="preserve"> </w:t>
                  </w:r>
                  <w:r>
                    <w:t xml:space="preserve">= 166)</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Length (mm)</w:t>
                  </w:r>
                </w:p>
              </w:tc>
              <w:tc>
                <w:tcPr/>
                <w:p>
                  <w:pPr>
                    <w:pStyle w:val="Compact"/>
                    <w:jc w:val="right"/>
                    <w:jc w:val="center"/>
                  </w:pPr>
                  <w:r>
                    <w:t xml:space="preserve">59.2</w:t>
                  </w:r>
                </w:p>
              </w:tc>
              <w:tc>
                <w:tcPr/>
                <w:p>
                  <w:pPr>
                    <w:pStyle w:val="Compact"/>
                    <w:jc w:val="right"/>
                    <w:jc w:val="center"/>
                  </w:pPr>
                  <w:r>
                    <w:t xml:space="preserve">13.3</w:t>
                  </w:r>
                </w:p>
              </w:tc>
              <w:tc>
                <w:tcPr/>
                <w:p>
                  <w:pPr>
                    <w:pStyle w:val="Compact"/>
                    <w:jc w:val="right"/>
                    <w:jc w:val="center"/>
                  </w:pPr>
                  <w:r>
                    <w:t xml:space="preserve">58.0</w:t>
                  </w:r>
                </w:p>
              </w:tc>
              <w:tc>
                <w:tcPr/>
                <w:p>
                  <w:pPr>
                    <w:pStyle w:val="Compact"/>
                    <w:jc w:val="right"/>
                    <w:jc w:val="center"/>
                  </w:pPr>
                  <w:r>
                    <w:t xml:space="preserve">49.8–67.5</w:t>
                  </w:r>
                </w:p>
              </w:tc>
            </w:tr>
            <w:tr>
              <w:tc>
                <w:tcPr/>
                <w:p>
                  <w:pPr>
                    <w:pStyle w:val="Compact"/>
                    <w:jc w:val="left"/>
                    <w:jc w:val="center"/>
                  </w:pPr>
                  <w:r>
                    <w:t xml:space="preserve">   Width (mm)</w:t>
                  </w:r>
                </w:p>
              </w:tc>
              <w:tc>
                <w:tcPr/>
                <w:p>
                  <w:pPr>
                    <w:pStyle w:val="Compact"/>
                    <w:jc w:val="right"/>
                    <w:jc w:val="center"/>
                  </w:pPr>
                  <w:r>
                    <w:t xml:space="preserve">46.9</w:t>
                  </w:r>
                </w:p>
              </w:tc>
              <w:tc>
                <w:tcPr/>
                <w:p>
                  <w:pPr>
                    <w:pStyle w:val="Compact"/>
                    <w:jc w:val="right"/>
                    <w:jc w:val="center"/>
                  </w:pPr>
                  <w:r>
                    <w:t xml:space="preserve">12.1</w:t>
                  </w:r>
                </w:p>
              </w:tc>
              <w:tc>
                <w:tcPr/>
                <w:p>
                  <w:pPr>
                    <w:pStyle w:val="Compact"/>
                    <w:jc w:val="right"/>
                    <w:jc w:val="center"/>
                  </w:pPr>
                  <w:r>
                    <w:t xml:space="preserve">45.6</w:t>
                  </w:r>
                </w:p>
              </w:tc>
              <w:tc>
                <w:tcPr/>
                <w:p>
                  <w:pPr>
                    <w:pStyle w:val="Compact"/>
                    <w:jc w:val="right"/>
                    <w:jc w:val="center"/>
                  </w:pPr>
                  <w:r>
                    <w:t xml:space="preserve">38.5–54.8</w:t>
                  </w:r>
                </w:p>
              </w:tc>
            </w:tr>
            <w:tr>
              <w:tc>
                <w:tcPr/>
                <w:p>
                  <w:pPr>
                    <w:pStyle w:val="Compact"/>
                    <w:jc w:val="left"/>
                    <w:jc w:val="center"/>
                  </w:pPr>
                  <w:r>
                    <w:t xml:space="preserve">   Thickness (mm)</w:t>
                  </w:r>
                </w:p>
              </w:tc>
              <w:tc>
                <w:tcPr/>
                <w:p>
                  <w:pPr>
                    <w:pStyle w:val="Compact"/>
                    <w:jc w:val="right"/>
                    <w:jc w:val="center"/>
                  </w:pPr>
                  <w:r>
                    <w:t xml:space="preserve">25.0</w:t>
                  </w:r>
                </w:p>
              </w:tc>
              <w:tc>
                <w:tcPr/>
                <w:p>
                  <w:pPr>
                    <w:pStyle w:val="Compact"/>
                    <w:jc w:val="right"/>
                    <w:jc w:val="center"/>
                  </w:pPr>
                  <w:r>
                    <w:t xml:space="preserve">7.4</w:t>
                  </w:r>
                </w:p>
              </w:tc>
              <w:tc>
                <w:tcPr/>
                <w:p>
                  <w:pPr>
                    <w:pStyle w:val="Compact"/>
                    <w:jc w:val="right"/>
                    <w:jc w:val="center"/>
                  </w:pPr>
                  <w:r>
                    <w:t xml:space="preserve">24.4</w:t>
                  </w:r>
                </w:p>
              </w:tc>
              <w:tc>
                <w:tcPr/>
                <w:p>
                  <w:pPr>
                    <w:pStyle w:val="Compact"/>
                    <w:jc w:val="right"/>
                    <w:jc w:val="center"/>
                  </w:pPr>
                  <w:r>
                    <w:t xml:space="preserve">19.8–29.6</w:t>
                  </w:r>
                </w:p>
              </w:tc>
            </w:tr>
            <w:tr>
              <w:tc>
                <w:tcPr/>
                <w:p>
                  <w:pPr>
                    <w:pStyle w:val="Compact"/>
                    <w:jc w:val="left"/>
                    <w:jc w:val="center"/>
                  </w:pPr>
                  <w:r>
                    <w:t xml:space="preserve">   Mass (g)</w:t>
                  </w:r>
                </w:p>
              </w:tc>
              <w:tc>
                <w:tcPr/>
                <w:p>
                  <w:pPr>
                    <w:pStyle w:val="Compact"/>
                    <w:jc w:val="right"/>
                    <w:jc w:val="center"/>
                  </w:pPr>
                  <w:r>
                    <w:t xml:space="preserve">81.3</w:t>
                  </w:r>
                </w:p>
              </w:tc>
              <w:tc>
                <w:tcPr/>
                <w:p>
                  <w:pPr>
                    <w:pStyle w:val="Compact"/>
                    <w:jc w:val="right"/>
                    <w:jc w:val="center"/>
                  </w:pPr>
                  <w:r>
                    <w:t xml:space="preserve">62.9</w:t>
                  </w:r>
                </w:p>
              </w:tc>
              <w:tc>
                <w:tcPr/>
                <w:p>
                  <w:pPr>
                    <w:pStyle w:val="Compact"/>
                    <w:jc w:val="right"/>
                    <w:jc w:val="center"/>
                  </w:pPr>
                  <w:r>
                    <w:t xml:space="preserve">65.5</w:t>
                  </w:r>
                </w:p>
              </w:tc>
              <w:tc>
                <w:tcPr/>
                <w:p>
                  <w:pPr>
                    <w:pStyle w:val="Compact"/>
                    <w:jc w:val="right"/>
                    <w:jc w:val="center"/>
                  </w:pPr>
                  <w:r>
                    <w:t xml:space="preserve">43.6–100.2</w:t>
                  </w:r>
                </w:p>
              </w:tc>
            </w:tr>
            <w:tr>
              <w:tc>
                <w:tcPr/>
                <w:p>
                  <w:pPr>
                    <w:pStyle w:val="Compact"/>
                    <w:jc w:val="left"/>
                    <w:jc w:val="center"/>
                  </w:pPr>
                  <w:r>
                    <w:t xml:space="preserve">   Platform depth (mm)</w:t>
                  </w:r>
                </w:p>
              </w:tc>
              <w:tc>
                <w:tcPr/>
                <w:p>
                  <w:pPr>
                    <w:pStyle w:val="Compact"/>
                    <w:jc w:val="right"/>
                    <w:jc w:val="center"/>
                  </w:pPr>
                  <w:r>
                    <w:t xml:space="preserve">14.8</w:t>
                  </w:r>
                </w:p>
              </w:tc>
              <w:tc>
                <w:tcPr/>
                <w:p>
                  <w:pPr>
                    <w:pStyle w:val="Compact"/>
                    <w:jc w:val="right"/>
                    <w:jc w:val="center"/>
                  </w:pPr>
                  <w:r>
                    <w:t xml:space="preserve">5.4</w:t>
                  </w:r>
                </w:p>
              </w:tc>
              <w:tc>
                <w:tcPr/>
                <w:p>
                  <w:pPr>
                    <w:pStyle w:val="Compact"/>
                    <w:jc w:val="right"/>
                    <w:jc w:val="center"/>
                  </w:pPr>
                  <w:r>
                    <w:t xml:space="preserve">13.9</w:t>
                  </w:r>
                </w:p>
              </w:tc>
              <w:tc>
                <w:tcPr/>
                <w:p>
                  <w:pPr>
                    <w:pStyle w:val="Compact"/>
                    <w:jc w:val="right"/>
                    <w:jc w:val="center"/>
                  </w:pPr>
                  <w:r>
                    <w:t xml:space="preserve">11.3–18.1</w:t>
                  </w:r>
                </w:p>
              </w:tc>
            </w:tr>
            <w:tr>
              <w:tc>
                <w:tcPr/>
                <w:p>
                  <w:pPr>
                    <w:pStyle w:val="Compact"/>
                    <w:jc w:val="left"/>
                    <w:jc w:val="center"/>
                  </w:pPr>
                  <w:r>
                    <w:t xml:space="preserve">   Platform width (mm)</w:t>
                  </w:r>
                </w:p>
              </w:tc>
              <w:tc>
                <w:tcPr/>
                <w:p>
                  <w:pPr>
                    <w:pStyle w:val="Compact"/>
                    <w:jc w:val="right"/>
                    <w:jc w:val="center"/>
                  </w:pPr>
                  <w:r>
                    <w:t xml:space="preserve">32.5</w:t>
                  </w:r>
                </w:p>
              </w:tc>
              <w:tc>
                <w:tcPr/>
                <w:p>
                  <w:pPr>
                    <w:pStyle w:val="Compact"/>
                    <w:jc w:val="right"/>
                    <w:jc w:val="center"/>
                  </w:pPr>
                  <w:r>
                    <w:t xml:space="preserve">13.5</w:t>
                  </w:r>
                </w:p>
              </w:tc>
              <w:tc>
                <w:tcPr/>
                <w:p>
                  <w:pPr>
                    <w:pStyle w:val="Compact"/>
                    <w:jc w:val="right"/>
                    <w:jc w:val="center"/>
                  </w:pPr>
                  <w:r>
                    <w:t xml:space="preserve">30.9</w:t>
                  </w:r>
                </w:p>
              </w:tc>
              <w:tc>
                <w:tcPr/>
                <w:p>
                  <w:pPr>
                    <w:pStyle w:val="Compact"/>
                    <w:jc w:val="right"/>
                    <w:jc w:val="center"/>
                  </w:pPr>
                  <w:r>
                    <w:t xml:space="preserve">23.2–40.4</w:t>
                  </w:r>
                </w:p>
              </w:tc>
            </w:tr>
            <w:tr>
              <w:tc>
                <w:tcPr/>
                <w:p>
                  <w:pPr>
                    <w:pStyle w:val="Compact"/>
                    <w:jc w:val="left"/>
                    <w:jc w:val="center"/>
                  </w:pPr>
                  <w:r>
                    <w:t xml:space="preserve">   IPA (°)</w:t>
                  </w:r>
                </w:p>
              </w:tc>
              <w:tc>
                <w:tcPr/>
                <w:p>
                  <w:pPr>
                    <w:pStyle w:val="Compact"/>
                    <w:jc w:val="right"/>
                    <w:jc w:val="center"/>
                  </w:pPr>
                  <w:r>
                    <w:t xml:space="preserve">122.4</w:t>
                  </w:r>
                </w:p>
              </w:tc>
              <w:tc>
                <w:tcPr/>
                <w:p>
                  <w:pPr>
                    <w:pStyle w:val="Compact"/>
                    <w:jc w:val="right"/>
                    <w:jc w:val="center"/>
                  </w:pPr>
                  <w:r>
                    <w:t xml:space="preserve">14.1</w:t>
                  </w:r>
                </w:p>
              </w:tc>
              <w:tc>
                <w:tcPr/>
                <w:p>
                  <w:pPr>
                    <w:pStyle w:val="Compact"/>
                    <w:jc w:val="right"/>
                    <w:jc w:val="center"/>
                  </w:pPr>
                  <w:r>
                    <w:t xml:space="preserve">124.9</w:t>
                  </w:r>
                </w:p>
              </w:tc>
              <w:tc>
                <w:tcPr/>
                <w:p>
                  <w:pPr>
                    <w:pStyle w:val="Compact"/>
                    <w:jc w:val="right"/>
                    <w:jc w:val="center"/>
                  </w:pPr>
                  <w:r>
                    <w:t xml:space="preserve">117.0–131.0</w:t>
                  </w:r>
                </w:p>
              </w:tc>
            </w:tr>
            <w:tr>
              <w:tc>
                <w:tcPr/>
                <w:p>
                  <w:pPr>
                    <w:pStyle w:val="Compact"/>
                    <w:jc w:val="left"/>
                    <w:jc w:val="center"/>
                  </w:pPr>
                  <w:r>
                    <w:t xml:space="preserve">   Retouch generations</w:t>
                  </w:r>
                </w:p>
              </w:tc>
              <w:tc>
                <w:tcPr/>
                <w:p>
                  <w:pPr>
                    <w:pStyle w:val="Compact"/>
                    <w:jc w:val="right"/>
                    <w:jc w:val="center"/>
                  </w:pPr>
                  <w:r>
                    <w:t xml:space="preserve">2.76</w:t>
                  </w:r>
                </w:p>
              </w:tc>
              <w:tc>
                <w:tcPr/>
                <w:p>
                  <w:pPr>
                    <w:pStyle w:val="Compact"/>
                    <w:jc w:val="right"/>
                    <w:jc w:val="center"/>
                  </w:pPr>
                  <w:r>
                    <w:t xml:space="preserve">0.66</w:t>
                  </w:r>
                </w:p>
              </w:tc>
              <w:tc>
                <w:tcPr/>
                <w:p>
                  <w:pPr>
                    <w:pStyle w:val="Compact"/>
                    <w:jc w:val="right"/>
                    <w:jc w:val="center"/>
                  </w:pPr>
                  <w:r>
                    <w:t xml:space="preserve">3.00</w:t>
                  </w:r>
                </w:p>
              </w:tc>
              <w:tc>
                <w:tcPr/>
                <w:p>
                  <w:pPr>
                    <w:pStyle w:val="Compact"/>
                    <w:jc w:val="right"/>
                    <w:jc w:val="center"/>
                  </w:pPr>
                  <w:r>
                    <w:t xml:space="preserve">2.00–3.00</w:t>
                  </w:r>
                </w:p>
              </w:tc>
            </w:tr>
            <w:tr>
              <w:tc>
                <w:tcPr/>
                <w:p>
                  <w:pPr>
                    <w:pStyle w:val="Compact"/>
                    <w:jc w:val="left"/>
                    <w:jc w:val="center"/>
                  </w:pPr>
                  <w:r>
                    <w:t xml:space="preserve">   Total scars</w:t>
                  </w:r>
                </w:p>
              </w:tc>
              <w:tc>
                <w:tcPr/>
                <w:p>
                  <w:pPr>
                    <w:pStyle w:val="Compact"/>
                    <w:jc w:val="right"/>
                    <w:jc w:val="center"/>
                  </w:pPr>
                  <w:r>
                    <w:t xml:space="preserve">23.1</w:t>
                  </w:r>
                </w:p>
              </w:tc>
              <w:tc>
                <w:tcPr/>
                <w:p>
                  <w:pPr>
                    <w:pStyle w:val="Compact"/>
                    <w:jc w:val="right"/>
                    <w:jc w:val="center"/>
                  </w:pPr>
                  <w:r>
                    <w:t xml:space="preserve">14.5</w:t>
                  </w:r>
                </w:p>
              </w:tc>
              <w:tc>
                <w:tcPr/>
                <w:p>
                  <w:pPr>
                    <w:pStyle w:val="Compact"/>
                    <w:jc w:val="right"/>
                    <w:jc w:val="center"/>
                  </w:pPr>
                  <w:r>
                    <w:t xml:space="preserve">20</w:t>
                  </w:r>
                </w:p>
              </w:tc>
              <w:tc>
                <w:tcPr/>
                <w:p>
                  <w:pPr>
                    <w:pStyle w:val="Compact"/>
                    <w:jc w:val="right"/>
                    <w:jc w:val="center"/>
                  </w:pPr>
                  <w:r>
                    <w:t xml:space="preserve">13–29</w:t>
                  </w:r>
                </w:p>
              </w:tc>
            </w:tr>
            <w:tr>
              <w:tc>
                <w:tcPr/>
                <w:p>
                  <w:pPr>
                    <w:pStyle w:val="Compact"/>
                    <w:jc w:val="left"/>
                    <w:jc w:val="center"/>
                  </w:pPr>
                  <w:r>
                    <w:t xml:space="preserve">   GIUR</w:t>
                  </w:r>
                </w:p>
              </w:tc>
              <w:tc>
                <w:tcPr/>
                <w:p>
                  <w:pPr>
                    <w:pStyle w:val="Compact"/>
                    <w:jc w:val="right"/>
                    <w:jc w:val="center"/>
                  </w:pPr>
                  <w:r>
                    <w:t xml:space="preserve">0.75</w:t>
                  </w:r>
                </w:p>
              </w:tc>
              <w:tc>
                <w:tcPr/>
                <w:p>
                  <w:pPr>
                    <w:pStyle w:val="Compact"/>
                    <w:jc w:val="right"/>
                    <w:jc w:val="center"/>
                  </w:pPr>
                  <w:r>
                    <w:t xml:space="preserve">0.21</w:t>
                  </w:r>
                </w:p>
              </w:tc>
              <w:tc>
                <w:tcPr/>
                <w:p>
                  <w:pPr>
                    <w:pStyle w:val="Compact"/>
                    <w:jc w:val="right"/>
                    <w:jc w:val="center"/>
                  </w:pPr>
                  <w:r>
                    <w:t xml:space="preserve">0.77</w:t>
                  </w:r>
                </w:p>
              </w:tc>
              <w:tc>
                <w:tcPr/>
                <w:p>
                  <w:pPr>
                    <w:pStyle w:val="Compact"/>
                    <w:jc w:val="right"/>
                    <w:jc w:val="center"/>
                  </w:pPr>
                  <w:r>
                    <w:t xml:space="preserve">0.61–0.93</w:t>
                  </w:r>
                </w:p>
              </w:tc>
            </w:tr>
            <w:tr>
              <w:tc>
                <w:tcPr/>
                <w:p>
                  <w:pPr>
                    <w:pStyle w:val="Compact"/>
                    <w:jc w:val="left"/>
                    <w:jc w:val="center"/>
                  </w:pPr>
                  <w:r>
                    <w:t xml:space="preserve">   Edge angle (°)</w:t>
                  </w:r>
                </w:p>
              </w:tc>
              <w:tc>
                <w:tcPr/>
                <w:p>
                  <w:pPr>
                    <w:pStyle w:val="Compact"/>
                    <w:jc w:val="right"/>
                    <w:jc w:val="center"/>
                  </w:pPr>
                  <w:r>
                    <w:t xml:space="preserve">70.0</w:t>
                  </w:r>
                </w:p>
              </w:tc>
              <w:tc>
                <w:tcPr/>
                <w:p>
                  <w:pPr>
                    <w:pStyle w:val="Compact"/>
                    <w:jc w:val="right"/>
                    <w:jc w:val="center"/>
                  </w:pPr>
                  <w:r>
                    <w:t xml:space="preserve">8.1</w:t>
                  </w:r>
                </w:p>
              </w:tc>
              <w:tc>
                <w:tcPr/>
                <w:p>
                  <w:pPr>
                    <w:pStyle w:val="Compact"/>
                    <w:jc w:val="right"/>
                    <w:jc w:val="center"/>
                  </w:pPr>
                  <w:r>
                    <w:t xml:space="preserve">70.0</w:t>
                  </w:r>
                </w:p>
              </w:tc>
              <w:tc>
                <w:tcPr/>
                <w:p>
                  <w:pPr>
                    <w:pStyle w:val="Compact"/>
                    <w:jc w:val="right"/>
                    <w:jc w:val="center"/>
                  </w:pPr>
                  <w:r>
                    <w:t xml:space="preserve">65.1–74.0</w:t>
                  </w:r>
                </w:p>
              </w:tc>
            </w:tr>
            <w:tr>
              <w:tc>
                <w:tcPr/>
                <w:p>
                  <w:pPr>
                    <w:pStyle w:val="Compact"/>
                    <w:jc w:val="left"/>
                    <w:jc w:val="center"/>
                  </w:pPr>
                  <w:r>
                    <w:t xml:space="preserve">   Retouched perimeter</w:t>
                  </w:r>
                </w:p>
              </w:tc>
              <w:tc>
                <w:tcPr/>
                <w:p>
                  <w:pPr>
                    <w:pStyle w:val="Compact"/>
                    <w:jc w:val="right"/>
                    <w:jc w:val="center"/>
                  </w:pPr>
                  <w:r>
                    <w:t xml:space="preserve">0.50</w:t>
                  </w:r>
                </w:p>
              </w:tc>
              <w:tc>
                <w:tcPr/>
                <w:p>
                  <w:pPr>
                    <w:pStyle w:val="Compact"/>
                    <w:jc w:val="right"/>
                    <w:jc w:val="center"/>
                  </w:pPr>
                  <w:r>
                    <w:t xml:space="preserve">0.21</w:t>
                  </w:r>
                </w:p>
              </w:tc>
              <w:tc>
                <w:tcPr/>
                <w:p>
                  <w:pPr>
                    <w:pStyle w:val="Compact"/>
                    <w:jc w:val="right"/>
                    <w:jc w:val="center"/>
                  </w:pPr>
                  <w:r>
                    <w:t xml:space="preserve">0.46</w:t>
                  </w:r>
                </w:p>
              </w:tc>
              <w:tc>
                <w:tcPr/>
                <w:p>
                  <w:pPr>
                    <w:pStyle w:val="Compact"/>
                    <w:jc w:val="right"/>
                    <w:jc w:val="center"/>
                  </w:pPr>
                  <w:r>
                    <w:t xml:space="preserve">0.34–0.62</w:t>
                  </w:r>
                </w:p>
              </w:tc>
            </w:tr>
            <w:tr>
              <w:tc>
                <w:tcPr/>
                <w:p>
                  <w:pPr>
                    <w:pStyle w:val="Compact"/>
                    <w:jc w:val="left"/>
                    <w:jc w:val="center"/>
                  </w:pPr>
                  <w:r>
                    <w:rPr>
                      <w:b/>
                      <w:bCs/>
                    </w:rPr>
                    <w:t xml:space="preserve">Resharpening flakes</w:t>
                  </w:r>
                  <w:r>
                    <w:t xml:space="preserve"> </w:t>
                  </w:r>
                  <w:r>
                    <w:t xml:space="preserve">(</w:t>
                  </w:r>
                  <w:r>
                    <w:rPr>
                      <w:i/>
                      <w:iCs/>
                    </w:rPr>
                    <w:t xml:space="preserve">n</w:t>
                  </w:r>
                  <w:r>
                    <w:t xml:space="preserve"> </w:t>
                  </w:r>
                  <w:r>
                    <w:t xml:space="preserve">= 58)</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Length (mm)</w:t>
                  </w:r>
                </w:p>
              </w:tc>
              <w:tc>
                <w:tcPr/>
                <w:p>
                  <w:pPr>
                    <w:pStyle w:val="Compact"/>
                    <w:jc w:val="right"/>
                    <w:jc w:val="center"/>
                  </w:pPr>
                  <w:r>
                    <w:t xml:space="preserve">37.2</w:t>
                  </w:r>
                </w:p>
              </w:tc>
              <w:tc>
                <w:tcPr/>
                <w:p>
                  <w:pPr>
                    <w:pStyle w:val="Compact"/>
                    <w:jc w:val="right"/>
                    <w:jc w:val="center"/>
                  </w:pPr>
                  <w:r>
                    <w:t xml:space="preserve">9.9</w:t>
                  </w:r>
                </w:p>
              </w:tc>
              <w:tc>
                <w:tcPr/>
                <w:p>
                  <w:pPr>
                    <w:pStyle w:val="Compact"/>
                    <w:jc w:val="right"/>
                    <w:jc w:val="center"/>
                  </w:pPr>
                  <w:r>
                    <w:t xml:space="preserve">35.6</w:t>
                  </w:r>
                </w:p>
              </w:tc>
              <w:tc>
                <w:tcPr/>
                <w:p>
                  <w:pPr>
                    <w:pStyle w:val="Compact"/>
                    <w:jc w:val="right"/>
                    <w:jc w:val="center"/>
                  </w:pPr>
                  <w:r>
                    <w:t xml:space="preserve">29.8–42.5</w:t>
                  </w:r>
                </w:p>
              </w:tc>
            </w:tr>
            <w:tr>
              <w:tc>
                <w:tcPr/>
                <w:p>
                  <w:pPr>
                    <w:pStyle w:val="Compact"/>
                    <w:jc w:val="left"/>
                    <w:jc w:val="center"/>
                  </w:pPr>
                  <w:r>
                    <w:t xml:space="preserve">   Width (mm)</w:t>
                  </w:r>
                </w:p>
              </w:tc>
              <w:tc>
                <w:tcPr/>
                <w:p>
                  <w:pPr>
                    <w:pStyle w:val="Compact"/>
                    <w:jc w:val="right"/>
                    <w:jc w:val="center"/>
                  </w:pPr>
                  <w:r>
                    <w:t xml:space="preserve">27.7</w:t>
                  </w:r>
                </w:p>
              </w:tc>
              <w:tc>
                <w:tcPr/>
                <w:p>
                  <w:pPr>
                    <w:pStyle w:val="Compact"/>
                    <w:jc w:val="right"/>
                    <w:jc w:val="center"/>
                  </w:pPr>
                  <w:r>
                    <w:t xml:space="preserve">7.4</w:t>
                  </w:r>
                </w:p>
              </w:tc>
              <w:tc>
                <w:tcPr/>
                <w:p>
                  <w:pPr>
                    <w:pStyle w:val="Compact"/>
                    <w:jc w:val="right"/>
                    <w:jc w:val="center"/>
                  </w:pPr>
                  <w:r>
                    <w:t xml:space="preserve">26.5</w:t>
                  </w:r>
                </w:p>
              </w:tc>
              <w:tc>
                <w:tcPr/>
                <w:p>
                  <w:pPr>
                    <w:pStyle w:val="Compact"/>
                    <w:jc w:val="right"/>
                    <w:jc w:val="center"/>
                  </w:pPr>
                  <w:r>
                    <w:t xml:space="preserve">22.4–32.8</w:t>
                  </w:r>
                </w:p>
              </w:tc>
            </w:tr>
            <w:tr>
              <w:tc>
                <w:tcPr/>
                <w:p>
                  <w:pPr>
                    <w:pStyle w:val="Compact"/>
                    <w:jc w:val="left"/>
                    <w:jc w:val="center"/>
                  </w:pPr>
                  <w:r>
                    <w:t xml:space="preserve">   Thickness (mm)</w:t>
                  </w:r>
                </w:p>
              </w:tc>
              <w:tc>
                <w:tcPr/>
                <w:p>
                  <w:pPr>
                    <w:pStyle w:val="Compact"/>
                    <w:jc w:val="right"/>
                    <w:jc w:val="center"/>
                  </w:pPr>
                  <w:r>
                    <w:t xml:space="preserve">9.5</w:t>
                  </w:r>
                </w:p>
              </w:tc>
              <w:tc>
                <w:tcPr/>
                <w:p>
                  <w:pPr>
                    <w:pStyle w:val="Compact"/>
                    <w:jc w:val="right"/>
                    <w:jc w:val="center"/>
                  </w:pPr>
                  <w:r>
                    <w:t xml:space="preserve">3.2</w:t>
                  </w:r>
                </w:p>
              </w:tc>
              <w:tc>
                <w:tcPr/>
                <w:p>
                  <w:pPr>
                    <w:pStyle w:val="Compact"/>
                    <w:jc w:val="right"/>
                    <w:jc w:val="center"/>
                  </w:pPr>
                  <w:r>
                    <w:t xml:space="preserve">9.3</w:t>
                  </w:r>
                </w:p>
              </w:tc>
              <w:tc>
                <w:tcPr/>
                <w:p>
                  <w:pPr>
                    <w:pStyle w:val="Compact"/>
                    <w:jc w:val="right"/>
                    <w:jc w:val="center"/>
                  </w:pPr>
                  <w:r>
                    <w:t xml:space="preserve">6.9–10.7</w:t>
                  </w:r>
                </w:p>
              </w:tc>
            </w:tr>
            <w:tr>
              <w:tc>
                <w:tcPr/>
                <w:p>
                  <w:pPr>
                    <w:pStyle w:val="Compact"/>
                    <w:jc w:val="left"/>
                    <w:jc w:val="center"/>
                  </w:pPr>
                  <w:r>
                    <w:t xml:space="preserve">   Mass (g)</w:t>
                  </w:r>
                </w:p>
              </w:tc>
              <w:tc>
                <w:tcPr/>
                <w:p>
                  <w:pPr>
                    <w:pStyle w:val="Compact"/>
                    <w:jc w:val="right"/>
                    <w:jc w:val="center"/>
                  </w:pPr>
                  <w:r>
                    <w:t xml:space="preserve">11.6</w:t>
                  </w:r>
                </w:p>
              </w:tc>
              <w:tc>
                <w:tcPr/>
                <w:p>
                  <w:pPr>
                    <w:pStyle w:val="Compact"/>
                    <w:jc w:val="right"/>
                    <w:jc w:val="center"/>
                  </w:pPr>
                  <w:r>
                    <w:t xml:space="preserve">12.9</w:t>
                  </w:r>
                </w:p>
              </w:tc>
              <w:tc>
                <w:tcPr/>
                <w:p>
                  <w:pPr>
                    <w:pStyle w:val="Compact"/>
                    <w:jc w:val="right"/>
                    <w:jc w:val="center"/>
                  </w:pPr>
                  <w:r>
                    <w:t xml:space="preserve">9.1</w:t>
                  </w:r>
                </w:p>
              </w:tc>
              <w:tc>
                <w:tcPr/>
                <w:p>
                  <w:pPr>
                    <w:pStyle w:val="Compact"/>
                    <w:jc w:val="right"/>
                    <w:jc w:val="center"/>
                  </w:pPr>
                  <w:r>
                    <w:t xml:space="preserve">5.0–12.8</w:t>
                  </w:r>
                </w:p>
              </w:tc>
            </w:tr>
            <w:tr>
              <w:tc>
                <w:tcPr/>
                <w:p>
                  <w:pPr>
                    <w:pStyle w:val="Compact"/>
                    <w:jc w:val="left"/>
                    <w:jc w:val="center"/>
                  </w:pPr>
                  <w:r>
                    <w:t xml:space="preserve">   Platform depth (mm)</w:t>
                  </w:r>
                </w:p>
              </w:tc>
              <w:tc>
                <w:tcPr/>
                <w:p>
                  <w:pPr>
                    <w:pStyle w:val="Compact"/>
                    <w:jc w:val="right"/>
                    <w:jc w:val="center"/>
                  </w:pPr>
                  <w:r>
                    <w:t xml:space="preserve">5.3</w:t>
                  </w:r>
                </w:p>
              </w:tc>
              <w:tc>
                <w:tcPr/>
                <w:p>
                  <w:pPr>
                    <w:pStyle w:val="Compact"/>
                    <w:jc w:val="right"/>
                    <w:jc w:val="center"/>
                  </w:pPr>
                  <w:r>
                    <w:t xml:space="preserve">3.6</w:t>
                  </w:r>
                </w:p>
              </w:tc>
              <w:tc>
                <w:tcPr/>
                <w:p>
                  <w:pPr>
                    <w:pStyle w:val="Compact"/>
                    <w:jc w:val="right"/>
                    <w:jc w:val="center"/>
                  </w:pPr>
                  <w:r>
                    <w:t xml:space="preserve">4.3</w:t>
                  </w:r>
                </w:p>
              </w:tc>
              <w:tc>
                <w:tcPr/>
                <w:p>
                  <w:pPr>
                    <w:pStyle w:val="Compact"/>
                    <w:jc w:val="right"/>
                    <w:jc w:val="center"/>
                  </w:pPr>
                  <w:r>
                    <w:t xml:space="preserve">3.0–6.4</w:t>
                  </w:r>
                </w:p>
              </w:tc>
            </w:tr>
            <w:tr>
              <w:tc>
                <w:tcPr/>
                <w:p>
                  <w:pPr>
                    <w:pStyle w:val="Compact"/>
                    <w:jc w:val="left"/>
                    <w:jc w:val="center"/>
                  </w:pPr>
                  <w:r>
                    <w:t xml:space="preserve">   Platform width (mm)</w:t>
                  </w:r>
                </w:p>
              </w:tc>
              <w:tc>
                <w:tcPr/>
                <w:p>
                  <w:pPr>
                    <w:pStyle w:val="Compact"/>
                    <w:jc w:val="right"/>
                    <w:jc w:val="center"/>
                  </w:pPr>
                  <w:r>
                    <w:t xml:space="preserve">16.2</w:t>
                  </w:r>
                </w:p>
              </w:tc>
              <w:tc>
                <w:tcPr/>
                <w:p>
                  <w:pPr>
                    <w:pStyle w:val="Compact"/>
                    <w:jc w:val="right"/>
                    <w:jc w:val="center"/>
                  </w:pPr>
                  <w:r>
                    <w:t xml:space="preserve">10.9</w:t>
                  </w:r>
                </w:p>
              </w:tc>
              <w:tc>
                <w:tcPr/>
                <w:p>
                  <w:pPr>
                    <w:pStyle w:val="Compact"/>
                    <w:jc w:val="right"/>
                    <w:jc w:val="center"/>
                  </w:pPr>
                  <w:r>
                    <w:t xml:space="preserve">14.0</w:t>
                  </w:r>
                </w:p>
              </w:tc>
              <w:tc>
                <w:tcPr/>
                <w:p>
                  <w:pPr>
                    <w:pStyle w:val="Compact"/>
                    <w:jc w:val="right"/>
                    <w:jc w:val="center"/>
                  </w:pPr>
                  <w:r>
                    <w:t xml:space="preserve">7.6–19.5</w:t>
                  </w:r>
                </w:p>
              </w:tc>
            </w:tr>
            <w:tr>
              <w:tc>
                <w:tcPr/>
                <w:p>
                  <w:pPr>
                    <w:pStyle w:val="Compact"/>
                    <w:jc w:val="left"/>
                    <w:jc w:val="center"/>
                  </w:pPr>
                  <w:r>
                    <w:t xml:space="preserve">   IPA (°)</w:t>
                  </w:r>
                </w:p>
              </w:tc>
              <w:tc>
                <w:tcPr/>
                <w:p>
                  <w:pPr>
                    <w:pStyle w:val="Compact"/>
                    <w:jc w:val="right"/>
                    <w:jc w:val="center"/>
                  </w:pPr>
                  <w:r>
                    <w:t xml:space="preserve">117.9</w:t>
                  </w:r>
                </w:p>
              </w:tc>
              <w:tc>
                <w:tcPr/>
                <w:p>
                  <w:pPr>
                    <w:pStyle w:val="Compact"/>
                    <w:jc w:val="right"/>
                    <w:jc w:val="center"/>
                  </w:pPr>
                  <w:r>
                    <w:t xml:space="preserve">6.3</w:t>
                  </w:r>
                </w:p>
              </w:tc>
              <w:tc>
                <w:tcPr/>
                <w:p>
                  <w:pPr>
                    <w:pStyle w:val="Compact"/>
                    <w:jc w:val="right"/>
                    <w:jc w:val="center"/>
                  </w:pPr>
                  <w:r>
                    <w:t xml:space="preserve">118.0</w:t>
                  </w:r>
                </w:p>
              </w:tc>
              <w:tc>
                <w:tcPr/>
                <w:p>
                  <w:pPr>
                    <w:pStyle w:val="Compact"/>
                    <w:jc w:val="right"/>
                    <w:jc w:val="center"/>
                  </w:pPr>
                  <w:r>
                    <w:t xml:space="preserve">113.8–122.0</w:t>
                  </w:r>
                </w:p>
              </w:tc>
            </w:tr>
            <w:tr>
              <w:tc>
                <w:tcPr/>
                <w:p>
                  <w:pPr>
                    <w:pStyle w:val="Compact"/>
                    <w:jc w:val="left"/>
                    <w:jc w:val="center"/>
                  </w:pPr>
                  <w:r>
                    <w:t xml:space="preserve">   EPA (°)</w:t>
                  </w:r>
                </w:p>
              </w:tc>
              <w:tc>
                <w:tcPr/>
                <w:p>
                  <w:pPr>
                    <w:pStyle w:val="Compact"/>
                    <w:jc w:val="right"/>
                    <w:jc w:val="center"/>
                  </w:pPr>
                  <w:r>
                    <w:t xml:space="preserve">72.8</w:t>
                  </w:r>
                </w:p>
              </w:tc>
              <w:tc>
                <w:tcPr/>
                <w:p>
                  <w:pPr>
                    <w:pStyle w:val="Compact"/>
                    <w:jc w:val="right"/>
                    <w:jc w:val="center"/>
                  </w:pPr>
                  <w:r>
                    <w:t xml:space="preserve">9.5</w:t>
                  </w:r>
                </w:p>
              </w:tc>
              <w:tc>
                <w:tcPr/>
                <w:p>
                  <w:pPr>
                    <w:pStyle w:val="Compact"/>
                    <w:jc w:val="right"/>
                    <w:jc w:val="center"/>
                  </w:pPr>
                  <w:r>
                    <w:t xml:space="preserve">73.0</w:t>
                  </w:r>
                </w:p>
              </w:tc>
              <w:tc>
                <w:tcPr/>
                <w:p>
                  <w:pPr>
                    <w:pStyle w:val="Compact"/>
                    <w:jc w:val="right"/>
                    <w:jc w:val="center"/>
                  </w:pPr>
                  <w:r>
                    <w:t xml:space="preserve">65.0–79.2</w:t>
                  </w:r>
                </w:p>
              </w:tc>
            </w:tr>
          </w:tbl>
          <w:bookmarkEnd w:id="32"/>
          <w:p/>
        </w:tc>
      </w:tr>
    </w:tbl>
    <w:p>
      <w:pPr>
        <w:pStyle w:val="BodyText"/>
      </w:pPr>
      <w:r>
        <w:rPr>
          <w:u w:val="single"/>
        </w:rPr>
        <w:t xml:space="preserve">Blank selection.</w:t>
      </w:r>
      <w:r>
        <w:t xml:space="preserve"> </w:t>
      </w:r>
      <w:r>
        <w:t xml:space="preserve">Quina flaking yields thick flakes with markedly asymmetric cross-sections, detached by invasive percussion from cores worked on alternating plan-secant surfaces, and it is the volume held in such a blank that permits the successive stages of edge maintenance that follow [Bourguignon 1997; Turq 1992]. The blanks used here carry the attributes that this strategy produces. Most scrapers retain cortex to some degree (</w:t>
      </w:r>
      <w:r>
        <w:rPr>
          <w:i/>
          <w:iCs/>
        </w:rPr>
        <w:t xml:space="preserve">n</w:t>
      </w:r>
      <w:r>
        <w:t xml:space="preserve"> </w:t>
      </w:r>
      <w:r>
        <w:t xml:space="preserve">= 99, 59.6%), and where cortex survives it lies most often on a lateral margin (</w:t>
      </w:r>
      <w:r>
        <w:rPr>
          <w:i/>
          <w:iCs/>
        </w:rPr>
        <w:t xml:space="preserve">n</w:t>
      </w:r>
      <w:r>
        <w:t xml:space="preserve"> </w:t>
      </w:r>
      <w:r>
        <w:t xml:space="preserve">= 57 of 99, 57.6%), opposite the retouched edge, forming a thick back. Some were made directly on cortical flakes, with cortex covering most of the dorsal face (</w:t>
      </w:r>
      <w:r>
        <w:rPr>
          <w:i/>
          <w:iCs/>
        </w:rPr>
        <w:t xml:space="preserve">n</w:t>
      </w:r>
      <w:r>
        <w:t xml:space="preserve"> </w:t>
      </w:r>
      <w:r>
        <w:t xml:space="preserve">= 20, 12.0%); among specimens without cortex, a latral thick back usually formed by previous removals (</w:t>
      </w:r>
      <w:r>
        <w:rPr>
          <w:i/>
          <w:iCs/>
        </w:rPr>
        <w:t xml:space="preserve">n</w:t>
      </w:r>
      <w:r>
        <w:t xml:space="preserve"> </w:t>
      </w:r>
      <w:r>
        <w:t xml:space="preserve">= 67, 40.4%). The asymmetric distribution of volume is therefore present whether or not the original surface of the cobble survives. These are not ordinary flakes that happened to be retouched, but blanks carrying a reserve of volume that were selected by knappers.</w:t>
      </w:r>
    </w:p>
    <w:p>
      <w:pPr>
        <w:pStyle w:val="BodyText"/>
      </w:pPr>
      <w:r>
        <w:t xml:space="preserve">Platform observations point the same way. In all, 52 Quina scrapers (31.3%) retain the platform of the original blank, and these are characteristically wide and oblique, with a median platform depth of 13.9 mm (Q1–Q3 = 11.3–18.1 mm) and a mean IPA of 122° (</w:t>
      </w:r>
      <w:r>
        <w:rPr>
          <w:i/>
          <w:iCs/>
        </w:rPr>
        <w:t xml:space="preserve">SD</w:t>
      </w:r>
      <w:r>
        <w:t xml:space="preserve"> </w:t>
      </w:r>
      <w:r>
        <w:t xml:space="preserve">= 14.1°); both follow from the invasive percussion by which thick blanks are removed by plan-secant flaking. Plain platforms predominate (</w:t>
      </w:r>
      <w:r>
        <w:rPr>
          <w:i/>
          <w:iCs/>
        </w:rPr>
        <w:t xml:space="preserve">n</w:t>
      </w:r>
      <w:r>
        <w:t xml:space="preserve"> </w:t>
      </w:r>
      <w:r>
        <w:t xml:space="preserve">= 39, 75.0%), with cortical (</w:t>
      </w:r>
      <w:r>
        <w:rPr>
          <w:i/>
          <w:iCs/>
        </w:rPr>
        <w:t xml:space="preserve">n</w:t>
      </w:r>
      <w:r>
        <w:t xml:space="preserve"> </w:t>
      </w:r>
      <w:r>
        <w:t xml:space="preserve">= 7, 13.5%) and dihedral platforms (</w:t>
      </w:r>
      <w:r>
        <w:rPr>
          <w:i/>
          <w:iCs/>
        </w:rPr>
        <w:t xml:space="preserve">n</w:t>
      </w:r>
      <w:r>
        <w:t xml:space="preserve"> </w:t>
      </w:r>
      <w:r>
        <w:t xml:space="preserve">= 6, 11.5%) less common. Four of the dihedral specimens are</w:t>
      </w:r>
      <w:r>
        <w:t xml:space="preserve"> </w:t>
      </w:r>
      <w:r>
        <w:rPr>
          <w:i/>
          <w:iCs/>
        </w:rPr>
        <w:t xml:space="preserve">talons lisses à pan</w:t>
      </w:r>
      <w:r>
        <w:t xml:space="preserve">, on which the platform preserves parallel removal scars running approximately orthogonal to the axis of percussion. Few though they are, these carry the most direct information in the assemblage about the reduction strategy behind the blanks: a platform of this kind records a surface that had itself previously served as a flaking surface, which is what the alternating plan-secant exploitation.</w:t>
      </w:r>
    </w:p>
    <w:p>
      <w:pPr>
        <w:pStyle w:val="BodyText"/>
      </w:pPr>
      <w:r>
        <w:rPr>
          <w:u w:val="single"/>
        </w:rPr>
        <w:t xml:space="preserve">Edge maintenance.</w:t>
      </w:r>
      <w:r>
        <w:t xml:space="preserve"> </w:t>
      </w:r>
      <w:r>
        <w:t xml:space="preserve">The most distinctive feature of a Quina scraper is that the edge was sustained through successive episodes that follow a regular rythum. Retouch usually begins with convex removals and shifts as reduction proceeds towards concave removals, the two alternating across the life of the Quina scraper [Bourguignon 1997; Peresani et al. 2024]. That sequence is clearly expressed in this assemblage. Quina scrapers carry a mean of 2.76 retouch generations (</w:t>
      </w:r>
      <w:r>
        <w:rPr>
          <w:i/>
          <w:iCs/>
        </w:rPr>
        <w:t xml:space="preserve">SD</w:t>
      </w:r>
      <w:r>
        <w:t xml:space="preserve"> </w:t>
      </w:r>
      <w:r>
        <w:t xml:space="preserve">= 0.66), with a mean of 4.4 convex scars (</w:t>
      </w:r>
      <w:r>
        <w:rPr>
          <w:i/>
          <w:iCs/>
        </w:rPr>
        <w:t xml:space="preserve">SD</w:t>
      </w:r>
      <w:r>
        <w:t xml:space="preserve"> </w:t>
      </w:r>
      <w:r>
        <w:t xml:space="preserve">= 2.5) and 18.7 concave scars (</w:t>
      </w:r>
      <w:r>
        <w:rPr>
          <w:i/>
          <w:iCs/>
        </w:rPr>
        <w:t xml:space="preserve">SD</w:t>
      </w:r>
      <w:r>
        <w:t xml:space="preserve"> </w:t>
      </w:r>
      <w:r>
        <w:t xml:space="preserve">= 13.3) per specimen. Convex scars are concentrated in the first generation, concave scars in the second and third. The imbalance between the two, better than four concave removals for every convex one, is the quantitative signature of an edge maintained far beyond its initial production.</w:t>
      </w:r>
    </w:p>
    <w:p>
      <w:pPr>
        <w:pStyle w:val="BodyText"/>
      </w:pPr>
      <w:r>
        <w:t xml:space="preserve">Two measures quantify how far that process was carried. The GIUR has a median of 0.77 (Q1–Q3 = 0.61–0.93), indicating that retouch commonly extended into the zone of maximum blank thickness; the proportion of the perimeter retouched has a median of 0.46 (Q1–Q3 = 0.34–0.62), consistent with the thick back retained on most specimens. A minority were worked more extensively across the whole piece, among them the triple scrapers and</w:t>
      </w:r>
      <w:r>
        <w:t xml:space="preserve"> </w:t>
      </w:r>
      <w:r>
        <w:rPr>
          <w:i/>
          <w:iCs/>
        </w:rPr>
        <w:t xml:space="preserve">limaces</w:t>
      </w:r>
      <w:r>
        <w:t xml:space="preserve">. Mean edge angle is 70.0° (</w:t>
      </w:r>
      <w:r>
        <w:rPr>
          <w:i/>
          <w:iCs/>
        </w:rPr>
        <w:t xml:space="preserve">SD</w:t>
      </w:r>
      <w:r>
        <w:t xml:space="preserve"> </w:t>
      </w:r>
      <w:r>
        <w:t xml:space="preserve">= 8.1°). Because the angle produced by the final generation alone cannot be isolated, what we measured is the angle of the edge as a whole, and this is better read as an index of cumulative reduction than as a direct measure of function</w:t>
      </w:r>
      <w:r>
        <w:t xml:space="preserve"> </w:t>
      </w:r>
      <w:r>
        <w:t xml:space="preserve">(Lin and Marreiros, 2021)</w:t>
      </w:r>
      <w:r>
        <w:t xml:space="preserve">; edge angle shows significant positive correlation with GIUR (ρ = 0.27,</w:t>
      </w:r>
      <w:r>
        <w:t xml:space="preserve"> </w:t>
      </w:r>
      <w:r>
        <w:rPr>
          <w:i/>
          <w:iCs/>
        </w:rPr>
        <w:t xml:space="preserve">p</w:t>
      </w:r>
      <w:r>
        <w:t xml:space="preserve"> </w:t>
      </w:r>
      <w:r>
        <w:t xml:space="preserve">= 0.001), with the proportion of the perimeter retouched (ρ = 0.19,</w:t>
      </w:r>
      <w:r>
        <w:t xml:space="preserve"> </w:t>
      </w:r>
      <w:r>
        <w:rPr>
          <w:i/>
          <w:iCs/>
        </w:rPr>
        <w:t xml:space="preserve">p</w:t>
      </w:r>
      <w:r>
        <w:t xml:space="preserve"> </w:t>
      </w:r>
      <w:r>
        <w:t xml:space="preserve">= 0.050) and with the number of retouch generations (ρ = 0.43,</w:t>
      </w:r>
      <w:r>
        <w:t xml:space="preserve"> </w:t>
      </w:r>
      <w:r>
        <w:rPr>
          <w:i/>
          <w:iCs/>
        </w:rPr>
        <w:t xml:space="preserve">p</w:t>
      </w:r>
      <w:r>
        <w:t xml:space="preserve"> </w:t>
      </w:r>
      <w:r>
        <w:t xml:space="preserve">&lt; 0.001) (</w:t>
      </w:r>
      <w:hyperlink w:anchor="fig-edge-angle-reduction">
        <w:r>
          <w:rPr>
            <w:rStyle w:val="Hyperlink"/>
          </w:rPr>
          <w:t xml:space="preserve">Fig. 4</w:t>
        </w:r>
      </w:hyperlink>
      <w:r>
        <w:t xml:space="preserve">), which supports that reading.</w:t>
      </w:r>
    </w:p>
    <w:tbl>
      <w:tblPr>
        <w:tblStyle w:val="Table"/>
        <w:tblW w:type="pct" w:w="5000"/>
        <w:tblLayout w:type="fixed"/>
        <w:tblLook w:firstRow="0" w:lastRow="0" w:firstColumn="0" w:lastColumn="0" w:noHBand="0" w:noVBand="0" w:val="0000"/>
      </w:tblPr>
      <w:tblGrid>
        <w:gridCol w:w="7920"/>
      </w:tblGrid>
      <w:tr>
        <w:tc>
          <w:tcPr/>
          <w:bookmarkStart w:id="36" w:name="fig-edge-angle-reduction"/>
          <w:p>
            <w:pPr>
              <w:pStyle w:val="Compact"/>
              <w:jc w:val="center"/>
            </w:pPr>
            <w:r>
              <w:drawing>
                <wp:inline>
                  <wp:extent cx="5403966" cy="2234860"/>
                  <wp:effectExtent b="0" l="0" r="0" t="0"/>
                  <wp:docPr descr="" title="" id="34" name="Picture"/>
                  <a:graphic>
                    <a:graphicData uri="http://schemas.openxmlformats.org/drawingml/2006/picture">
                      <pic:pic>
                        <pic:nvPicPr>
                          <pic:cNvPr descr="manuscript_files/figure-docx/fig-edge-angle-reduction-1.png" id="35" name="Picture"/>
                          <pic:cNvPicPr>
                            <a:picLocks noChangeArrowheads="1" noChangeAspect="1"/>
                          </pic:cNvPicPr>
                        </pic:nvPicPr>
                        <pic:blipFill>
                          <a:blip r:embed="rId33"/>
                          <a:stretch>
                            <a:fillRect/>
                          </a:stretch>
                        </pic:blipFill>
                        <pic:spPr bwMode="auto">
                          <a:xfrm>
                            <a:off x="0" y="0"/>
                            <a:ext cx="5403966" cy="2234860"/>
                          </a:xfrm>
                          <a:prstGeom prst="rect">
                            <a:avLst/>
                          </a:prstGeom>
                          <a:noFill/>
                          <a:ln w="9525">
                            <a:noFill/>
                            <a:headEnd/>
                            <a:tailEnd/>
                          </a:ln>
                        </pic:spPr>
                      </pic:pic>
                    </a:graphicData>
                  </a:graphic>
                </wp:inline>
              </w:drawing>
            </w:r>
          </w:p>
          <w:p>
            <w:pPr>
              <w:jc w:val="center"/>
            </w:pPr>
            <w:pPr>
              <w:jc w:val="left"/>
              <w:spacing w:before="200"/>
              <w:pStyle w:val="ImageCaption"/>
            </w:pPr>
            <w:r>
              <w:t xml:space="preserve">Fig. 4: Scraper edge angle against the three other measures: proportion of the perimeter retouched, GIUR, and number of retouch generations. Each panel gives the Spearman ρ and its p-value; The dashed line represents an ordinary least-squares linear fit, shown only as a visual guide to the direction of the relationship.</w:t>
            </w:r>
          </w:p>
          <w:bookmarkEnd w:id="36"/>
        </w:tc>
      </w:tr>
    </w:tbl>
    <w:p>
      <w:pPr>
        <w:pStyle w:val="BodyText"/>
      </w:pPr>
      <w:r>
        <w:t xml:space="preserve">Within this common scheme the Quina scrapers vary typologically: 98 of them (59.0%) carry retouch on a single edge, 53 (31.9%) on two, and 15 (9.0%) on three or more, and their attributions across Bordes’ type list are given in</w:t>
      </w:r>
      <w:r>
        <w:t xml:space="preserve"> </w:t>
      </w:r>
      <w:hyperlink w:anchor="tbl-bordes-typology">
        <w:r>
          <w:rPr>
            <w:rStyle w:val="Hyperlink"/>
          </w:rPr>
          <w:t xml:space="preserve">Table 3</w:t>
        </w:r>
      </w:hyperlink>
      <w:r>
        <w:t xml:space="preserve">. Since every specimen conforms to the Quina retouch, this variation is more plausibly a matter of knappers adjusting to the blanks in front of them than evidence of distinct technological concept</w:t>
      </w:r>
      <w:r>
        <w:t xml:space="preserve"> </w:t>
      </w:r>
      <w:r>
        <w:t xml:space="preserve">(Hiscock and Clarkson, 2007)</w:t>
      </w:r>
      <w:r>
        <w:t xml:space="preserve">.</w:t>
      </w:r>
    </w:p>
    <w:tbl>
      <w:tblPr>
        <w:tblStyle w:val="Table"/>
        <w:tblW w:type="pct" w:w="5000"/>
        <w:tblLayout w:type="fixed"/>
        <w:tblLook w:firstRow="0" w:lastRow="0" w:firstColumn="0" w:lastColumn="0" w:noHBand="0" w:noVBand="0" w:val="0000"/>
      </w:tblPr>
      <w:tblGrid>
        <w:gridCol w:w="7920"/>
      </w:tblGrid>
      <w:tr>
        <w:tc>
          <w:tcPr/>
          <w:bookmarkStart w:id="37" w:name="tbl-bordes-typology"/>
          <w:p>
            <w:pPr>
              <w:jc w:val="center"/>
            </w:pPr>
            <w:pPr>
              <w:jc w:val="left"/>
              <w:spacing w:before="200"/>
              <w:pStyle w:val="ImageCaption"/>
            </w:pPr>
            <w:r>
              <w:t xml:space="preserve">Table 3: Attribution of the surface Quina scrapers within Bordes’ type list, grouped by type family. Percentages are of the whole assemblage. The triple scraper is not a type of Bordes’ list and is entered without a number.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Bordes type</w:t>
                  </w:r>
                </w:p>
              </w:tc>
              <w:tc>
                <w:tcPr/>
                <w:p>
                  <w:pPr>
                    <w:pStyle w:val="Compact"/>
                    <w:jc w:val="right"/>
                    <w:jc w:val="center"/>
                  </w:pPr>
                  <w:r>
                    <w:t xml:space="preserve">No.</w:t>
                  </w:r>
                </w:p>
              </w:tc>
              <w:tc>
                <w:tcPr/>
                <w:p>
                  <w:pPr>
                    <w:pStyle w:val="Compact"/>
                    <w:jc w:val="right"/>
                    <w:jc w:val="center"/>
                  </w:pPr>
                  <w:r>
                    <w:rPr>
                      <w:i/>
                      <w:iCs/>
                    </w:rPr>
                    <w:t xml:space="preserve">n</w:t>
                  </w:r>
                </w:p>
              </w:tc>
              <w:tc>
                <w:tcPr/>
                <w:p>
                  <w:pPr>
                    <w:pStyle w:val="Compact"/>
                    <w:jc w:val="right"/>
                    <w:jc w:val="center"/>
                  </w:pPr>
                  <w:r>
                    <w:t xml:space="preserve">%</w:t>
                  </w:r>
                </w:p>
              </w:tc>
            </w:tr>
            <w:tr>
              <w:tc>
                <w:tcPr/>
                <w:p>
                  <w:pPr>
                    <w:pStyle w:val="Compact"/>
                    <w:jc w:val="left"/>
                    <w:jc w:val="center"/>
                  </w:pPr>
                  <w:r>
                    <w:rPr>
                      <w:b/>
                      <w:bCs/>
                    </w:rPr>
                    <w:t xml:space="preserve">Simple scrapers</w:t>
                  </w:r>
                </w:p>
              </w:tc>
              <w:tc>
                <w:tcPr/>
                <w:p>
                  <w:pPr>
                    <w:pStyle w:val="Compact"/>
                    <w:jc w:val="right"/>
                    <w:jc w:val="center"/>
                  </w:pPr>
                  <w:r>
                    <w:t xml:space="preserve">9–11</w:t>
                  </w:r>
                </w:p>
              </w:tc>
              <w:tc>
                <w:tcPr/>
                <w:p>
                  <w:pPr>
                    <w:pStyle w:val="Compact"/>
                    <w:jc w:val="right"/>
                    <w:jc w:val="center"/>
                  </w:pPr>
                  <w:r>
                    <w:t xml:space="preserve">75</w:t>
                  </w:r>
                </w:p>
              </w:tc>
              <w:tc>
                <w:tcPr/>
                <w:p>
                  <w:pPr>
                    <w:pStyle w:val="Compact"/>
                    <w:jc w:val="right"/>
                    <w:jc w:val="center"/>
                  </w:pPr>
                  <w:r>
                    <w:t xml:space="preserve">45.2</w:t>
                  </w:r>
                </w:p>
              </w:tc>
            </w:tr>
            <w:tr>
              <w:tc>
                <w:tcPr/>
                <w:p>
                  <w:pPr>
                    <w:pStyle w:val="Compact"/>
                    <w:jc w:val="left"/>
                    <w:jc w:val="center"/>
                  </w:pPr>
                  <w:r>
                    <w:t xml:space="preserve">   straight</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11.4</w:t>
                  </w:r>
                </w:p>
              </w:tc>
            </w:tr>
            <w:tr>
              <w:tc>
                <w:tcPr/>
                <w:p>
                  <w:pPr>
                    <w:pStyle w:val="Compact"/>
                    <w:jc w:val="left"/>
                    <w:jc w:val="center"/>
                  </w:pPr>
                  <w:r>
                    <w:t xml:space="preserve">   convex</w:t>
                  </w:r>
                </w:p>
              </w:tc>
              <w:tc>
                <w:tcPr/>
                <w:p>
                  <w:pPr>
                    <w:pStyle w:val="Compact"/>
                    <w:jc w:val="right"/>
                    <w:jc w:val="center"/>
                  </w:pPr>
                  <w:r>
                    <w:t xml:space="preserve">10</w:t>
                  </w:r>
                </w:p>
              </w:tc>
              <w:tc>
                <w:tcPr/>
                <w:p>
                  <w:pPr>
                    <w:pStyle w:val="Compact"/>
                    <w:jc w:val="right"/>
                    <w:jc w:val="center"/>
                  </w:pPr>
                  <w:r>
                    <w:t xml:space="preserve">48</w:t>
                  </w:r>
                </w:p>
              </w:tc>
              <w:tc>
                <w:tcPr/>
                <w:p>
                  <w:pPr>
                    <w:pStyle w:val="Compact"/>
                    <w:jc w:val="right"/>
                    <w:jc w:val="center"/>
                  </w:pPr>
                  <w:r>
                    <w:t xml:space="preserve">28.9</w:t>
                  </w:r>
                </w:p>
              </w:tc>
            </w:tr>
            <w:tr>
              <w:tc>
                <w:tcPr/>
                <w:p>
                  <w:pPr>
                    <w:pStyle w:val="Compact"/>
                    <w:jc w:val="left"/>
                    <w:jc w:val="center"/>
                  </w:pPr>
                  <w:r>
                    <w:t xml:space="preserve">   concave</w:t>
                  </w:r>
                </w:p>
              </w:tc>
              <w:tc>
                <w:tcPr/>
                <w:p>
                  <w:pPr>
                    <w:pStyle w:val="Compact"/>
                    <w:jc w:val="right"/>
                    <w:jc w:val="center"/>
                  </w:pPr>
                  <w:r>
                    <w:t xml:space="preserve">11</w:t>
                  </w:r>
                </w:p>
              </w:tc>
              <w:tc>
                <w:tcPr/>
                <w:p>
                  <w:pPr>
                    <w:pStyle w:val="Compact"/>
                    <w:jc w:val="right"/>
                    <w:jc w:val="center"/>
                  </w:pPr>
                  <w:r>
                    <w:t xml:space="preserve">8</w:t>
                  </w:r>
                </w:p>
              </w:tc>
              <w:tc>
                <w:tcPr/>
                <w:p>
                  <w:pPr>
                    <w:pStyle w:val="Compact"/>
                    <w:jc w:val="right"/>
                    <w:jc w:val="center"/>
                  </w:pPr>
                  <w:r>
                    <w:t xml:space="preserve">4.8</w:t>
                  </w:r>
                </w:p>
              </w:tc>
            </w:tr>
            <w:tr>
              <w:tc>
                <w:tcPr/>
                <w:p>
                  <w:pPr>
                    <w:pStyle w:val="Compact"/>
                    <w:jc w:val="left"/>
                    <w:jc w:val="center"/>
                  </w:pPr>
                  <w:r>
                    <w:rPr>
                      <w:b/>
                      <w:bCs/>
                    </w:rPr>
                    <w:t xml:space="preserve">Double scrapers</w:t>
                  </w:r>
                </w:p>
              </w:tc>
              <w:tc>
                <w:tcPr/>
                <w:p>
                  <w:pPr>
                    <w:pStyle w:val="Compact"/>
                    <w:jc w:val="right"/>
                    <w:jc w:val="center"/>
                  </w:pPr>
                  <w:r>
                    <w:t xml:space="preserve">12–17</w:t>
                  </w:r>
                </w:p>
              </w:tc>
              <w:tc>
                <w:tcPr/>
                <w:p>
                  <w:pPr>
                    <w:pStyle w:val="Compact"/>
                    <w:jc w:val="right"/>
                    <w:jc w:val="center"/>
                  </w:pPr>
                  <w:r>
                    <w:t xml:space="preserve">13</w:t>
                  </w:r>
                </w:p>
              </w:tc>
              <w:tc>
                <w:tcPr/>
                <w:p>
                  <w:pPr>
                    <w:pStyle w:val="Compact"/>
                    <w:jc w:val="right"/>
                    <w:jc w:val="center"/>
                  </w:pPr>
                  <w:r>
                    <w:t xml:space="preserve">7.8</w:t>
                  </w:r>
                </w:p>
              </w:tc>
            </w:tr>
            <w:tr>
              <w:tc>
                <w:tcPr/>
                <w:p>
                  <w:pPr>
                    <w:pStyle w:val="Compact"/>
                    <w:jc w:val="left"/>
                    <w:jc w:val="center"/>
                  </w:pPr>
                  <w:r>
                    <w:t xml:space="preserve">   straight</w:t>
                  </w:r>
                </w:p>
              </w:tc>
              <w:tc>
                <w:tcPr/>
                <w:p>
                  <w:pPr>
                    <w:pStyle w:val="Compact"/>
                    <w:jc w:val="right"/>
                    <w:jc w:val="center"/>
                  </w:pPr>
                  <w:r>
                    <w:t xml:space="preserve">12</w:t>
                  </w:r>
                </w:p>
              </w:tc>
              <w:tc>
                <w:tcPr/>
                <w:p>
                  <w:pPr>
                    <w:pStyle w:val="Compact"/>
                    <w:jc w:val="right"/>
                    <w:jc w:val="center"/>
                  </w:pPr>
                  <w:r>
                    <w:t xml:space="preserve">1</w:t>
                  </w:r>
                </w:p>
              </w:tc>
              <w:tc>
                <w:tcPr/>
                <w:p>
                  <w:pPr>
                    <w:pStyle w:val="Compact"/>
                    <w:jc w:val="right"/>
                    <w:jc w:val="center"/>
                  </w:pPr>
                  <w:r>
                    <w:t xml:space="preserve">0.6</w:t>
                  </w:r>
                </w:p>
              </w:tc>
            </w:tr>
            <w:tr>
              <w:tc>
                <w:tcPr/>
                <w:p>
                  <w:pPr>
                    <w:pStyle w:val="Compact"/>
                    <w:jc w:val="left"/>
                    <w:jc w:val="center"/>
                  </w:pPr>
                  <w:r>
                    <w:t xml:space="preserve">   straight–convex</w:t>
                  </w:r>
                </w:p>
              </w:tc>
              <w:tc>
                <w:tcPr/>
                <w:p>
                  <w:pPr>
                    <w:pStyle w:val="Compact"/>
                    <w:jc w:val="right"/>
                    <w:jc w:val="center"/>
                  </w:pPr>
                  <w:r>
                    <w:t xml:space="preserve">13</w:t>
                  </w:r>
                </w:p>
              </w:tc>
              <w:tc>
                <w:tcPr/>
                <w:p>
                  <w:pPr>
                    <w:pStyle w:val="Compact"/>
                    <w:jc w:val="right"/>
                    <w:jc w:val="center"/>
                  </w:pPr>
                  <w:r>
                    <w:t xml:space="preserve">2</w:t>
                  </w:r>
                </w:p>
              </w:tc>
              <w:tc>
                <w:tcPr/>
                <w:p>
                  <w:pPr>
                    <w:pStyle w:val="Compact"/>
                    <w:jc w:val="right"/>
                    <w:jc w:val="center"/>
                  </w:pPr>
                  <w:r>
                    <w:t xml:space="preserve">1.2</w:t>
                  </w:r>
                </w:p>
              </w:tc>
            </w:tr>
            <w:tr>
              <w:tc>
                <w:tcPr/>
                <w:p>
                  <w:pPr>
                    <w:pStyle w:val="Compact"/>
                    <w:jc w:val="left"/>
                    <w:jc w:val="center"/>
                  </w:pPr>
                  <w:r>
                    <w:t xml:space="preserve">   biconvex</w:t>
                  </w:r>
                </w:p>
              </w:tc>
              <w:tc>
                <w:tcPr/>
                <w:p>
                  <w:pPr>
                    <w:pStyle w:val="Compact"/>
                    <w:jc w:val="right"/>
                    <w:jc w:val="center"/>
                  </w:pPr>
                  <w:r>
                    <w:t xml:space="preserve">15</w:t>
                  </w:r>
                </w:p>
              </w:tc>
              <w:tc>
                <w:tcPr/>
                <w:p>
                  <w:pPr>
                    <w:pStyle w:val="Compact"/>
                    <w:jc w:val="right"/>
                    <w:jc w:val="center"/>
                  </w:pPr>
                  <w:r>
                    <w:t xml:space="preserve">3</w:t>
                  </w:r>
                </w:p>
              </w:tc>
              <w:tc>
                <w:tcPr/>
                <w:p>
                  <w:pPr>
                    <w:pStyle w:val="Compact"/>
                    <w:jc w:val="right"/>
                    <w:jc w:val="center"/>
                  </w:pPr>
                  <w:r>
                    <w:t xml:space="preserve">1.8</w:t>
                  </w:r>
                </w:p>
              </w:tc>
            </w:tr>
            <w:tr>
              <w:tc>
                <w:tcPr/>
                <w:p>
                  <w:pPr>
                    <w:pStyle w:val="Compact"/>
                    <w:jc w:val="left"/>
                    <w:jc w:val="center"/>
                  </w:pPr>
                  <w:r>
                    <w:t xml:space="preserve">   biconcave</w:t>
                  </w:r>
                </w:p>
              </w:tc>
              <w:tc>
                <w:tcPr/>
                <w:p>
                  <w:pPr>
                    <w:pStyle w:val="Compact"/>
                    <w:jc w:val="right"/>
                    <w:jc w:val="center"/>
                  </w:pPr>
                  <w:r>
                    <w:t xml:space="preserve">16</w:t>
                  </w:r>
                </w:p>
              </w:tc>
              <w:tc>
                <w:tcPr/>
                <w:p>
                  <w:pPr>
                    <w:pStyle w:val="Compact"/>
                    <w:jc w:val="right"/>
                    <w:jc w:val="center"/>
                  </w:pPr>
                  <w:r>
                    <w:t xml:space="preserve">1</w:t>
                  </w:r>
                </w:p>
              </w:tc>
              <w:tc>
                <w:tcPr/>
                <w:p>
                  <w:pPr>
                    <w:pStyle w:val="Compact"/>
                    <w:jc w:val="right"/>
                    <w:jc w:val="center"/>
                  </w:pPr>
                  <w:r>
                    <w:t xml:space="preserve">0.6</w:t>
                  </w:r>
                </w:p>
              </w:tc>
            </w:tr>
            <w:tr>
              <w:tc>
                <w:tcPr/>
                <w:p>
                  <w:pPr>
                    <w:pStyle w:val="Compact"/>
                    <w:jc w:val="left"/>
                    <w:jc w:val="center"/>
                  </w:pPr>
                  <w:r>
                    <w:t xml:space="preserve">   convex–concave</w:t>
                  </w:r>
                </w:p>
              </w:tc>
              <w:tc>
                <w:tcPr/>
                <w:p>
                  <w:pPr>
                    <w:pStyle w:val="Compact"/>
                    <w:jc w:val="right"/>
                    <w:jc w:val="center"/>
                  </w:pPr>
                  <w:r>
                    <w:t xml:space="preserve">17</w:t>
                  </w:r>
                </w:p>
              </w:tc>
              <w:tc>
                <w:tcPr/>
                <w:p>
                  <w:pPr>
                    <w:pStyle w:val="Compact"/>
                    <w:jc w:val="right"/>
                    <w:jc w:val="center"/>
                  </w:pPr>
                  <w:r>
                    <w:t xml:space="preserve">6</w:t>
                  </w:r>
                </w:p>
              </w:tc>
              <w:tc>
                <w:tcPr/>
                <w:p>
                  <w:pPr>
                    <w:pStyle w:val="Compact"/>
                    <w:jc w:val="right"/>
                    <w:jc w:val="center"/>
                  </w:pPr>
                  <w:r>
                    <w:t xml:space="preserve">3.6</w:t>
                  </w:r>
                </w:p>
              </w:tc>
            </w:tr>
            <w:tr>
              <w:tc>
                <w:tcPr/>
                <w:p>
                  <w:pPr>
                    <w:pStyle w:val="Compact"/>
                    <w:jc w:val="left"/>
                    <w:jc w:val="center"/>
                  </w:pPr>
                  <w:r>
                    <w:rPr>
                      <w:b/>
                      <w:bCs/>
                    </w:rPr>
                    <w:t xml:space="preserve">Convergent and déjeté scrapers</w:t>
                  </w:r>
                </w:p>
              </w:tc>
              <w:tc>
                <w:tcPr/>
                <w:p>
                  <w:pPr>
                    <w:pStyle w:val="Compact"/>
                    <w:jc w:val="right"/>
                    <w:jc w:val="center"/>
                  </w:pPr>
                  <w:r>
                    <w:t xml:space="preserve">18–21</w:t>
                  </w:r>
                </w:p>
              </w:tc>
              <w:tc>
                <w:tcPr/>
                <w:p>
                  <w:pPr>
                    <w:pStyle w:val="Compact"/>
                    <w:jc w:val="right"/>
                    <w:jc w:val="center"/>
                  </w:pPr>
                  <w:r>
                    <w:t xml:space="preserve">36</w:t>
                  </w:r>
                </w:p>
              </w:tc>
              <w:tc>
                <w:tcPr/>
                <w:p>
                  <w:pPr>
                    <w:pStyle w:val="Compact"/>
                    <w:jc w:val="right"/>
                    <w:jc w:val="center"/>
                  </w:pPr>
                  <w:r>
                    <w:t xml:space="preserve">21.7</w:t>
                  </w:r>
                </w:p>
              </w:tc>
            </w:tr>
            <w:tr>
              <w:tc>
                <w:tcPr/>
                <w:p>
                  <w:pPr>
                    <w:pStyle w:val="Compact"/>
                    <w:jc w:val="left"/>
                    <w:jc w:val="center"/>
                  </w:pPr>
                  <w:r>
                    <w:t xml:space="preserve">   straight</w:t>
                  </w:r>
                </w:p>
              </w:tc>
              <w:tc>
                <w:tcPr/>
                <w:p>
                  <w:pPr>
                    <w:pStyle w:val="Compact"/>
                    <w:jc w:val="right"/>
                    <w:jc w:val="center"/>
                  </w:pPr>
                  <w:r>
                    <w:t xml:space="preserve">18</w:t>
                  </w:r>
                </w:p>
              </w:tc>
              <w:tc>
                <w:tcPr/>
                <w:p>
                  <w:pPr>
                    <w:pStyle w:val="Compact"/>
                    <w:jc w:val="right"/>
                    <w:jc w:val="center"/>
                  </w:pPr>
                  <w:r>
                    <w:t xml:space="preserve">7</w:t>
                  </w:r>
                </w:p>
              </w:tc>
              <w:tc>
                <w:tcPr/>
                <w:p>
                  <w:pPr>
                    <w:pStyle w:val="Compact"/>
                    <w:jc w:val="right"/>
                    <w:jc w:val="center"/>
                  </w:pPr>
                  <w:r>
                    <w:t xml:space="preserve">4.2</w:t>
                  </w:r>
                </w:p>
              </w:tc>
            </w:tr>
            <w:tr>
              <w:tc>
                <w:tcPr/>
                <w:p>
                  <w:pPr>
                    <w:pStyle w:val="Compact"/>
                    <w:jc w:val="left"/>
                    <w:jc w:val="center"/>
                  </w:pPr>
                  <w:r>
                    <w:t xml:space="preserve">   convex</w:t>
                  </w:r>
                </w:p>
              </w:tc>
              <w:tc>
                <w:tcPr/>
                <w:p>
                  <w:pPr>
                    <w:pStyle w:val="Compact"/>
                    <w:jc w:val="right"/>
                    <w:jc w:val="center"/>
                  </w:pPr>
                  <w:r>
                    <w:t xml:space="preserve">19</w:t>
                  </w:r>
                </w:p>
              </w:tc>
              <w:tc>
                <w:tcPr/>
                <w:p>
                  <w:pPr>
                    <w:pStyle w:val="Compact"/>
                    <w:jc w:val="right"/>
                    <w:jc w:val="center"/>
                  </w:pPr>
                  <w:r>
                    <w:t xml:space="preserve">16</w:t>
                  </w:r>
                </w:p>
              </w:tc>
              <w:tc>
                <w:tcPr/>
                <w:p>
                  <w:pPr>
                    <w:pStyle w:val="Compact"/>
                    <w:jc w:val="right"/>
                    <w:jc w:val="center"/>
                  </w:pPr>
                  <w:r>
                    <w:t xml:space="preserve">9.6</w:t>
                  </w:r>
                </w:p>
              </w:tc>
            </w:tr>
            <w:tr>
              <w:tc>
                <w:tcPr/>
                <w:p>
                  <w:pPr>
                    <w:pStyle w:val="Compact"/>
                    <w:jc w:val="left"/>
                    <w:jc w:val="center"/>
                  </w:pPr>
                  <w:r>
                    <w:t xml:space="preserve">   concave</w:t>
                  </w:r>
                </w:p>
              </w:tc>
              <w:tc>
                <w:tcPr/>
                <w:p>
                  <w:pPr>
                    <w:pStyle w:val="Compact"/>
                    <w:jc w:val="right"/>
                    <w:jc w:val="center"/>
                  </w:pPr>
                  <w:r>
                    <w:t xml:space="preserve">20</w:t>
                  </w:r>
                </w:p>
              </w:tc>
              <w:tc>
                <w:tcPr/>
                <w:p>
                  <w:pPr>
                    <w:pStyle w:val="Compact"/>
                    <w:jc w:val="right"/>
                    <w:jc w:val="center"/>
                  </w:pPr>
                  <w:r>
                    <w:t xml:space="preserve">2</w:t>
                  </w:r>
                </w:p>
              </w:tc>
              <w:tc>
                <w:tcPr/>
                <w:p>
                  <w:pPr>
                    <w:pStyle w:val="Compact"/>
                    <w:jc w:val="right"/>
                    <w:jc w:val="center"/>
                  </w:pPr>
                  <w:r>
                    <w:t xml:space="preserve">1.2</w:t>
                  </w:r>
                </w:p>
              </w:tc>
            </w:tr>
            <w:tr>
              <w:tc>
                <w:tcPr/>
                <w:p>
                  <w:pPr>
                    <w:pStyle w:val="Compact"/>
                    <w:jc w:val="left"/>
                    <w:jc w:val="center"/>
                  </w:pPr>
                  <w:r>
                    <w:t xml:space="preserve">   déjeté</w:t>
                  </w:r>
                </w:p>
              </w:tc>
              <w:tc>
                <w:tcPr/>
                <w:p>
                  <w:pPr>
                    <w:pStyle w:val="Compact"/>
                    <w:jc w:val="right"/>
                    <w:jc w:val="center"/>
                  </w:pPr>
                  <w:r>
                    <w:t xml:space="preserve">21</w:t>
                  </w:r>
                </w:p>
              </w:tc>
              <w:tc>
                <w:tcPr/>
                <w:p>
                  <w:pPr>
                    <w:pStyle w:val="Compact"/>
                    <w:jc w:val="right"/>
                    <w:jc w:val="center"/>
                  </w:pPr>
                  <w:r>
                    <w:t xml:space="preserve">11</w:t>
                  </w:r>
                </w:p>
              </w:tc>
              <w:tc>
                <w:tcPr/>
                <w:p>
                  <w:pPr>
                    <w:pStyle w:val="Compact"/>
                    <w:jc w:val="right"/>
                    <w:jc w:val="center"/>
                  </w:pPr>
                  <w:r>
                    <w:t xml:space="preserve">6.6</w:t>
                  </w:r>
                </w:p>
              </w:tc>
            </w:tr>
            <w:tr>
              <w:tc>
                <w:tcPr/>
                <w:p>
                  <w:pPr>
                    <w:pStyle w:val="Compact"/>
                    <w:jc w:val="left"/>
                    <w:jc w:val="center"/>
                  </w:pPr>
                  <w:r>
                    <w:rPr>
                      <w:b/>
                      <w:bCs/>
                    </w:rPr>
                    <w:t xml:space="preserve">Transverse scrapers</w:t>
                  </w:r>
                </w:p>
              </w:tc>
              <w:tc>
                <w:tcPr/>
                <w:p>
                  <w:pPr>
                    <w:pStyle w:val="Compact"/>
                    <w:jc w:val="right"/>
                    <w:jc w:val="center"/>
                  </w:pPr>
                  <w:r>
                    <w:t xml:space="preserve">22–24</w:t>
                  </w:r>
                </w:p>
              </w:tc>
              <w:tc>
                <w:tcPr/>
                <w:p>
                  <w:pPr>
                    <w:pStyle w:val="Compact"/>
                    <w:jc w:val="right"/>
                    <w:jc w:val="center"/>
                  </w:pPr>
                  <w:r>
                    <w:t xml:space="preserve">16</w:t>
                  </w:r>
                </w:p>
              </w:tc>
              <w:tc>
                <w:tcPr/>
                <w:p>
                  <w:pPr>
                    <w:pStyle w:val="Compact"/>
                    <w:jc w:val="right"/>
                    <w:jc w:val="center"/>
                  </w:pPr>
                  <w:r>
                    <w:t xml:space="preserve">9.6</w:t>
                  </w:r>
                </w:p>
              </w:tc>
            </w:tr>
            <w:tr>
              <w:tc>
                <w:tcPr/>
                <w:p>
                  <w:pPr>
                    <w:pStyle w:val="Compact"/>
                    <w:jc w:val="left"/>
                    <w:jc w:val="center"/>
                  </w:pPr>
                  <w:r>
                    <w:t xml:space="preserve">   straight</w:t>
                  </w:r>
                </w:p>
              </w:tc>
              <w:tc>
                <w:tcPr/>
                <w:p>
                  <w:pPr>
                    <w:pStyle w:val="Compact"/>
                    <w:jc w:val="right"/>
                    <w:jc w:val="center"/>
                  </w:pPr>
                  <w:r>
                    <w:t xml:space="preserve">22</w:t>
                  </w:r>
                </w:p>
              </w:tc>
              <w:tc>
                <w:tcPr/>
                <w:p>
                  <w:pPr>
                    <w:pStyle w:val="Compact"/>
                    <w:jc w:val="right"/>
                    <w:jc w:val="center"/>
                  </w:pPr>
                  <w:r>
                    <w:t xml:space="preserve">5</w:t>
                  </w:r>
                </w:p>
              </w:tc>
              <w:tc>
                <w:tcPr/>
                <w:p>
                  <w:pPr>
                    <w:pStyle w:val="Compact"/>
                    <w:jc w:val="right"/>
                    <w:jc w:val="center"/>
                  </w:pPr>
                  <w:r>
                    <w:t xml:space="preserve">3.0</w:t>
                  </w:r>
                </w:p>
              </w:tc>
            </w:tr>
            <w:tr>
              <w:tc>
                <w:tcPr/>
                <w:p>
                  <w:pPr>
                    <w:pStyle w:val="Compact"/>
                    <w:jc w:val="left"/>
                    <w:jc w:val="center"/>
                  </w:pPr>
                  <w:r>
                    <w:t xml:space="preserve">   convex</w:t>
                  </w:r>
                </w:p>
              </w:tc>
              <w:tc>
                <w:tcPr/>
                <w:p>
                  <w:pPr>
                    <w:pStyle w:val="Compact"/>
                    <w:jc w:val="right"/>
                    <w:jc w:val="center"/>
                  </w:pPr>
                  <w:r>
                    <w:t xml:space="preserve">23</w:t>
                  </w:r>
                </w:p>
              </w:tc>
              <w:tc>
                <w:tcPr/>
                <w:p>
                  <w:pPr>
                    <w:pStyle w:val="Compact"/>
                    <w:jc w:val="right"/>
                    <w:jc w:val="center"/>
                  </w:pPr>
                  <w:r>
                    <w:t xml:space="preserve">9</w:t>
                  </w:r>
                </w:p>
              </w:tc>
              <w:tc>
                <w:tcPr/>
                <w:p>
                  <w:pPr>
                    <w:pStyle w:val="Compact"/>
                    <w:jc w:val="right"/>
                    <w:jc w:val="center"/>
                  </w:pPr>
                  <w:r>
                    <w:t xml:space="preserve">5.4</w:t>
                  </w:r>
                </w:p>
              </w:tc>
            </w:tr>
            <w:tr>
              <w:tc>
                <w:tcPr/>
                <w:p>
                  <w:pPr>
                    <w:pStyle w:val="Compact"/>
                    <w:jc w:val="left"/>
                    <w:jc w:val="center"/>
                  </w:pPr>
                  <w:r>
                    <w:t xml:space="preserve">   concave</w:t>
                  </w:r>
                </w:p>
              </w:tc>
              <w:tc>
                <w:tcPr/>
                <w:p>
                  <w:pPr>
                    <w:pStyle w:val="Compact"/>
                    <w:jc w:val="right"/>
                    <w:jc w:val="center"/>
                  </w:pPr>
                  <w:r>
                    <w:t xml:space="preserve">24</w:t>
                  </w:r>
                </w:p>
              </w:tc>
              <w:tc>
                <w:tcPr/>
                <w:p>
                  <w:pPr>
                    <w:pStyle w:val="Compact"/>
                    <w:jc w:val="right"/>
                    <w:jc w:val="center"/>
                  </w:pPr>
                  <w:r>
                    <w:t xml:space="preserve">2</w:t>
                  </w:r>
                </w:p>
              </w:tc>
              <w:tc>
                <w:tcPr/>
                <w:p>
                  <w:pPr>
                    <w:pStyle w:val="Compact"/>
                    <w:jc w:val="right"/>
                    <w:jc w:val="center"/>
                  </w:pPr>
                  <w:r>
                    <w:t xml:space="preserve">1.2</w:t>
                  </w:r>
                </w:p>
              </w:tc>
            </w:tr>
            <w:tr>
              <w:tc>
                <w:tcPr/>
                <w:p>
                  <w:pPr>
                    <w:pStyle w:val="Compact"/>
                    <w:jc w:val="left"/>
                    <w:jc w:val="center"/>
                  </w:pPr>
                  <w:r>
                    <w:rPr>
                      <w:b/>
                      <w:bCs/>
                    </w:rPr>
                    <w:t xml:space="preserve">Other forms</w:t>
                  </w:r>
                </w:p>
              </w:tc>
              <w:tc>
                <w:tcPr/>
                <w:p>
                  <w:pPr>
                    <w:pStyle w:val="Compact"/>
                  </w:pPr>
                </w:p>
              </w:tc>
              <w:tc>
                <w:tcPr/>
                <w:p>
                  <w:pPr>
                    <w:pStyle w:val="Compact"/>
                    <w:jc w:val="right"/>
                    <w:jc w:val="center"/>
                  </w:pPr>
                  <w:r>
                    <w:t xml:space="preserve">26</w:t>
                  </w:r>
                </w:p>
              </w:tc>
              <w:tc>
                <w:tcPr/>
                <w:p>
                  <w:pPr>
                    <w:pStyle w:val="Compact"/>
                    <w:jc w:val="right"/>
                    <w:jc w:val="center"/>
                  </w:pPr>
                  <w:r>
                    <w:t xml:space="preserve">15.7</w:t>
                  </w:r>
                </w:p>
              </w:tc>
            </w:tr>
            <w:tr>
              <w:tc>
                <w:tcPr/>
                <w:p>
                  <w:pPr>
                    <w:pStyle w:val="Compact"/>
                    <w:jc w:val="left"/>
                    <w:jc w:val="center"/>
                  </w:pPr>
                  <w:r>
                    <w:t xml:space="preserve">   inverse</w:t>
                  </w:r>
                </w:p>
              </w:tc>
              <w:tc>
                <w:tcPr/>
                <w:p>
                  <w:pPr>
                    <w:pStyle w:val="Compact"/>
                    <w:jc w:val="right"/>
                    <w:jc w:val="center"/>
                  </w:pPr>
                  <w:r>
                    <w:t xml:space="preserve">25</w:t>
                  </w:r>
                </w:p>
              </w:tc>
              <w:tc>
                <w:tcPr/>
                <w:p>
                  <w:pPr>
                    <w:pStyle w:val="Compact"/>
                    <w:jc w:val="right"/>
                    <w:jc w:val="center"/>
                  </w:pPr>
                  <w:r>
                    <w:t xml:space="preserve">8</w:t>
                  </w:r>
                </w:p>
              </w:tc>
              <w:tc>
                <w:tcPr/>
                <w:p>
                  <w:pPr>
                    <w:pStyle w:val="Compact"/>
                    <w:jc w:val="right"/>
                    <w:jc w:val="center"/>
                  </w:pPr>
                  <w:r>
                    <w:t xml:space="preserve">4.8</w:t>
                  </w:r>
                </w:p>
              </w:tc>
            </w:tr>
            <w:tr>
              <w:tc>
                <w:tcPr/>
                <w:p>
                  <w:pPr>
                    <w:pStyle w:val="Compact"/>
                    <w:jc w:val="left"/>
                    <w:jc w:val="center"/>
                  </w:pPr>
                  <w:r>
                    <w:t xml:space="preserve">   alternate</w:t>
                  </w:r>
                </w:p>
              </w:tc>
              <w:tc>
                <w:tcPr/>
                <w:p>
                  <w:pPr>
                    <w:pStyle w:val="Compact"/>
                    <w:jc w:val="right"/>
                    <w:jc w:val="center"/>
                  </w:pPr>
                  <w:r>
                    <w:t xml:space="preserve">29</w:t>
                  </w:r>
                </w:p>
              </w:tc>
              <w:tc>
                <w:tcPr/>
                <w:p>
                  <w:pPr>
                    <w:pStyle w:val="Compact"/>
                    <w:jc w:val="right"/>
                    <w:jc w:val="center"/>
                  </w:pPr>
                  <w:r>
                    <w:t xml:space="preserve">5</w:t>
                  </w:r>
                </w:p>
              </w:tc>
              <w:tc>
                <w:tcPr/>
                <w:p>
                  <w:pPr>
                    <w:pStyle w:val="Compact"/>
                    <w:jc w:val="right"/>
                    <w:jc w:val="center"/>
                  </w:pPr>
                  <w:r>
                    <w:t xml:space="preserve">3.0</w:t>
                  </w:r>
                </w:p>
              </w:tc>
            </w:tr>
            <w:tr>
              <w:tc>
                <w:tcPr/>
                <w:p>
                  <w:pPr>
                    <w:pStyle w:val="Compact"/>
                    <w:jc w:val="left"/>
                    <w:jc w:val="center"/>
                  </w:pPr>
                  <w:r>
                    <w:t xml:space="preserve">   bifacial</w:t>
                  </w:r>
                </w:p>
              </w:tc>
              <w:tc>
                <w:tcPr/>
                <w:p>
                  <w:pPr>
                    <w:pStyle w:val="Compact"/>
                    <w:jc w:val="right"/>
                    <w:jc w:val="center"/>
                  </w:pPr>
                  <w:r>
                    <w:t xml:space="preserve">28</w:t>
                  </w:r>
                </w:p>
              </w:tc>
              <w:tc>
                <w:tcPr/>
                <w:p>
                  <w:pPr>
                    <w:pStyle w:val="Compact"/>
                    <w:jc w:val="right"/>
                    <w:jc w:val="center"/>
                  </w:pPr>
                  <w:r>
                    <w:t xml:space="preserve">1</w:t>
                  </w:r>
                </w:p>
              </w:tc>
              <w:tc>
                <w:tcPr/>
                <w:p>
                  <w:pPr>
                    <w:pStyle w:val="Compact"/>
                    <w:jc w:val="right"/>
                    <w:jc w:val="center"/>
                  </w:pPr>
                  <w:r>
                    <w:t xml:space="preserve">0.6</w:t>
                  </w:r>
                </w:p>
              </w:tc>
            </w:tr>
            <w:tr>
              <w:tc>
                <w:tcPr/>
                <w:p>
                  <w:pPr>
                    <w:pStyle w:val="Compact"/>
                    <w:jc w:val="left"/>
                    <w:jc w:val="center"/>
                  </w:pPr>
                  <w:r>
                    <w:t xml:space="preserve">   triple</w:t>
                  </w:r>
                </w:p>
              </w:tc>
              <w:tc>
                <w:tcPr/>
                <w:p>
                  <w:pPr>
                    <w:pStyle w:val="Compact"/>
                    <w:jc w:val="right"/>
                    <w:jc w:val="center"/>
                  </w:pPr>
                  <w:r>
                    <w:t xml:space="preserve">—</w:t>
                  </w:r>
                </w:p>
              </w:tc>
              <w:tc>
                <w:tcPr/>
                <w:p>
                  <w:pPr>
                    <w:pStyle w:val="Compact"/>
                    <w:jc w:val="right"/>
                    <w:jc w:val="center"/>
                  </w:pPr>
                  <w:r>
                    <w:t xml:space="preserve">8</w:t>
                  </w:r>
                </w:p>
              </w:tc>
              <w:tc>
                <w:tcPr/>
                <w:p>
                  <w:pPr>
                    <w:pStyle w:val="Compact"/>
                    <w:jc w:val="right"/>
                    <w:jc w:val="center"/>
                  </w:pPr>
                  <w:r>
                    <w:t xml:space="preserve">4.8</w:t>
                  </w:r>
                </w:p>
              </w:tc>
            </w:tr>
            <w:tr>
              <w:tc>
                <w:tcPr/>
                <w:p>
                  <w:pPr>
                    <w:pStyle w:val="Compact"/>
                    <w:jc w:val="left"/>
                    <w:jc w:val="center"/>
                  </w:pPr>
                  <w:r>
                    <w:t xml:space="preserve">   limace</w:t>
                  </w:r>
                </w:p>
              </w:tc>
              <w:tc>
                <w:tcPr/>
                <w:p>
                  <w:pPr>
                    <w:pStyle w:val="Compact"/>
                    <w:jc w:val="right"/>
                    <w:jc w:val="center"/>
                  </w:pPr>
                  <w:r>
                    <w:t xml:space="preserve">8</w:t>
                  </w:r>
                </w:p>
              </w:tc>
              <w:tc>
                <w:tcPr/>
                <w:p>
                  <w:pPr>
                    <w:pStyle w:val="Compact"/>
                    <w:jc w:val="right"/>
                    <w:jc w:val="center"/>
                  </w:pPr>
                  <w:r>
                    <w:t xml:space="preserve">4</w:t>
                  </w:r>
                </w:p>
              </w:tc>
              <w:tc>
                <w:tcPr/>
                <w:p>
                  <w:pPr>
                    <w:pStyle w:val="Compact"/>
                    <w:jc w:val="right"/>
                    <w:jc w:val="center"/>
                  </w:pPr>
                  <w:r>
                    <w:t xml:space="preserve">2.4</w:t>
                  </w:r>
                </w:p>
              </w:tc>
            </w:tr>
            <w:tr>
              <w:tc>
                <w:tcPr/>
                <w:p>
                  <w:pPr>
                    <w:pStyle w:val="Compact"/>
                    <w:jc w:val="left"/>
                    <w:jc w:val="center"/>
                  </w:pPr>
                  <w:r>
                    <w:rPr>
                      <w:b/>
                      <w:bCs/>
                    </w:rPr>
                    <w:t xml:space="preserve">Total</w:t>
                  </w:r>
                </w:p>
              </w:tc>
              <w:tc>
                <w:tcPr/>
                <w:p>
                  <w:pPr>
                    <w:pStyle w:val="Compact"/>
                  </w:pPr>
                </w:p>
              </w:tc>
              <w:tc>
                <w:tcPr/>
                <w:p>
                  <w:pPr>
                    <w:pStyle w:val="Compact"/>
                    <w:jc w:val="right"/>
                    <w:jc w:val="center"/>
                  </w:pPr>
                  <w:r>
                    <w:t xml:space="preserve">166</w:t>
                  </w:r>
                </w:p>
              </w:tc>
              <w:tc>
                <w:tcPr/>
                <w:p>
                  <w:pPr>
                    <w:pStyle w:val="Compact"/>
                    <w:jc w:val="right"/>
                    <w:jc w:val="center"/>
                  </w:pPr>
                  <w:r>
                    <w:t xml:space="preserve">100.0</w:t>
                  </w:r>
                </w:p>
              </w:tc>
            </w:tr>
          </w:tbl>
          <w:bookmarkEnd w:id="37"/>
          <w:p/>
        </w:tc>
      </w:tr>
    </w:tbl>
    <w:p>
      <w:pPr>
        <w:pStyle w:val="BodyText"/>
      </w:pPr>
      <w:r>
        <w:rPr>
          <w:u w:val="single"/>
        </w:rPr>
        <w:t xml:space="preserve">Ramification sequence.</w:t>
      </w:r>
      <w:r>
        <w:t xml:space="preserve"> </w:t>
      </w:r>
      <w:r>
        <w:t xml:space="preserve">The resharpening flakes (</w:t>
      </w:r>
      <w:r>
        <w:rPr>
          <w:i/>
          <w:iCs/>
        </w:rPr>
        <w:t xml:space="preserve">n</w:t>
      </w:r>
      <w:r>
        <w:t xml:space="preserve"> </w:t>
      </w:r>
      <w:r>
        <w:t xml:space="preserve">= 56) support the reading of the retouch just described and, at the same time, document the third dimension of the Quina system. They are characteristically flat and oval in plan with an arched profile, and the proximal part of their dorsal face preserves scars of previous Quina retouch (</w:t>
      </w:r>
      <w:hyperlink w:anchor="fig-resharpening-flakes">
        <w:r>
          <w:rPr>
            <w:rStyle w:val="Hyperlink"/>
          </w:rPr>
          <w:t xml:space="preserve">Fig. 5</w:t>
        </w:r>
      </w:hyperlink>
      <w:r>
        <w:t xml:space="preserve">); their platforms are shallow (mean PD = 5.3 mm,</w:t>
      </w:r>
      <w:r>
        <w:t xml:space="preserve"> </w:t>
      </w:r>
      <w:r>
        <w:rPr>
          <w:i/>
          <w:iCs/>
        </w:rPr>
        <w:t xml:space="preserve">SD</w:t>
      </w:r>
      <w:r>
        <w:t xml:space="preserve"> </w:t>
      </w:r>
      <w:r>
        <w:t xml:space="preserve">= 3.6 mm), as marginal percussion produces. Their EPAs average 72.8° (</w:t>
      </w:r>
      <w:r>
        <w:rPr>
          <w:i/>
          <w:iCs/>
        </w:rPr>
        <w:t xml:space="preserve">SD</w:t>
      </w:r>
      <w:r>
        <w:t xml:space="preserve"> </w:t>
      </w:r>
      <w:r>
        <w:t xml:space="preserve">= 9.5°), compared with a mean edge angle of 70.0° on the Quina scrapers. Although this difference approached significance (Welch’s</w:t>
      </w:r>
      <w:r>
        <w:t xml:space="preserve"> </w:t>
      </w:r>
      <w:r>
        <w:rPr>
          <w:i/>
          <w:iCs/>
        </w:rPr>
        <w:t xml:space="preserve">t</w:t>
      </w:r>
      <w:r>
        <w:t xml:space="preserve"> </w:t>
      </w:r>
      <w:r>
        <w:t xml:space="preserve">= -1.99,</w:t>
      </w:r>
      <w:r>
        <w:t xml:space="preserve"> </w:t>
      </w:r>
      <w:r>
        <w:rPr>
          <w:i/>
          <w:iCs/>
        </w:rPr>
        <w:t xml:space="preserve">df</w:t>
      </w:r>
      <w:r>
        <w:t xml:space="preserve"> </w:t>
      </w:r>
      <w:r>
        <w:t xml:space="preserve">= 84.0,</w:t>
      </w:r>
      <w:r>
        <w:t xml:space="preserve"> </w:t>
      </w:r>
      <w:r>
        <w:rPr>
          <w:i/>
          <w:iCs/>
        </w:rPr>
        <w:t xml:space="preserve">p</w:t>
      </w:r>
      <w:r>
        <w:t xml:space="preserve"> </w:t>
      </w:r>
      <w:r>
        <w:t xml:space="preserve">= 0.050), its magnitude was small, with a Cohen’s</w:t>
      </w:r>
      <w:r>
        <w:t xml:space="preserve"> </w:t>
      </w:r>
      <w:r>
        <w:rPr>
          <w:i/>
          <w:iCs/>
        </w:rPr>
        <w:t xml:space="preserve">d</w:t>
      </w:r>
      <w:r>
        <w:t xml:space="preserve"> </w:t>
      </w:r>
      <w:r>
        <w:t xml:space="preserve">of -0.32 (95% CI: -0.65 to -0.002), indicating only a limited separation between Quina scrapers’ edge angle and resharpening flakes’ EPAs. Since the EPA of a resharpening flake records the angle of the edge from which it was struck, the near identity of the two distributions is what would be expected if these flakes had been detached from Quina scrapers of the kind recovered alongside them; the small residual offset falls within the range that uneven sampling across surface localities would produce, and need not indicate a systematic difference in the angle at which edges were reworked.</w:t>
      </w:r>
    </w:p>
    <w:tbl>
      <w:tblPr>
        <w:tblStyle w:val="Table"/>
        <w:tblW w:type="pct" w:w="5000"/>
        <w:tblLayout w:type="fixed"/>
        <w:tblLook w:firstRow="0" w:lastRow="0" w:firstColumn="0" w:lastColumn="0" w:noHBand="0" w:noVBand="0" w:val="0000"/>
      </w:tblPr>
      <w:tblGrid>
        <w:gridCol w:w="7920"/>
      </w:tblGrid>
      <w:tr>
        <w:tc>
          <w:tcPr/>
          <w:bookmarkStart w:id="41" w:name="fig-resharpening-flakes"/>
          <w:p>
            <w:pPr>
              <w:pStyle w:val="Compact"/>
              <w:jc w:val="center"/>
            </w:pPr>
            <w:r>
              <w:drawing>
                <wp:inline>
                  <wp:extent cx="5394960" cy="5190556"/>
                  <wp:effectExtent b="0" l="0" r="0" t="0"/>
                  <wp:docPr descr="" title="" id="39" name="Picture"/>
                  <a:graphic>
                    <a:graphicData uri="http://schemas.openxmlformats.org/drawingml/2006/picture">
                      <pic:pic>
                        <pic:nvPicPr>
                          <pic:cNvPr descr="../figures/resharpening_flake.png" id="40" name="Picture"/>
                          <pic:cNvPicPr>
                            <a:picLocks noChangeArrowheads="1" noChangeAspect="1"/>
                          </pic:cNvPicPr>
                        </pic:nvPicPr>
                        <pic:blipFill>
                          <a:blip r:embed="rId38"/>
                          <a:stretch>
                            <a:fillRect/>
                          </a:stretch>
                        </pic:blipFill>
                        <pic:spPr bwMode="auto">
                          <a:xfrm>
                            <a:off x="0" y="0"/>
                            <a:ext cx="5394960" cy="5190556"/>
                          </a:xfrm>
                          <a:prstGeom prst="rect">
                            <a:avLst/>
                          </a:prstGeom>
                          <a:noFill/>
                          <a:ln w="9525">
                            <a:noFill/>
                            <a:headEnd/>
                            <a:tailEnd/>
                          </a:ln>
                        </pic:spPr>
                      </pic:pic>
                    </a:graphicData>
                  </a:graphic>
                </wp:inline>
              </w:drawing>
            </w:r>
          </w:p>
          <w:p>
            <w:pPr>
              <w:jc w:val="center"/>
            </w:pPr>
            <w:pPr>
              <w:jc w:val="left"/>
              <w:spacing w:before="200"/>
              <w:pStyle w:val="ImageCaption"/>
            </w:pPr>
            <w:r>
              <w:t xml:space="preserve">Fig. 5: Quina resharpening flakes from the surface collections. (A) to (F) are six specimens, each shown in several views with its cross-section in grey where drawn. Scale bars are 20 mm. [[Specimen numbers and localities to be added.]]</w:t>
            </w:r>
          </w:p>
          <w:bookmarkEnd w:id="41"/>
        </w:tc>
      </w:tr>
    </w:tbl>
    <w:p>
      <w:pPr>
        <w:pStyle w:val="BodyText"/>
      </w:pPr>
      <w:r>
        <w:t xml:space="preserve">Ramification extends beyond the maintenance of edges. Resharpening flakes carry cutting edges of their own and were therefore usable as struck, as use-wear analysis of such flakes at European Quina sites has confirmed</w:t>
      </w:r>
      <w:r>
        <w:t xml:space="preserve"> </w:t>
      </w:r>
      <w:r>
        <w:t xml:space="preserve">(Claud et al., 2012; Delpiano et al., 2022)</w:t>
      </w:r>
      <w:r>
        <w:t xml:space="preserve">. Some Quina scrapers additionally bear</w:t>
      </w:r>
      <w:r>
        <w:t xml:space="preserve"> </w:t>
      </w:r>
      <w:r>
        <w:t xml:space="preserve">“Clactonian notch”</w:t>
      </w:r>
      <w:r>
        <w:t xml:space="preserve"> </w:t>
      </w:r>
      <w:r>
        <w:t xml:space="preserve">removals struck from the edge: broad, invasive scars whose corresponding resharpeninhg flakes are larger, and which are therefore themselves candidates for further modification</w:t>
      </w:r>
      <w:r>
        <w:t xml:space="preserve"> </w:t>
      </w:r>
      <w:r>
        <w:t xml:space="preserve">(Peresani et al., 2023)</w:t>
      </w:r>
      <w:r>
        <w:t xml:space="preserve">. Material already in hand was thus drawn on repeatedly, first to restore a working edge and then to yield fresh blanks from the tool itself.</w:t>
      </w:r>
    </w:p>
    <w:bookmarkEnd w:id="42"/>
    <w:bookmarkStart w:id="49" w:name="technological-consistency"/>
    <w:p>
      <w:pPr>
        <w:pStyle w:val="Heading3"/>
      </w:pPr>
      <w:r>
        <w:t xml:space="preserve">4.2.2 Technological consistency</w:t>
      </w:r>
    </w:p>
    <w:p>
      <w:pPr>
        <w:pStyle w:val="FirstParagraph"/>
      </w:pPr>
      <w:r>
        <w:rPr>
          <w:u w:val="single"/>
        </w:rPr>
        <w:t xml:space="preserve">Consistency with Longtan.</w:t>
      </w:r>
      <w:r>
        <w:t xml:space="preserve"> </w:t>
      </w:r>
      <w:r>
        <w:t xml:space="preserve">The surface Quina scrapers cannot be distinguished from the excavated Quina scrapers at Longtan (</w:t>
      </w:r>
      <w:r>
        <w:rPr>
          <w:i/>
          <w:iCs/>
        </w:rPr>
        <w:t xml:space="preserve">n</w:t>
      </w:r>
      <w:r>
        <w:t xml:space="preserve"> </w:t>
      </w:r>
      <w:r>
        <w:t xml:space="preserve">= 53), while both are clearly separated from the non-Quina scrapers (</w:t>
      </w:r>
      <w:r>
        <w:rPr>
          <w:i/>
          <w:iCs/>
        </w:rPr>
        <w:t xml:space="preserve">n</w:t>
      </w:r>
      <w:r>
        <w:t xml:space="preserve"> </w:t>
      </w:r>
      <w:r>
        <w:t xml:space="preserve">= 79) that serve as a control. In the technological space, PERMANOVA finds no difference between the two Quina groups (</w:t>
      </w:r>
      <w:r>
        <w:rPr>
          <w:i/>
          <w:iCs/>
        </w:rPr>
        <w:t xml:space="preserve">R</w:t>
      </w:r>
      <w:r>
        <w:t xml:space="preserve">² = 0.004, pseudo-</w:t>
      </w:r>
      <w:r>
        <w:rPr>
          <w:i/>
          <w:iCs/>
        </w:rPr>
        <w:t xml:space="preserve">F</w:t>
      </w:r>
      <w:r>
        <w:t xml:space="preserve"> </w:t>
      </w:r>
      <w:r>
        <w:t xml:space="preserve">= 0.81,</w:t>
      </w:r>
      <w:r>
        <w:t xml:space="preserve"> </w:t>
      </w:r>
      <w:r>
        <w:rPr>
          <w:i/>
          <w:iCs/>
        </w:rPr>
        <w:t xml:space="preserve">p</w:t>
      </w:r>
      <w:r>
        <w:t xml:space="preserve"> </w:t>
      </w:r>
      <w:r>
        <w:t xml:space="preserve">= 1.000), whereas each differs from the non-Quina scrapers with an order of magnitude more explained variance (</w:t>
      </w:r>
      <w:r>
        <w:rPr>
          <w:i/>
          <w:iCs/>
        </w:rPr>
        <w:t xml:space="preserve">R</w:t>
      </w:r>
      <w:r>
        <w:t xml:space="preserve">² = 0.29–0.36, pseudo-</w:t>
      </w:r>
      <w:r>
        <w:rPr>
          <w:i/>
          <w:iCs/>
        </w:rPr>
        <w:t xml:space="preserve">F</w:t>
      </w:r>
      <w:r>
        <w:t xml:space="preserve"> </w:t>
      </w:r>
      <w:r>
        <w:t xml:space="preserve">= 73.7–97.5,</w:t>
      </w:r>
      <w:r>
        <w:t xml:space="preserve"> </w:t>
      </w:r>
      <w:r>
        <w:rPr>
          <w:i/>
          <w:iCs/>
        </w:rPr>
        <w:t xml:space="preserve">p</w:t>
      </w:r>
      <w:r>
        <w:t xml:space="preserve"> </w:t>
      </w:r>
      <w:r>
        <w:t xml:space="preserve">&lt; 0.001 in both cases) (</w:t>
      </w:r>
      <w:hyperlink w:anchor="fig-technological-consistency">
        <w:r>
          <w:rPr>
            <w:rStyle w:val="Hyperlink"/>
          </w:rPr>
          <w:t xml:space="preserve">Fig.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 w:name="fig-technological-consistency"/>
          <w:p>
            <w:pPr>
              <w:pStyle w:val="Compact"/>
              <w:jc w:val="center"/>
            </w:pPr>
            <w:r>
              <w:drawing>
                <wp:inline>
                  <wp:extent cx="5403966" cy="7391527"/>
                  <wp:effectExtent b="0" l="0" r="0" t="0"/>
                  <wp:docPr descr="" title="" id="44" name="Picture"/>
                  <a:graphic>
                    <a:graphicData uri="http://schemas.openxmlformats.org/drawingml/2006/picture">
                      <pic:pic>
                        <pic:nvPicPr>
                          <pic:cNvPr descr="manuscript_files/figure-docx/fig-technological-consistency-1.png" id="45" name="Picture"/>
                          <pic:cNvPicPr>
                            <a:picLocks noChangeArrowheads="1" noChangeAspect="1"/>
                          </pic:cNvPicPr>
                        </pic:nvPicPr>
                        <pic:blipFill>
                          <a:blip r:embed="rId43"/>
                          <a:stretch>
                            <a:fillRect/>
                          </a:stretch>
                        </pic:blipFill>
                        <pic:spPr bwMode="auto">
                          <a:xfrm>
                            <a:off x="0" y="0"/>
                            <a:ext cx="5403966" cy="7391527"/>
                          </a:xfrm>
                          <a:prstGeom prst="rect">
                            <a:avLst/>
                          </a:prstGeom>
                          <a:noFill/>
                          <a:ln w="9525">
                            <a:noFill/>
                            <a:headEnd/>
                            <a:tailEnd/>
                          </a:ln>
                        </pic:spPr>
                      </pic:pic>
                    </a:graphicData>
                  </a:graphic>
                </wp:inline>
              </w:drawing>
            </w:r>
          </w:p>
          <w:p>
            <w:pPr>
              <w:jc w:val="center"/>
            </w:pPr>
            <w:pPr>
              <w:jc w:val="left"/>
              <w:spacing w:before="200"/>
              <w:pStyle w:val="ImageCaption"/>
            </w:pPr>
            <w:r>
              <w:t xml:space="preserve">Fig. 6: Technological consistency of surface Quina scrapers with the excavated Longtan Quina scrapers, against Longtan non-Quina scrapers as a control, on six technical variables. (A) PCA of the z-scored technical space, with convex hulls, group centroids, variable loadings, and marginal histograms of the PC1 and PC2 scores by group. (B) Per-variable distributions with pairwise post-hoc brackets (ns / * / ** / *** / ****).</w:t>
            </w:r>
          </w:p>
          <w:bookmarkEnd w:id="46"/>
        </w:tc>
      </w:tr>
    </w:tbl>
    <w:p>
      <w:pPr>
        <w:pStyle w:val="BodyText"/>
      </w:pPr>
      <w:r>
        <w:t xml:space="preserve">The control group is what makes this result interpretable. A non-significant difference is not enough by itself evidence of similarity: it may equally reflect variables too blunt to separate anything, or a sample too small to detect what is there. Because the same six variables separate Quina from non-Quina scrapers with relative higher</w:t>
      </w:r>
      <w:r>
        <w:t xml:space="preserve"> </w:t>
      </w:r>
      <w:r>
        <w:rPr>
          <w:i/>
          <w:iCs/>
        </w:rPr>
        <w:t xml:space="preserve">R</w:t>
      </w:r>
      <w:r>
        <w:t xml:space="preserve">², they are demonstrably capable of resolving technological differences of the kind at issue here. What this establishes is not that the two groups are identical, which no test can show, but that any difference between them is far smaller than the difference that distinguishes Quina from non-Quina scrapers work.</w:t>
      </w:r>
    </w:p>
    <w:p>
      <w:pPr>
        <w:pStyle w:val="BodyText"/>
      </w:pPr>
      <w:r>
        <w:t xml:space="preserve">The univariate results follow the same pattern. None of the six variables differs between the two Quina groups, while every one of them differs between each Quina group and the non-Quina scrapers (</w:t>
      </w:r>
      <w:hyperlink w:anchor="fig-technological-consistency">
        <w:r>
          <w:rPr>
            <w:rStyle w:val="Hyperlink"/>
          </w:rPr>
          <w:t xml:space="preserve">Fig. 6</w:t>
        </w:r>
      </w:hyperlink>
      <w:r>
        <w:t xml:space="preserve">). Agreement therefore holds not only in the multi-dimension technological space but in each of its component measures.</w:t>
      </w:r>
    </w:p>
    <w:p>
      <w:pPr>
        <w:pStyle w:val="BodyText"/>
      </w:pPr>
      <w:r>
        <w:t xml:space="preserve">Consistency of this concerns the position of group centroids, and two assemblages could share a centroid while differing in how widely they vary around it. PERMDISP shows that they do not. The mean distance to centroid is almost the same in the two Quina groups (2.10 and 2.02;</w:t>
      </w:r>
      <w:r>
        <w:t xml:space="preserve"> </w:t>
      </w:r>
      <w:r>
        <w:rPr>
          <w:i/>
          <w:iCs/>
        </w:rPr>
        <w:t xml:space="preserve">F</w:t>
      </w:r>
      <w:r>
        <w:t xml:space="preserve"> </w:t>
      </w:r>
      <w:r>
        <w:t xml:space="preserve">= 0.35,</w:t>
      </w:r>
      <w:r>
        <w:t xml:space="preserve"> </w:t>
      </w:r>
      <w:r>
        <w:rPr>
          <w:i/>
          <w:iCs/>
        </w:rPr>
        <w:t xml:space="preserve">p</w:t>
      </w:r>
      <w:r>
        <w:t xml:space="preserve"> </w:t>
      </w:r>
      <w:r>
        <w:t xml:space="preserve">= 0.558), whereas the non-Quina scrapers are less dispersed (1.54) and differ significantly from both (</w:t>
      </w:r>
      <w:r>
        <w:rPr>
          <w:i/>
          <w:iCs/>
        </w:rPr>
        <w:t xml:space="preserve">F</w:t>
      </w:r>
      <w:r>
        <w:t xml:space="preserve"> </w:t>
      </w:r>
      <w:r>
        <w:t xml:space="preserve">= 17.0–25.9,</w:t>
      </w:r>
      <w:r>
        <w:t xml:space="preserve"> </w:t>
      </w:r>
      <w:r>
        <w:rPr>
          <w:i/>
          <w:iCs/>
        </w:rPr>
        <w:t xml:space="preserve">p</w:t>
      </w:r>
      <w:r>
        <w:t xml:space="preserve"> </w:t>
      </w:r>
      <w:r>
        <w:t xml:space="preserve">&lt; 0.001 in each case). Here again the control group establishes that the analysis can detect a real difference in dispersion where one exists, so that the absence of such a difference between the Quina groups is not a matter of sensitivity. The univariate dispersion tests agree: neither the KL-MSLRT nor the Fligner–Killeen tests detect any difference in variability between the two Quina groups (</w:t>
      </w:r>
      <w:hyperlink w:anchor="tbl-dispersion-tests">
        <w:r>
          <w:rPr>
            <w:rStyle w:val="Hyperlink"/>
          </w:rPr>
          <w:t xml:space="preserve">Table 4</w:t>
        </w:r>
      </w:hyperlink>
      <w:r>
        <w:t xml:space="preserve">), and every dispersion ratio has a confidence interval containing one.</w:t>
      </w:r>
    </w:p>
    <w:tbl>
      <w:tblPr>
        <w:tblStyle w:val="Table"/>
        <w:tblW w:type="pct" w:w="5000"/>
        <w:tblLayout w:type="fixed"/>
        <w:tblLook w:firstRow="0" w:lastRow="0" w:firstColumn="0" w:lastColumn="0" w:noHBand="0" w:noVBand="0" w:val="0000"/>
      </w:tblPr>
      <w:tblGrid>
        <w:gridCol w:w="7920"/>
      </w:tblGrid>
      <w:tr>
        <w:tc>
          <w:tcPr/>
          <w:bookmarkStart w:id="47" w:name="tbl-dispersion-tests"/>
          <w:p>
            <w:pPr>
              <w:jc w:val="center"/>
            </w:pPr>
            <w:pPr>
              <w:jc w:val="left"/>
              <w:spacing w:before="200"/>
              <w:pStyle w:val="ImageCaption"/>
            </w:pPr>
            <w:r>
              <w:t xml:space="preserve">Table 4: Univariate dispersion of the surface Quina scrapers against the Longtan Quina scrapers. Each family is summarised by the dispersion measure appropriate to its scale of measurement and tested by the corresponding procedure; the ratio is surface over Longtan, so that one denotes equal dispersion, and its interval is a bootstrap percentile interval. The statistic is the MSLRT for the coefficient of variation and the Fligner–Killeen chi-squared elsewhere.</w:t>
            </w:r>
          </w:p>
          <w:tbl>
            <w:tblPr>
              <w:tblStyle w:val="Table"/>
              <w:tblW w:type="pct" w:w="5000"/>
              <w:tblLayout w:type="fixed"/>
              <w:tblLook w:firstRow="1" w:lastRow="0" w:firstColumn="0" w:lastColumn="0" w:noHBand="0" w:noVBand="0" w:val="0020"/>
            </w:tblPr>
            <w:tblGrid>
              <w:gridCol w:w="3877"/>
              <w:gridCol w:w="660"/>
              <w:gridCol w:w="660"/>
              <w:gridCol w:w="1402"/>
              <w:gridCol w:w="825"/>
              <w:gridCol w:w="495"/>
            </w:tblGrid>
            <w:tr>
              <w:trPr>
                <w:tblHeader w:val="on"/>
              </w:trPr>
              <w:tc>
                <w:tcPr/>
                <w:p>
                  <w:pPr>
                    <w:pStyle w:val="Compact"/>
                    <w:jc w:val="left"/>
                    <w:jc w:val="center"/>
                  </w:pPr>
                  <w:r>
                    <w:t xml:space="preserve">Variable</w:t>
                  </w:r>
                </w:p>
              </w:tc>
              <w:tc>
                <w:tcPr/>
                <w:p>
                  <w:pPr>
                    <w:pStyle w:val="Compact"/>
                    <w:jc w:val="right"/>
                    <w:jc w:val="center"/>
                  </w:pPr>
                  <w:r>
                    <w:t xml:space="preserve">Surface</w:t>
                  </w:r>
                </w:p>
              </w:tc>
              <w:tc>
                <w:tcPr/>
                <w:p>
                  <w:pPr>
                    <w:pStyle w:val="Compact"/>
                    <w:jc w:val="right"/>
                    <w:jc w:val="center"/>
                  </w:pPr>
                  <w:r>
                    <w:t xml:space="preserve">Longtan</w:t>
                  </w:r>
                </w:p>
              </w:tc>
              <w:tc>
                <w:tcPr/>
                <w:p>
                  <w:pPr>
                    <w:pStyle w:val="Compact"/>
                    <w:jc w:val="right"/>
                    <w:jc w:val="center"/>
                  </w:pPr>
                  <w:r>
                    <w:t xml:space="preserve">Ratio (95% CI)</w:t>
                  </w:r>
                </w:p>
              </w:tc>
              <w:tc>
                <w:tcPr/>
                <w:p>
                  <w:pPr>
                    <w:pStyle w:val="Compact"/>
                    <w:jc w:val="right"/>
                    <w:jc w:val="center"/>
                  </w:pPr>
                  <w:r>
                    <w:t xml:space="preserve">Statistic</w:t>
                  </w:r>
                </w:p>
              </w:tc>
              <w:tc>
                <w:tcPr/>
                <w:p>
                  <w:pPr>
                    <w:pStyle w:val="Compact"/>
                    <w:jc w:val="right"/>
                    <w:jc w:val="center"/>
                  </w:pPr>
                  <w:r>
                    <w:rPr>
                      <w:i/>
                      <w:iCs/>
                    </w:rPr>
                    <w:t xml:space="preserve">p</w:t>
                  </w:r>
                </w:p>
              </w:tc>
            </w:tr>
            <w:tr>
              <w:tc>
                <w:tcPr/>
                <w:p>
                  <w:pPr>
                    <w:pStyle w:val="Compact"/>
                    <w:jc w:val="left"/>
                    <w:jc w:val="center"/>
                  </w:pPr>
                  <w:r>
                    <w:rPr>
                      <w:b/>
                      <w:bCs/>
                    </w:rPr>
                    <w:t xml:space="preserve">Coefficient of variation (CV*), KL-MSLRT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Length (mm)</w:t>
                  </w:r>
                </w:p>
              </w:tc>
              <w:tc>
                <w:tcPr/>
                <w:p>
                  <w:pPr>
                    <w:pStyle w:val="Compact"/>
                    <w:jc w:val="right"/>
                    <w:jc w:val="center"/>
                  </w:pPr>
                  <w:r>
                    <w:t xml:space="preserve">0.226</w:t>
                  </w:r>
                </w:p>
              </w:tc>
              <w:tc>
                <w:tcPr/>
                <w:p>
                  <w:pPr>
                    <w:pStyle w:val="Compact"/>
                    <w:jc w:val="right"/>
                    <w:jc w:val="center"/>
                  </w:pPr>
                  <w:r>
                    <w:t xml:space="preserve">0.194</w:t>
                  </w:r>
                </w:p>
              </w:tc>
              <w:tc>
                <w:tcPr/>
                <w:p>
                  <w:pPr>
                    <w:pStyle w:val="Compact"/>
                    <w:jc w:val="right"/>
                    <w:jc w:val="center"/>
                  </w:pPr>
                  <w:r>
                    <w:t xml:space="preserve">1.17 (0.96–1.45)</w:t>
                  </w:r>
                </w:p>
              </w:tc>
              <w:tc>
                <w:tcPr/>
                <w:p>
                  <w:pPr>
                    <w:pStyle w:val="Compact"/>
                    <w:jc w:val="right"/>
                    <w:jc w:val="center"/>
                  </w:pPr>
                  <w:r>
                    <w:t xml:space="preserve">1.82</w:t>
                  </w:r>
                </w:p>
              </w:tc>
              <w:tc>
                <w:tcPr/>
                <w:p>
                  <w:pPr>
                    <w:pStyle w:val="Compact"/>
                    <w:jc w:val="right"/>
                    <w:jc w:val="center"/>
                  </w:pPr>
                  <w:r>
                    <w:t xml:space="preserve">0.178</w:t>
                  </w:r>
                </w:p>
              </w:tc>
            </w:tr>
            <w:tr>
              <w:tc>
                <w:tcPr/>
                <w:p>
                  <w:pPr>
                    <w:pStyle w:val="Compact"/>
                    <w:jc w:val="left"/>
                    <w:jc w:val="center"/>
                  </w:pPr>
                  <w:r>
                    <w:t xml:space="preserve">   Width (mm)</w:t>
                  </w:r>
                </w:p>
              </w:tc>
              <w:tc>
                <w:tcPr/>
                <w:p>
                  <w:pPr>
                    <w:pStyle w:val="Compact"/>
                    <w:jc w:val="right"/>
                    <w:jc w:val="center"/>
                  </w:pPr>
                  <w:r>
                    <w:t xml:space="preserve">0.259</w:t>
                  </w:r>
                </w:p>
              </w:tc>
              <w:tc>
                <w:tcPr/>
                <w:p>
                  <w:pPr>
                    <w:pStyle w:val="Compact"/>
                    <w:jc w:val="right"/>
                    <w:jc w:val="center"/>
                  </w:pPr>
                  <w:r>
                    <w:t xml:space="preserve">0.236</w:t>
                  </w:r>
                </w:p>
              </w:tc>
              <w:tc>
                <w:tcPr/>
                <w:p>
                  <w:pPr>
                    <w:pStyle w:val="Compact"/>
                    <w:jc w:val="right"/>
                    <w:jc w:val="center"/>
                  </w:pPr>
                  <w:r>
                    <w:t xml:space="preserve">1.10 (0.91–1.36)</w:t>
                  </w:r>
                </w:p>
              </w:tc>
              <w:tc>
                <w:tcPr/>
                <w:p>
                  <w:pPr>
                    <w:pStyle w:val="Compact"/>
                    <w:jc w:val="right"/>
                    <w:jc w:val="center"/>
                  </w:pPr>
                  <w:r>
                    <w:t xml:space="preserve">0.694</w:t>
                  </w:r>
                </w:p>
              </w:tc>
              <w:tc>
                <w:tcPr/>
                <w:p>
                  <w:pPr>
                    <w:pStyle w:val="Compact"/>
                    <w:jc w:val="right"/>
                    <w:jc w:val="center"/>
                  </w:pPr>
                  <w:r>
                    <w:t xml:space="preserve">0.405</w:t>
                  </w:r>
                </w:p>
              </w:tc>
            </w:tr>
            <w:tr>
              <w:tc>
                <w:tcPr/>
                <w:p>
                  <w:pPr>
                    <w:pStyle w:val="Compact"/>
                    <w:jc w:val="left"/>
                    <w:jc w:val="center"/>
                  </w:pPr>
                  <w:r>
                    <w:t xml:space="preserve">   Thickness (mm)</w:t>
                  </w:r>
                </w:p>
              </w:tc>
              <w:tc>
                <w:tcPr/>
                <w:p>
                  <w:pPr>
                    <w:pStyle w:val="Compact"/>
                    <w:jc w:val="right"/>
                    <w:jc w:val="center"/>
                  </w:pPr>
                  <w:r>
                    <w:t xml:space="preserve">0.295</w:t>
                  </w:r>
                </w:p>
              </w:tc>
              <w:tc>
                <w:tcPr/>
                <w:p>
                  <w:pPr>
                    <w:pStyle w:val="Compact"/>
                    <w:jc w:val="right"/>
                    <w:jc w:val="center"/>
                  </w:pPr>
                  <w:r>
                    <w:t xml:space="preserve">0.253</w:t>
                  </w:r>
                </w:p>
              </w:tc>
              <w:tc>
                <w:tcPr/>
                <w:p>
                  <w:pPr>
                    <w:pStyle w:val="Compact"/>
                    <w:jc w:val="right"/>
                    <w:jc w:val="center"/>
                  </w:pPr>
                  <w:r>
                    <w:t xml:space="preserve">1.16 (0.95–1.47)</w:t>
                  </w:r>
                </w:p>
              </w:tc>
              <w:tc>
                <w:tcPr/>
                <w:p>
                  <w:pPr>
                    <w:pStyle w:val="Compact"/>
                    <w:jc w:val="right"/>
                    <w:jc w:val="center"/>
                  </w:pPr>
                  <w:r>
                    <w:t xml:space="preserve">1.71</w:t>
                  </w:r>
                </w:p>
              </w:tc>
              <w:tc>
                <w:tcPr/>
                <w:p>
                  <w:pPr>
                    <w:pStyle w:val="Compact"/>
                    <w:jc w:val="right"/>
                    <w:jc w:val="center"/>
                  </w:pPr>
                  <w:r>
                    <w:t xml:space="preserve">0.191</w:t>
                  </w:r>
                </w:p>
              </w:tc>
            </w:tr>
            <w:tr>
              <w:tc>
                <w:tcPr/>
                <w:p>
                  <w:pPr>
                    <w:pStyle w:val="Compact"/>
                    <w:jc w:val="left"/>
                    <w:jc w:val="center"/>
                  </w:pPr>
                  <w:r>
                    <w:t xml:space="preserve">   Mass (g)</w:t>
                  </w:r>
                </w:p>
              </w:tc>
              <w:tc>
                <w:tcPr/>
                <w:p>
                  <w:pPr>
                    <w:pStyle w:val="Compact"/>
                    <w:jc w:val="right"/>
                    <w:jc w:val="center"/>
                  </w:pPr>
                  <w:r>
                    <w:t xml:space="preserve">0.775</w:t>
                  </w:r>
                </w:p>
              </w:tc>
              <w:tc>
                <w:tcPr/>
                <w:p>
                  <w:pPr>
                    <w:pStyle w:val="Compact"/>
                    <w:jc w:val="right"/>
                    <w:jc w:val="center"/>
                  </w:pPr>
                  <w:r>
                    <w:t xml:space="preserve">0.663</w:t>
                  </w:r>
                </w:p>
              </w:tc>
              <w:tc>
                <w:tcPr/>
                <w:p>
                  <w:pPr>
                    <w:pStyle w:val="Compact"/>
                    <w:jc w:val="right"/>
                    <w:jc w:val="center"/>
                  </w:pPr>
                  <w:r>
                    <w:t xml:space="preserve">1.17 (0.84–1.66)</w:t>
                  </w:r>
                </w:p>
              </w:tc>
              <w:tc>
                <w:tcPr/>
                <w:p>
                  <w:pPr>
                    <w:pStyle w:val="Compact"/>
                    <w:jc w:val="right"/>
                    <w:jc w:val="center"/>
                  </w:pPr>
                  <w:r>
                    <w:t xml:space="preserve">1.04</w:t>
                  </w:r>
                </w:p>
              </w:tc>
              <w:tc>
                <w:tcPr/>
                <w:p>
                  <w:pPr>
                    <w:pStyle w:val="Compact"/>
                    <w:jc w:val="right"/>
                    <w:jc w:val="center"/>
                  </w:pPr>
                  <w:r>
                    <w:t xml:space="preserve">0.308</w:t>
                  </w:r>
                </w:p>
              </w:tc>
            </w:tr>
            <w:tr>
              <w:tc>
                <w:tcPr/>
                <w:p>
                  <w:pPr>
                    <w:pStyle w:val="Compact"/>
                    <w:jc w:val="left"/>
                    <w:jc w:val="center"/>
                  </w:pPr>
                  <w:r>
                    <w:t xml:space="preserve">   Edge angle (°)</w:t>
                  </w:r>
                </w:p>
              </w:tc>
              <w:tc>
                <w:tcPr/>
                <w:p>
                  <w:pPr>
                    <w:pStyle w:val="Compact"/>
                    <w:jc w:val="right"/>
                    <w:jc w:val="center"/>
                  </w:pPr>
                  <w:r>
                    <w:t xml:space="preserve">0.116</w:t>
                  </w:r>
                </w:p>
              </w:tc>
              <w:tc>
                <w:tcPr/>
                <w:p>
                  <w:pPr>
                    <w:pStyle w:val="Compact"/>
                    <w:jc w:val="right"/>
                    <w:jc w:val="center"/>
                  </w:pPr>
                  <w:r>
                    <w:t xml:space="preserve">0.108</w:t>
                  </w:r>
                </w:p>
              </w:tc>
              <w:tc>
                <w:tcPr/>
                <w:p>
                  <w:pPr>
                    <w:pStyle w:val="Compact"/>
                    <w:jc w:val="right"/>
                    <w:jc w:val="center"/>
                  </w:pPr>
                  <w:r>
                    <w:t xml:space="preserve">1.08 (0.86–1.40)</w:t>
                  </w:r>
                </w:p>
              </w:tc>
              <w:tc>
                <w:tcPr/>
                <w:p>
                  <w:pPr>
                    <w:pStyle w:val="Compact"/>
                    <w:jc w:val="right"/>
                    <w:jc w:val="center"/>
                  </w:pPr>
                  <w:r>
                    <w:t xml:space="preserve">0.548</w:t>
                  </w:r>
                </w:p>
              </w:tc>
              <w:tc>
                <w:tcPr/>
                <w:p>
                  <w:pPr>
                    <w:pStyle w:val="Compact"/>
                    <w:jc w:val="right"/>
                    <w:jc w:val="center"/>
                  </w:pPr>
                  <w:r>
                    <w:t xml:space="preserve">0.459</w:t>
                  </w:r>
                </w:p>
              </w:tc>
            </w:tr>
            <w:tr>
              <w:tc>
                <w:tcPr/>
                <w:p>
                  <w:pPr>
                    <w:pStyle w:val="Compact"/>
                    <w:jc w:val="left"/>
                    <w:jc w:val="center"/>
                  </w:pPr>
                  <w:r>
                    <w:rPr>
                      <w:b/>
                      <w:bCs/>
                    </w:rPr>
                    <w:t xml:space="preserve">Median absolute deviation, Fligner–Killeen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GIUR</w:t>
                  </w:r>
                </w:p>
              </w:tc>
              <w:tc>
                <w:tcPr/>
                <w:p>
                  <w:pPr>
                    <w:pStyle w:val="Compact"/>
                    <w:jc w:val="right"/>
                    <w:jc w:val="center"/>
                  </w:pPr>
                  <w:r>
                    <w:t xml:space="preserve">0.236</w:t>
                  </w:r>
                </w:p>
              </w:tc>
              <w:tc>
                <w:tcPr/>
                <w:p>
                  <w:pPr>
                    <w:pStyle w:val="Compact"/>
                    <w:jc w:val="right"/>
                    <w:jc w:val="center"/>
                  </w:pPr>
                  <w:r>
                    <w:t xml:space="preserve">0.180</w:t>
                  </w:r>
                </w:p>
              </w:tc>
              <w:tc>
                <w:tcPr/>
                <w:p>
                  <w:pPr>
                    <w:pStyle w:val="Compact"/>
                    <w:jc w:val="right"/>
                    <w:jc w:val="center"/>
                  </w:pPr>
                  <w:r>
                    <w:t xml:space="preserve">1.31 (0.80–1.88)</w:t>
                  </w:r>
                </w:p>
              </w:tc>
              <w:tc>
                <w:tcPr/>
                <w:p>
                  <w:pPr>
                    <w:pStyle w:val="Compact"/>
                    <w:jc w:val="right"/>
                    <w:jc w:val="center"/>
                  </w:pPr>
                  <w:r>
                    <w:t xml:space="preserve">0.608</w:t>
                  </w:r>
                </w:p>
              </w:tc>
              <w:tc>
                <w:tcPr/>
                <w:p>
                  <w:pPr>
                    <w:pStyle w:val="Compact"/>
                    <w:jc w:val="right"/>
                    <w:jc w:val="center"/>
                  </w:pPr>
                  <w:r>
                    <w:t xml:space="preserve">0.435</w:t>
                  </w:r>
                </w:p>
              </w:tc>
            </w:tr>
            <w:tr>
              <w:tc>
                <w:tcPr/>
                <w:p>
                  <w:pPr>
                    <w:pStyle w:val="Compact"/>
                    <w:jc w:val="left"/>
                    <w:jc w:val="center"/>
                  </w:pPr>
                  <w:r>
                    <w:t xml:space="preserve">   Retouched perimeter</w:t>
                  </w:r>
                </w:p>
              </w:tc>
              <w:tc>
                <w:tcPr/>
                <w:p>
                  <w:pPr>
                    <w:pStyle w:val="Compact"/>
                    <w:jc w:val="right"/>
                    <w:jc w:val="center"/>
                  </w:pPr>
                  <w:r>
                    <w:t xml:space="preserve">0.205</w:t>
                  </w:r>
                </w:p>
              </w:tc>
              <w:tc>
                <w:tcPr/>
                <w:p>
                  <w:pPr>
                    <w:pStyle w:val="Compact"/>
                    <w:jc w:val="right"/>
                    <w:jc w:val="center"/>
                  </w:pPr>
                  <w:r>
                    <w:t xml:space="preserve">0.188</w:t>
                  </w:r>
                </w:p>
              </w:tc>
              <w:tc>
                <w:tcPr/>
                <w:p>
                  <w:pPr>
                    <w:pStyle w:val="Compact"/>
                    <w:jc w:val="right"/>
                    <w:jc w:val="center"/>
                  </w:pPr>
                  <w:r>
                    <w:t xml:space="preserve">1.09 (0.72–2.01)</w:t>
                  </w:r>
                </w:p>
              </w:tc>
              <w:tc>
                <w:tcPr/>
                <w:p>
                  <w:pPr>
                    <w:pStyle w:val="Compact"/>
                    <w:jc w:val="right"/>
                    <w:jc w:val="center"/>
                  </w:pPr>
                  <w:r>
                    <w:t xml:space="preserve">0.005</w:t>
                  </w:r>
                </w:p>
              </w:tc>
              <w:tc>
                <w:tcPr/>
                <w:p>
                  <w:pPr>
                    <w:pStyle w:val="Compact"/>
                    <w:jc w:val="right"/>
                    <w:jc w:val="center"/>
                  </w:pPr>
                  <w:r>
                    <w:t xml:space="preserve">0.945</w:t>
                  </w:r>
                </w:p>
              </w:tc>
            </w:tr>
            <w:tr>
              <w:tc>
                <w:tcPr/>
                <w:p>
                  <w:pPr>
                    <w:pStyle w:val="Compact"/>
                    <w:jc w:val="left"/>
                    <w:jc w:val="center"/>
                  </w:pPr>
                  <w:r>
                    <w:rPr>
                      <w:b/>
                      <w:bCs/>
                    </w:rPr>
                    <w:t xml:space="preserve">Fano factor, Fligner–Killeen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Total scars</w:t>
                  </w:r>
                </w:p>
              </w:tc>
              <w:tc>
                <w:tcPr/>
                <w:p>
                  <w:pPr>
                    <w:pStyle w:val="Compact"/>
                    <w:jc w:val="right"/>
                    <w:jc w:val="center"/>
                  </w:pPr>
                  <w:r>
                    <w:t xml:space="preserve">9.11</w:t>
                  </w:r>
                </w:p>
              </w:tc>
              <w:tc>
                <w:tcPr/>
                <w:p>
                  <w:pPr>
                    <w:pStyle w:val="Compact"/>
                    <w:jc w:val="right"/>
                    <w:jc w:val="center"/>
                  </w:pPr>
                  <w:r>
                    <w:t xml:space="preserve">6.57</w:t>
                  </w:r>
                </w:p>
              </w:tc>
              <w:tc>
                <w:tcPr/>
                <w:p>
                  <w:pPr>
                    <w:pStyle w:val="Compact"/>
                    <w:jc w:val="right"/>
                    <w:jc w:val="center"/>
                  </w:pPr>
                  <w:r>
                    <w:t xml:space="preserve">1.39 (0.82–2.43)</w:t>
                  </w:r>
                </w:p>
              </w:tc>
              <w:tc>
                <w:tcPr/>
                <w:p>
                  <w:pPr>
                    <w:pStyle w:val="Compact"/>
                    <w:jc w:val="right"/>
                    <w:jc w:val="center"/>
                  </w:pPr>
                  <w:r>
                    <w:t xml:space="preserve">0.005</w:t>
                  </w:r>
                </w:p>
              </w:tc>
              <w:tc>
                <w:tcPr/>
                <w:p>
                  <w:pPr>
                    <w:pStyle w:val="Compact"/>
                    <w:jc w:val="right"/>
                    <w:jc w:val="center"/>
                  </w:pPr>
                  <w:r>
                    <w:t xml:space="preserve">0.944</w:t>
                  </w:r>
                </w:p>
              </w:tc>
            </w:tr>
            <w:tr>
              <w:tc>
                <w:tcPr/>
                <w:p>
                  <w:pPr>
                    <w:pStyle w:val="Compact"/>
                    <w:jc w:val="left"/>
                    <w:jc w:val="center"/>
                  </w:pPr>
                  <w:r>
                    <w:t xml:space="preserve">   Retouch generations</w:t>
                  </w:r>
                </w:p>
              </w:tc>
              <w:tc>
                <w:tcPr/>
                <w:p>
                  <w:pPr>
                    <w:pStyle w:val="Compact"/>
                    <w:jc w:val="right"/>
                    <w:jc w:val="center"/>
                  </w:pPr>
                  <w:r>
                    <w:t xml:space="preserve">0.159</w:t>
                  </w:r>
                </w:p>
              </w:tc>
              <w:tc>
                <w:tcPr/>
                <w:p>
                  <w:pPr>
                    <w:pStyle w:val="Compact"/>
                    <w:jc w:val="right"/>
                    <w:jc w:val="center"/>
                  </w:pPr>
                  <w:r>
                    <w:t xml:space="preserve">0.190</w:t>
                  </w:r>
                </w:p>
              </w:tc>
              <w:tc>
                <w:tcPr/>
                <w:p>
                  <w:pPr>
                    <w:pStyle w:val="Compact"/>
                    <w:jc w:val="right"/>
                    <w:jc w:val="center"/>
                  </w:pPr>
                  <w:r>
                    <w:t xml:space="preserve">0.84 (0.64–1.17)</w:t>
                  </w:r>
                </w:p>
              </w:tc>
              <w:tc>
                <w:tcPr/>
                <w:p>
                  <w:pPr>
                    <w:pStyle w:val="Compact"/>
                    <w:jc w:val="right"/>
                    <w:jc w:val="center"/>
                  </w:pPr>
                  <w:r>
                    <w:t xml:space="preserve">0.398</w:t>
                  </w:r>
                </w:p>
              </w:tc>
              <w:tc>
                <w:tcPr/>
                <w:p>
                  <w:pPr>
                    <w:pStyle w:val="Compact"/>
                    <w:jc w:val="right"/>
                    <w:jc w:val="center"/>
                  </w:pPr>
                  <w:r>
                    <w:t xml:space="preserve">0.528</w:t>
                  </w:r>
                </w:p>
              </w:tc>
            </w:tr>
          </w:tbl>
          <w:bookmarkEnd w:id="47"/>
          <w:p/>
        </w:tc>
      </w:tr>
    </w:tbl>
    <w:p>
      <w:pPr>
        <w:pStyle w:val="BodyText"/>
      </w:pPr>
      <w:r>
        <w:t xml:space="preserve">These results are not driven by the material belongs to Longtan surface collections. Repeating the analyses with the surface specimens collected from within the area of the site removed leaves them unchanged. The two Quina groups remain indistinguishable both in centroid position (</w:t>
      </w:r>
      <w:r>
        <w:rPr>
          <w:i/>
          <w:iCs/>
        </w:rPr>
        <w:t xml:space="preserve">R</w:t>
      </w:r>
      <w:r>
        <w:t xml:space="preserve">² = 0.005, pseudo-</w:t>
      </w:r>
      <w:r>
        <w:rPr>
          <w:i/>
          <w:iCs/>
        </w:rPr>
        <w:t xml:space="preserve">F</w:t>
      </w:r>
      <w:r>
        <w:t xml:space="preserve"> </w:t>
      </w:r>
      <w:r>
        <w:t xml:space="preserve">= 1.11,</w:t>
      </w:r>
      <w:r>
        <w:t xml:space="preserve"> </w:t>
      </w:r>
      <w:r>
        <w:rPr>
          <w:i/>
          <w:iCs/>
        </w:rPr>
        <w:t xml:space="preserve">p</w:t>
      </w:r>
      <w:r>
        <w:t xml:space="preserve"> </w:t>
      </w:r>
      <w:r>
        <w:t xml:space="preserve">= 0.976) and in dispersion (</w:t>
      </w:r>
      <w:r>
        <w:rPr>
          <w:i/>
          <w:iCs/>
        </w:rPr>
        <w:t xml:space="preserve">F</w:t>
      </w:r>
      <w:r>
        <w:t xml:space="preserve"> </w:t>
      </w:r>
      <w:r>
        <w:t xml:space="preserve">= 0.23,</w:t>
      </w:r>
      <w:r>
        <w:t xml:space="preserve"> </w:t>
      </w:r>
      <w:r>
        <w:rPr>
          <w:i/>
          <w:iCs/>
        </w:rPr>
        <w:t xml:space="preserve">p</w:t>
      </w:r>
      <w:r>
        <w:t xml:space="preserve"> </w:t>
      </w:r>
      <w:r>
        <w:t xml:space="preserve">= 0.624), while both remain separated from the non-Quina scrapers in centroid position (</w:t>
      </w:r>
      <w:r>
        <w:rPr>
          <w:i/>
          <w:iCs/>
        </w:rPr>
        <w:t xml:space="preserve">R</w:t>
      </w:r>
      <w:r>
        <w:t xml:space="preserve">² = 0.319–0.360, pseudo-</w:t>
      </w:r>
      <w:r>
        <w:rPr>
          <w:i/>
          <w:iCs/>
        </w:rPr>
        <w:t xml:space="preserve">F</w:t>
      </w:r>
      <w:r>
        <w:t xml:space="preserve"> </w:t>
      </w:r>
      <w:r>
        <w:t xml:space="preserve">= 73.3–106.1,</w:t>
      </w:r>
      <w:r>
        <w:t xml:space="preserve"> </w:t>
      </w:r>
      <w:r>
        <w:rPr>
          <w:i/>
          <w:iCs/>
        </w:rPr>
        <w:t xml:space="preserve">p</w:t>
      </w:r>
      <w:r>
        <w:t xml:space="preserve"> </w:t>
      </w:r>
      <w:r>
        <w:t xml:space="preserve">&lt; 0.001) and significantly more dispersed than them (</w:t>
      </w:r>
      <w:r>
        <w:rPr>
          <w:i/>
          <w:iCs/>
        </w:rPr>
        <w:t xml:space="preserve">F</w:t>
      </w:r>
      <w:r>
        <w:t xml:space="preserve"> </w:t>
      </w:r>
      <w:r>
        <w:t xml:space="preserve">= 16.9–24.6,</w:t>
      </w:r>
      <w:r>
        <w:t xml:space="preserve"> </w:t>
      </w:r>
      <w:r>
        <w:rPr>
          <w:i/>
          <w:iCs/>
        </w:rPr>
        <w:t xml:space="preserve">p</w:t>
      </w:r>
      <w:r>
        <w:t xml:space="preserve"> </w:t>
      </w:r>
      <w:r>
        <w:t xml:space="preserve">&lt; 0.001). The agreement documented here therefore reflects the surface collections as a whole rather than a single locality or a local peculiarity of sampling.</w:t>
      </w:r>
    </w:p>
    <w:p>
      <w:pPr>
        <w:pStyle w:val="BodyText"/>
      </w:pPr>
      <w:r>
        <w:t xml:space="preserve">Taken together, in centroid position and in dispersion alike, the surface Quina scrapers and the excavated Quina scrapers from Longtan cannot be told apart on measurements that readily separate both from other retouched scrapers at the same site. They are most economically understood as the products of a single technological concept.</w:t>
      </w:r>
    </w:p>
    <w:p>
      <w:pPr>
        <w:pStyle w:val="BodyText"/>
      </w:pPr>
      <w:r>
        <w:rPr>
          <w:u w:val="single"/>
        </w:rPr>
        <w:t xml:space="preserve">Landscape structure.</w:t>
      </w:r>
      <w:r>
        <w:t xml:space="preserve"> </w:t>
      </w:r>
      <w:r>
        <w:t xml:space="preserve">Technological variation is not structured by position in the landscape. Across the 26 localities that yielded measurable Quina scrapers, no landscape variable accounts for an appreciable share of the variation in the six technological measures: assemblage size (</w:t>
      </w:r>
      <w:r>
        <w:rPr>
          <w:i/>
          <w:iCs/>
        </w:rPr>
        <w:t xml:space="preserve">R</w:t>
      </w:r>
      <w:r>
        <w:t xml:space="preserve">² = 0.006, pseudo-</w:t>
      </w:r>
      <w:r>
        <w:rPr>
          <w:i/>
          <w:iCs/>
        </w:rPr>
        <w:t xml:space="preserve">F</w:t>
      </w:r>
      <w:r>
        <w:t xml:space="preserve"> </w:t>
      </w:r>
      <w:r>
        <w:t xml:space="preserve">= 0.140,</w:t>
      </w:r>
      <w:r>
        <w:t xml:space="preserve"> </w:t>
      </w:r>
      <w:r>
        <w:rPr>
          <w:i/>
          <w:iCs/>
        </w:rPr>
        <w:t xml:space="preserve">p</w:t>
      </w:r>
      <w:r>
        <w:t xml:space="preserve"> </w:t>
      </w:r>
      <w:r>
        <w:t xml:space="preserve">= 0.970), basin (</w:t>
      </w:r>
      <w:r>
        <w:rPr>
          <w:i/>
          <w:iCs/>
        </w:rPr>
        <w:t xml:space="preserve">R</w:t>
      </w:r>
      <w:r>
        <w:t xml:space="preserve">² = 0.011, pseudo-</w:t>
      </w:r>
      <w:r>
        <w:rPr>
          <w:i/>
          <w:iCs/>
        </w:rPr>
        <w:t xml:space="preserve">F</w:t>
      </w:r>
      <w:r>
        <w:t xml:space="preserve"> </w:t>
      </w:r>
      <w:r>
        <w:t xml:space="preserve">= 0.265,</w:t>
      </w:r>
      <w:r>
        <w:t xml:space="preserve"> </w:t>
      </w:r>
      <w:r>
        <w:rPr>
          <w:i/>
          <w:iCs/>
        </w:rPr>
        <w:t xml:space="preserve">p</w:t>
      </w:r>
      <w:r>
        <w:t xml:space="preserve"> </w:t>
      </w:r>
      <w:r>
        <w:t xml:space="preserve">= 0.909), distance to the nearest channel (</w:t>
      </w:r>
      <w:r>
        <w:rPr>
          <w:i/>
          <w:iCs/>
        </w:rPr>
        <w:t xml:space="preserve">R</w:t>
      </w:r>
      <w:r>
        <w:t xml:space="preserve">² = 0.031, pseudo-</w:t>
      </w:r>
      <w:r>
        <w:rPr>
          <w:i/>
          <w:iCs/>
        </w:rPr>
        <w:t xml:space="preserve">F</w:t>
      </w:r>
      <w:r>
        <w:t xml:space="preserve"> </w:t>
      </w:r>
      <w:r>
        <w:t xml:space="preserve">= 0.761,</w:t>
      </w:r>
      <w:r>
        <w:t xml:space="preserve"> </w:t>
      </w:r>
      <w:r>
        <w:rPr>
          <w:i/>
          <w:iCs/>
        </w:rPr>
        <w:t xml:space="preserve">p</w:t>
      </w:r>
      <w:r>
        <w:t xml:space="preserve"> </w:t>
      </w:r>
      <w:r>
        <w:t xml:space="preserve">= 0.513), and height above that channel (</w:t>
      </w:r>
      <w:r>
        <w:rPr>
          <w:i/>
          <w:iCs/>
        </w:rPr>
        <w:t xml:space="preserve">R</w:t>
      </w:r>
      <w:r>
        <w:t xml:space="preserve">² = 0.036, pseudo-</w:t>
      </w:r>
      <w:r>
        <w:rPr>
          <w:i/>
          <w:iCs/>
        </w:rPr>
        <w:t xml:space="preserve">F</w:t>
      </w:r>
      <w:r>
        <w:t xml:space="preserve"> </w:t>
      </w:r>
      <w:r>
        <w:t xml:space="preserve">= 0.906,</w:t>
      </w:r>
      <w:r>
        <w:t xml:space="preserve"> </w:t>
      </w:r>
      <w:r>
        <w:rPr>
          <w:i/>
          <w:iCs/>
        </w:rPr>
        <w:t xml:space="preserve">p</w:t>
      </w:r>
      <w:r>
        <w:t xml:space="preserve"> </w:t>
      </w:r>
      <w:r>
        <w:t xml:space="preserve">= 0.443). These low</w:t>
      </w:r>
      <w:r>
        <w:t xml:space="preserve"> </w:t>
      </w:r>
      <w:r>
        <w:rPr>
          <w:i/>
          <w:iCs/>
        </w:rPr>
        <w:t xml:space="preserve">R</w:t>
      </w:r>
      <w:r>
        <w:t xml:space="preserve">² indicate that landscape variables had little explanatory power for technological variation in Quina scrapers, provide no evidence for a structured spatial influence.</w:t>
      </w:r>
    </w:p>
    <w:p>
      <w:pPr>
        <w:pStyle w:val="BodyText"/>
      </w:pPr>
      <w:r>
        <w:t xml:space="preserve">One weak pattern nevertheless runs in a direction worth noting. All six technological measures correlate positively with distance to the nearest channel (Spearman’s ρ = 0.14–0.37;</w:t>
      </w:r>
      <w:r>
        <w:t xml:space="preserve"> </w:t>
      </w:r>
      <w:hyperlink w:anchor="tbl-distance-correlations">
        <w:r>
          <w:rPr>
            <w:rStyle w:val="Hyperlink"/>
          </w:rPr>
          <w:t xml:space="preserve">Table 5</w:t>
        </w:r>
      </w:hyperlink>
      <w:r>
        <w:t xml:space="preserve">), so that Quina scrapers from localities further from a channel tend to be thicker and more heavily reduced. The direction is the one predicted by work on the European Quina, where prolonged reduction are more pronounced at localities without ready access to abundant raw materials</w:t>
      </w:r>
      <w:r>
        <w:t xml:space="preserve"> </w:t>
      </w:r>
      <w:r>
        <w:t xml:space="preserve">(Hiscock et al., 2009; Turq, 2000)</w:t>
      </w:r>
      <w:r>
        <w:t xml:space="preserve">. Two qualifications limit what can be made of this. No individual correlation reaches significance at this sample size, and the six measures are not independent of one another: edge angle covaries with GIUR, with the proportion of retouched edge and with the number of retouch generations (Section 4.2.1;</w:t>
      </w:r>
      <w:r>
        <w:t xml:space="preserve"> </w:t>
      </w:r>
      <w:hyperlink w:anchor="fig-edge-angle-reduction">
        <w:r>
          <w:rPr>
            <w:rStyle w:val="Hyperlink"/>
          </w:rPr>
          <w:t xml:space="preserve">Fig. 4</w:t>
        </w:r>
      </w:hyperlink>
      <w:r>
        <w:t xml:space="preserve">), so that the concordance of six coefficients does not amount to six independent confirmations. We therefore record the pattern as consistent with an established expectation, and as a hypothesis for landscape-scale work with larger samples, rather than as a demonstrated gradient.</w:t>
      </w:r>
    </w:p>
    <w:tbl>
      <w:tblPr>
        <w:tblStyle w:val="Table"/>
        <w:tblW w:type="pct" w:w="5000"/>
        <w:tblLayout w:type="fixed"/>
        <w:tblLook w:firstRow="0" w:lastRow="0" w:firstColumn="0" w:lastColumn="0" w:noHBand="0" w:noVBand="0" w:val="0000"/>
      </w:tblPr>
      <w:tblGrid>
        <w:gridCol w:w="7920"/>
      </w:tblGrid>
      <w:tr>
        <w:tc>
          <w:tcPr/>
          <w:bookmarkStart w:id="48" w:name="tbl-distance-correlations"/>
          <w:p>
            <w:pPr>
              <w:jc w:val="center"/>
            </w:pPr>
            <w:pPr>
              <w:jc w:val="left"/>
              <w:spacing w:before="200"/>
              <w:pStyle w:val="ImageCaption"/>
            </w:pPr>
            <w:r>
              <w:t xml:space="preserve">Table 5: Spearman rank correlation of each technological measure with distance to the nearest present-day channel. The unit is the locality, not the specimen: each locality that yielded measurable Quina scrapers is represented by the median of those scrapers, and the count of localities is given in the text. The interval on ρ is a bootstrap percentile interval over localities; adjusted</w:t>
            </w:r>
            <w:r>
              <w:t xml:space="preserve"> </w:t>
            </w:r>
            <w:r>
              <w:rPr>
                <w:i/>
                <w:iCs/>
              </w:rPr>
              <w:t xml:space="preserve">p</w:t>
            </w:r>
            <w:r>
              <w:t xml:space="preserve"> </w:t>
            </w:r>
            <w:r>
              <w:t xml:space="preserve">is the Bonferroni adjustment across the six tests.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Measure</w:t>
                  </w:r>
                </w:p>
              </w:tc>
              <w:tc>
                <w:tcPr/>
                <w:p>
                  <w:pPr>
                    <w:pStyle w:val="Compact"/>
                    <w:jc w:val="right"/>
                    <w:jc w:val="center"/>
                  </w:pPr>
                  <w:r>
                    <w:t xml:space="preserve">ρ</w:t>
                  </w:r>
                </w:p>
              </w:tc>
              <w:tc>
                <w:tcPr/>
                <w:p>
                  <w:pPr>
                    <w:pStyle w:val="Compact"/>
                    <w:jc w:val="right"/>
                    <w:jc w:val="center"/>
                  </w:pPr>
                  <w:r>
                    <w:t xml:space="preserve">95% CI</w:t>
                  </w:r>
                </w:p>
              </w:tc>
              <w:tc>
                <w:tcPr/>
                <w:p>
                  <w:pPr>
                    <w:pStyle w:val="Compact"/>
                    <w:jc w:val="right"/>
                    <w:jc w:val="center"/>
                  </w:pPr>
                  <w:r>
                    <w:rPr>
                      <w:i/>
                      <w:iCs/>
                    </w:rPr>
                    <w:t xml:space="preserve">p</w:t>
                  </w:r>
                </w:p>
              </w:tc>
              <w:tc>
                <w:tcPr/>
                <w:p>
                  <w:pPr>
                    <w:pStyle w:val="Compact"/>
                    <w:jc w:val="right"/>
                    <w:jc w:val="center"/>
                  </w:pPr>
                  <w:r>
                    <w:t xml:space="preserve">Adjusted</w:t>
                  </w:r>
                  <w:r>
                    <w:t xml:space="preserve"> </w:t>
                  </w:r>
                  <w:r>
                    <w:rPr>
                      <w:i/>
                      <w:iCs/>
                    </w:rPr>
                    <w:t xml:space="preserve">p</w:t>
                  </w:r>
                </w:p>
              </w:tc>
            </w:tr>
            <w:tr>
              <w:tc>
                <w:tcPr/>
                <w:p>
                  <w:pPr>
                    <w:pStyle w:val="Compact"/>
                    <w:jc w:val="left"/>
                    <w:jc w:val="center"/>
                  </w:pPr>
                  <w:r>
                    <w:t xml:space="preserve">Retouched perimeter</w:t>
                  </w:r>
                </w:p>
              </w:tc>
              <w:tc>
                <w:tcPr/>
                <w:p>
                  <w:pPr>
                    <w:pStyle w:val="Compact"/>
                    <w:jc w:val="right"/>
                    <w:jc w:val="center"/>
                  </w:pPr>
                  <w:r>
                    <w:t xml:space="preserve">0.37</w:t>
                  </w:r>
                </w:p>
              </w:tc>
              <w:tc>
                <w:tcPr/>
                <w:p>
                  <w:pPr>
                    <w:pStyle w:val="Compact"/>
                    <w:jc w:val="right"/>
                    <w:jc w:val="center"/>
                  </w:pPr>
                  <w:r>
                    <w:t xml:space="preserve">-0.05 to 0.69</w:t>
                  </w:r>
                </w:p>
              </w:tc>
              <w:tc>
                <w:tcPr/>
                <w:p>
                  <w:pPr>
                    <w:pStyle w:val="Compact"/>
                    <w:jc w:val="right"/>
                    <w:jc w:val="center"/>
                  </w:pPr>
                  <w:r>
                    <w:t xml:space="preserve">0.066</w:t>
                  </w:r>
                </w:p>
              </w:tc>
              <w:tc>
                <w:tcPr/>
                <w:p>
                  <w:pPr>
                    <w:pStyle w:val="Compact"/>
                    <w:jc w:val="right"/>
                    <w:jc w:val="center"/>
                  </w:pPr>
                  <w:r>
                    <w:t xml:space="preserve">0.398</w:t>
                  </w:r>
                </w:p>
              </w:tc>
            </w:tr>
            <w:tr>
              <w:tc>
                <w:tcPr/>
                <w:p>
                  <w:pPr>
                    <w:pStyle w:val="Compact"/>
                    <w:jc w:val="left"/>
                    <w:jc w:val="center"/>
                  </w:pPr>
                  <w:r>
                    <w:t xml:space="preserve">Thickness (mm)</w:t>
                  </w:r>
                </w:p>
              </w:tc>
              <w:tc>
                <w:tcPr/>
                <w:p>
                  <w:pPr>
                    <w:pStyle w:val="Compact"/>
                    <w:jc w:val="right"/>
                    <w:jc w:val="center"/>
                  </w:pPr>
                  <w:r>
                    <w:t xml:space="preserve">0.32</w:t>
                  </w:r>
                </w:p>
              </w:tc>
              <w:tc>
                <w:tcPr/>
                <w:p>
                  <w:pPr>
                    <w:pStyle w:val="Compact"/>
                    <w:jc w:val="right"/>
                    <w:jc w:val="center"/>
                  </w:pPr>
                  <w:r>
                    <w:t xml:space="preserve">-0.10 to 0.64</w:t>
                  </w:r>
                </w:p>
              </w:tc>
              <w:tc>
                <w:tcPr/>
                <w:p>
                  <w:pPr>
                    <w:pStyle w:val="Compact"/>
                    <w:jc w:val="right"/>
                    <w:jc w:val="center"/>
                  </w:pPr>
                  <w:r>
                    <w:t xml:space="preserve">0.111</w:t>
                  </w:r>
                </w:p>
              </w:tc>
              <w:tc>
                <w:tcPr/>
                <w:p>
                  <w:pPr>
                    <w:pStyle w:val="Compact"/>
                    <w:jc w:val="right"/>
                    <w:jc w:val="center"/>
                  </w:pPr>
                  <w:r>
                    <w:t xml:space="preserve">0.668</w:t>
                  </w:r>
                </w:p>
              </w:tc>
            </w:tr>
            <w:tr>
              <w:tc>
                <w:tcPr/>
                <w:p>
                  <w:pPr>
                    <w:pStyle w:val="Compact"/>
                    <w:jc w:val="left"/>
                    <w:jc w:val="center"/>
                  </w:pPr>
                  <w:r>
                    <w:t xml:space="preserve">Retouch generations</w:t>
                  </w:r>
                </w:p>
              </w:tc>
              <w:tc>
                <w:tcPr/>
                <w:p>
                  <w:pPr>
                    <w:pStyle w:val="Compact"/>
                    <w:jc w:val="right"/>
                    <w:jc w:val="center"/>
                  </w:pPr>
                  <w:r>
                    <w:t xml:space="preserve">0.28</w:t>
                  </w:r>
                </w:p>
              </w:tc>
              <w:tc>
                <w:tcPr/>
                <w:p>
                  <w:pPr>
                    <w:pStyle w:val="Compact"/>
                    <w:jc w:val="right"/>
                    <w:jc w:val="center"/>
                  </w:pPr>
                  <w:r>
                    <w:t xml:space="preserve">-0.12 to 0.59</w:t>
                  </w:r>
                </w:p>
              </w:tc>
              <w:tc>
                <w:tcPr/>
                <w:p>
                  <w:pPr>
                    <w:pStyle w:val="Compact"/>
                    <w:jc w:val="right"/>
                    <w:jc w:val="center"/>
                  </w:pPr>
                  <w:r>
                    <w:t xml:space="preserve">0.161</w:t>
                  </w:r>
                </w:p>
              </w:tc>
              <w:tc>
                <w:tcPr/>
                <w:p>
                  <w:pPr>
                    <w:pStyle w:val="Compact"/>
                    <w:jc w:val="right"/>
                    <w:jc w:val="center"/>
                  </w:pPr>
                  <w:r>
                    <w:t xml:space="preserve">0.963</w:t>
                  </w:r>
                </w:p>
              </w:tc>
            </w:tr>
            <w:tr>
              <w:tc>
                <w:tcPr/>
                <w:p>
                  <w:pPr>
                    <w:pStyle w:val="Compact"/>
                    <w:jc w:val="left"/>
                    <w:jc w:val="center"/>
                  </w:pPr>
                  <w:r>
                    <w:t xml:space="preserve">GIUR</w:t>
                  </w:r>
                </w:p>
              </w:tc>
              <w:tc>
                <w:tcPr/>
                <w:p>
                  <w:pPr>
                    <w:pStyle w:val="Compact"/>
                    <w:jc w:val="right"/>
                    <w:jc w:val="center"/>
                  </w:pPr>
                  <w:r>
                    <w:t xml:space="preserve">0.22</w:t>
                  </w:r>
                </w:p>
              </w:tc>
              <w:tc>
                <w:tcPr/>
                <w:p>
                  <w:pPr>
                    <w:pStyle w:val="Compact"/>
                    <w:jc w:val="right"/>
                    <w:jc w:val="center"/>
                  </w:pPr>
                  <w:r>
                    <w:t xml:space="preserve">-0.23 to 0.63</w:t>
                  </w:r>
                </w:p>
              </w:tc>
              <w:tc>
                <w:tcPr/>
                <w:p>
                  <w:pPr>
                    <w:pStyle w:val="Compact"/>
                    <w:jc w:val="right"/>
                    <w:jc w:val="center"/>
                  </w:pPr>
                  <w:r>
                    <w:t xml:space="preserve">0.274</w:t>
                  </w:r>
                </w:p>
              </w:tc>
              <w:tc>
                <w:tcPr/>
                <w:p>
                  <w:pPr>
                    <w:pStyle w:val="Compact"/>
                    <w:jc w:val="right"/>
                    <w:jc w:val="center"/>
                  </w:pPr>
                  <w:r>
                    <w:t xml:space="preserve">1.000</w:t>
                  </w:r>
                </w:p>
              </w:tc>
            </w:tr>
            <w:tr>
              <w:tc>
                <w:tcPr/>
                <w:p>
                  <w:pPr>
                    <w:pStyle w:val="Compact"/>
                    <w:jc w:val="left"/>
                    <w:jc w:val="center"/>
                  </w:pPr>
                  <w:r>
                    <w:t xml:space="preserve">Total scars</w:t>
                  </w:r>
                </w:p>
              </w:tc>
              <w:tc>
                <w:tcPr/>
                <w:p>
                  <w:pPr>
                    <w:pStyle w:val="Compact"/>
                    <w:jc w:val="right"/>
                    <w:jc w:val="center"/>
                  </w:pPr>
                  <w:r>
                    <w:t xml:space="preserve">0.18</w:t>
                  </w:r>
                </w:p>
              </w:tc>
              <w:tc>
                <w:tcPr/>
                <w:p>
                  <w:pPr>
                    <w:pStyle w:val="Compact"/>
                    <w:jc w:val="right"/>
                    <w:jc w:val="center"/>
                  </w:pPr>
                  <w:r>
                    <w:t xml:space="preserve">-0.21 to 0.51</w:t>
                  </w:r>
                </w:p>
              </w:tc>
              <w:tc>
                <w:tcPr/>
                <w:p>
                  <w:pPr>
                    <w:pStyle w:val="Compact"/>
                    <w:jc w:val="right"/>
                    <w:jc w:val="center"/>
                  </w:pPr>
                  <w:r>
                    <w:t xml:space="preserve">0.381</w:t>
                  </w:r>
                </w:p>
              </w:tc>
              <w:tc>
                <w:tcPr/>
                <w:p>
                  <w:pPr>
                    <w:pStyle w:val="Compact"/>
                    <w:jc w:val="right"/>
                    <w:jc w:val="center"/>
                  </w:pPr>
                  <w:r>
                    <w:t xml:space="preserve">1.000</w:t>
                  </w:r>
                </w:p>
              </w:tc>
            </w:tr>
            <w:tr>
              <w:tc>
                <w:tcPr/>
                <w:p>
                  <w:pPr>
                    <w:pStyle w:val="Compact"/>
                    <w:jc w:val="left"/>
                    <w:jc w:val="center"/>
                  </w:pPr>
                  <w:r>
                    <w:t xml:space="preserve">Edge angle (°)</w:t>
                  </w:r>
                </w:p>
              </w:tc>
              <w:tc>
                <w:tcPr/>
                <w:p>
                  <w:pPr>
                    <w:pStyle w:val="Compact"/>
                    <w:jc w:val="right"/>
                    <w:jc w:val="center"/>
                  </w:pPr>
                  <w:r>
                    <w:t xml:space="preserve">0.14</w:t>
                  </w:r>
                </w:p>
              </w:tc>
              <w:tc>
                <w:tcPr/>
                <w:p>
                  <w:pPr>
                    <w:pStyle w:val="Compact"/>
                    <w:jc w:val="right"/>
                    <w:jc w:val="center"/>
                  </w:pPr>
                  <w:r>
                    <w:t xml:space="preserve">-0.27 to 0.51</w:t>
                  </w:r>
                </w:p>
              </w:tc>
              <w:tc>
                <w:tcPr/>
                <w:p>
                  <w:pPr>
                    <w:pStyle w:val="Compact"/>
                    <w:jc w:val="right"/>
                    <w:jc w:val="center"/>
                  </w:pPr>
                  <w:r>
                    <w:t xml:space="preserve">0.492</w:t>
                  </w:r>
                </w:p>
              </w:tc>
              <w:tc>
                <w:tcPr/>
                <w:p>
                  <w:pPr>
                    <w:pStyle w:val="Compact"/>
                    <w:jc w:val="right"/>
                    <w:jc w:val="center"/>
                  </w:pPr>
                  <w:r>
                    <w:t xml:space="preserve">1.000</w:t>
                  </w:r>
                </w:p>
              </w:tc>
            </w:tr>
          </w:tbl>
          <w:bookmarkEnd w:id="48"/>
          <w:p/>
        </w:tc>
      </w:tr>
    </w:tbl>
    <w:p>
      <w:pPr>
        <w:pStyle w:val="BodyText"/>
      </w:pPr>
      <w:r>
        <w:t xml:space="preserve">Across the study area, Quina scraper production in essentially the same way, regardless of the basin in which a locality occurs, its elevation above the channel, its distance from water, or the size of the assemblage it has yielded. Such homogeneity under contrasting landscape conditions is not unexpected but is precisely the pattern predicted for a consistently maintained technological system. The absence of landscape structuring should therefore be interpreted not as a lack of detectable variation, but as evidence for the repeated application of a shared technological concept across the region.</w:t>
      </w:r>
    </w:p>
    <w:bookmarkEnd w:id="49"/>
    <w:bookmarkEnd w:id="50"/>
    <w:bookmarkEnd w:id="51"/>
    <w:bookmarkStart w:id="52" w:name="discussion"/>
    <w:p>
      <w:pPr>
        <w:pStyle w:val="Heading1"/>
      </w:pPr>
      <w:r>
        <w:t xml:space="preserve">5. Discussion</w:t>
      </w:r>
    </w:p>
    <w:p>
      <w:pPr>
        <w:pStyle w:val="FirstParagraph"/>
      </w:pPr>
      <w:r>
        <w:t xml:space="preserve">The Quina material from these two basins is the product of a single technological concept, which we refer to as the Quina Valley. Three lines of evidence converge on that conclusion. In raw material economy, the surface collections and the excavated assemblage at Longtan alike show a strong preference for trachyte, and that preference holds across the study area even though the gravel bars themselves vary significantly in composition from valley to valley. In technology, the scrapers display the diagnostic attributes of the Quina system: thick, asymmetric blanks with a back formed by cortex or by earlier removals; successive generations of retouch; the rhythmic alternation of convex and concave removals; and the continued production of resharpening flakes, some of which were used or reworked in turn. In their distribution across the landscape, neither technological characteristics nor raw material selection varies systematically with basin, height above the channel, distance to water or assemblage size. What the surface collections record, in other words, is not a scatter of superficially similar pieces but the repeated application of one way of working stone across a defined region.</w:t>
      </w:r>
    </w:p>
    <w:p>
      <w:pPr>
        <w:pStyle w:val="BodyText"/>
      </w:pPr>
      <w:r>
        <w:t xml:space="preserve">Longtan is therefore no longer a single case. Its interpretation has been questioned by</w:t>
      </w:r>
      <w:r>
        <w:t xml:space="preserve"> </w:t>
      </w:r>
      <w:r>
        <w:t xml:space="preserve">Bourguignon et al. (2025)</w:t>
      </w:r>
      <w:r>
        <w:t xml:space="preserve"> </w:t>
      </w:r>
      <w:r>
        <w:t xml:space="preserve">and answered by</w:t>
      </w:r>
      <w:r>
        <w:t xml:space="preserve"> </w:t>
      </w:r>
      <w:r>
        <w:t xml:space="preserve">Ruan et al. (2025a)</w:t>
      </w:r>
      <w:r>
        <w:t xml:space="preserve">. Part of that exchange rested on a misreading: the original report had left the origin of the Longtan Quina explicitly open, had itself doubted that the assemblage reflected European influence, on the grounds that dispersal should have left Quina systems across Central and South Asia where none has been reported, and had already advanced context-specific convergence as a plausible hypothesis. On the substantive points the reply set out the interdependence of flaking, retouch and ramification that makes the system techno-economic rather than typological; the flake thickness, asymmetry and cortex distribution that distinguish Quina blanks and cores from discoidal products; the proportion of grains accepted by the Bayesian OSL model, 60 to 83 per cent by sample; and the absence of size sorting, preferential orientation and appreciable inclination in Layer 3, consistent with in situ deposition.</w:t>
      </w:r>
    </w:p>
    <w:p>
      <w:pPr>
        <w:pStyle w:val="BodyText"/>
      </w:pPr>
      <w:r>
        <w:t xml:space="preserve">The exchange nonetheless concerned what a single assemblage can be asked to carry, and it is on that point that the present study bears. Across several valleys and several terrace levels in two basins, assemblages appear that agree with Longtan in raw material selection, in blank selection, in the manner of retouch and in the degree to which tools were reduced. This recurrence is independent of the label: what the surface collections establish is that one techno-economic system, defined by the attributes measured above, was applied repeatedly across a defined region, and that finding holds whether or not its affinity with the European Quina is granted. These collections have no independent age control, and none is claimed for them; what their recurrence establishes is distributional rather than chronological.</w:t>
      </w:r>
    </w:p>
    <w:p>
      <w:pPr>
        <w:pStyle w:val="BodyText"/>
      </w:pPr>
      <w:r>
        <w:t xml:space="preserve">Quina-style artefacts are not confined to this region. Comparable material has been reported from Dahe in Fuyuan, Yunnan</w:t>
      </w:r>
      <w:r>
        <w:t xml:space="preserve"> </w:t>
      </w:r>
      <w:r>
        <w:t xml:space="preserve">(Ji, 2008)</w:t>
      </w:r>
      <w:r>
        <w:t xml:space="preserve">, and Baicaoping in Liangshan, Sichuan</w:t>
      </w:r>
      <w:r>
        <w:t xml:space="preserve"> </w:t>
      </w:r>
      <w:r>
        <w:t xml:space="preserve">(Zheng et al., 2025)</w:t>
      </w:r>
      <w:r>
        <w:t xml:space="preserve">, in southwestern China, and from Xinmiaozhuang in Yangyuan, Hebei</w:t>
      </w:r>
      <w:r>
        <w:t xml:space="preserve"> </w:t>
      </w:r>
      <w:r>
        <w:t xml:space="preserve">(Wang et al., 2021)</w:t>
      </w:r>
      <w:r>
        <w:t xml:space="preserve">, in the north. Most of these assemblages have not been analysed technologically, and whether they represent the Quina system or Quina retouch alone remains open. They are best treated for the moment as leads rather than as established occurrences. The pattern documented here is of a different kind: within the Hengduan Mountains, the Quina system is a recurrent and identifiable regional entity, and the scattered reports elsewhere in China suggest that its distribution in East Asia may prove wider still.</w:t>
      </w:r>
    </w:p>
    <w:p>
      <w:pPr>
        <w:pStyle w:val="BodyText"/>
      </w:pPr>
      <w:r>
        <w:t xml:space="preserve">Whether the same technology in two regions implies any connection between the hominins who made it is a question the evidence cannot settle, and the more productive line is to ask what problem the technology solved. In Europe that problem is reasonably well understood. The prey on which Quina groups depended were partitioned by topography rather than distributed evenly, reindeer occupying the ground between uplands and plain in a landscape of plateaux dissected by deep valleys, other species holding lower or more sheltered positions</w:t>
      </w:r>
      <w:r>
        <w:t xml:space="preserve"> </w:t>
      </w:r>
      <w:r>
        <w:t xml:space="preserve">(Delpech, 1996)</w:t>
      </w:r>
      <w:r>
        <w:t xml:space="preserve">, so that movement was scheduled rather than opportunistic</w:t>
      </w:r>
      <w:r>
        <w:t xml:space="preserve"> </w:t>
      </w:r>
      <w:r>
        <w:t xml:space="preserve">(Delagnes and Rendu, 2011)</w:t>
      </w:r>
      <w:r>
        <w:t xml:space="preserve">. Groups moving on such a schedule faced two problems at once: staying equipped while away from sources of stone, and not knowing in advance which tasks a given season and location would present. The three dimensions of the Quina system answer them in turn, in a reserve of volume that travels, an edge that can be restored without recourse to new stone, and a tool that can yield fresh edges of a different kind as needs change</w:t>
      </w:r>
      <w:r>
        <w:t xml:space="preserve"> </w:t>
      </w:r>
      <w:r>
        <w:t xml:space="preserve">(Hiscock et al., 2009)</w:t>
      </w:r>
      <w:r>
        <w:t xml:space="preserve">.</w:t>
      </w:r>
    </w:p>
    <w:p>
      <w:pPr>
        <w:pStyle w:val="BodyText"/>
      </w:pPr>
      <w:r>
        <w:t xml:space="preserve">The setting on the southeastern margin of the Tibetan Plateau is not the European one, but it is likely to have posed a problem of the same structure. The regional monsoon record places the occupation at the transition from MIS 4 to MIS 3, when a recovering monsoon was repeatedly interrupted, and the pollen record at Longtan registers a local shift towards more open vegetation across the same interval</w:t>
      </w:r>
      <w:r>
        <w:t xml:space="preserve"> </w:t>
      </w:r>
      <w:r>
        <w:t xml:space="preserve">(Ruan et al., 2025b)</w:t>
      </w:r>
      <w:r>
        <w:t xml:space="preserve">; in relief of this amplitude a valley-floor pollen spectrum integrates several altitudinal belts, so that shift is better read as a relative trend than as a measure of how open the ground immediately around the site had become. What can be said about the structure of such a landscape comes from its modern counterparts. Dry-hot valleys of the Jinsha drainage today carry a strongly seasonal, rain-shadowed climate in which annual evaporation greatly exceeds rainfall, and in which surface water is concentrated onto the valley floors, where groundwater draining from the flanking uplands sustains the rivers [Li et al. 2025]; their vegetation is zoned by altitude, from savanna on the valley floors through transitional formations to forest on the surrounding heights [Jiang et al. 2024]. It is the topographic partitioning rather than the particular vegetation that is likely to have persisted: whatever the detailed palaeo-configuration, water and forage in a valley system of this relief would have been distributed unevenly with respect to elevation rather than uniformly across the terrain.</w:t>
      </w:r>
    </w:p>
    <w:p>
      <w:pPr>
        <w:pStyle w:val="BodyText"/>
      </w:pPr>
      <w:r>
        <w:t xml:space="preserve">Both landscapes were open, and in that respect the comparison is unremarkable: openness alone is compatible with many regimes of resource distribution, including some that place no premium on mobility. What the two settings share is more specific. In each, the resources on which hominins depended were organised seasonally and partitioned by relief, by the topographic separation of plateau, valley and plain in southwestern France</w:t>
      </w:r>
      <w:r>
        <w:t xml:space="preserve"> </w:t>
      </w:r>
      <w:r>
        <w:t xml:space="preserve">(Delpech, 1996)</w:t>
      </w:r>
      <w:r>
        <w:t xml:space="preserve"> </w:t>
      </w:r>
      <w:r>
        <w:t xml:space="preserve">and by the altitudinal zonation of water and forage here. In southwestern France this structure is expressed in a settlement system of seasonally relocated camps with hunting and processing locations operating as satellites around them</w:t>
      </w:r>
      <w:r>
        <w:t xml:space="preserve"> </w:t>
      </w:r>
      <w:r>
        <w:t xml:space="preserve">(Delagnes and Rendu, 2011)</w:t>
      </w:r>
      <w:r>
        <w:t xml:space="preserve">; for the Hengduan valleys no such inference can be drawn from surface material, and what the landscape indicates is only that resources of this distribution are more readily reached by moving through it than from a single fixed base. The difference lies in what produced that structure, glacial aridity in one case and monsoon seasonality in the other, and in the stone that was available to work; but the properties selected for are the same ones the European Quina is held to require, sizeable clasts of fine-grained rock</w:t>
      </w:r>
      <w:r>
        <w:t xml:space="preserve"> </w:t>
      </w:r>
      <w:r>
        <w:t xml:space="preserve">(Delagnes and Rendu, 2011)</w:t>
      </w:r>
      <w:r>
        <w:t xml:space="preserve">, satisfied there by flint and here by trachyte. One term in the argument is untested. In the European sequence it runs from prey structure through mobility to technology and rests on faunal assemblages; no fauna has been analysed from the Quina Valley, so the mobility to which the technology is here related is inferred from the landscape rather than observed in it.</w:t>
      </w:r>
    </w:p>
    <w:p>
      <w:pPr>
        <w:pStyle w:val="BodyText"/>
      </w:pPr>
      <w:r>
        <w:t xml:space="preserve">A shared problem of this kind provides a mechanism for convergence, and would allow two regions with no contact between them to arrive at technological solutions that are functionally alike. The Quina Valley is on this reading a techno-economic adaptation to a landscape whose resources had to be reached by moving through it. Diffusion cannot be ruled out, however. Quina technology in the western Old World is closely associated with Neanderthals, and the boundaries of their range continue to be redrawn, so the question of origin is better left open at this stage than closed by the argument that is presently most economical.</w:t>
      </w:r>
    </w:p>
    <w:p>
      <w:pPr>
        <w:pStyle w:val="BodyText"/>
      </w:pPr>
      <w:r>
        <w:t xml:space="preserve">The Quina Valley also bears on a longer-standing question about the East Asian Middle Palaeolithic. The recent recognition of Levallois and Discoid technology in China has already made it difficult to hold that lithic technology there was lacking innovation before the Upper Palaeolithic</w:t>
      </w:r>
      <w:r>
        <w:t xml:space="preserve"> </w:t>
      </w:r>
      <w:r>
        <w:t xml:space="preserve">(Hu et al., 2024; Li et al., 2018; Li et al., 2019; Ruan et al., 2025b)</w:t>
      </w:r>
      <w:r>
        <w:t xml:space="preserve">, and the Quina system at Longtan added a further technology to the complex scenario. The present study shows that this is not an isolated occurrence but a way of working stone applied repeatedly across a region, and it offers a frame of reference for the assemblages elsewhere in China where Quina-like site has been reported but not yet analysed.</w:t>
      </w:r>
    </w:p>
    <w:p>
      <w:pPr>
        <w:pStyle w:val="BodyText"/>
      </w:pPr>
      <w:r>
        <w:t xml:space="preserve">Four limitations qualify these results. The surface collections have no independent age control, so the recurrence documented here is a spatial pattern rather than a demonstrated contemporaneity; the shared technological concept, however, holds whether or not the assemblages are of one age. Cores and flakes were not analysed and blank production is inferred from the attributes of the blanks themselves, so the first of the three dimensions rests on indirect evidence, while the other two are documented directly and in quantity. No local palaeoclimate record is available for the Binchuan Basin, and the regional setting is inferred from the Heqing sequence, which is treated throughout as context rather than as a local proxy. Most consequentially, as noted above, no fauna has been analysed from the Quina Valley, leaving the link from prey structure through mobility to technology untested. Further excavation at Tianhuadong Cave, and the recovery of primary-context assemblages in the Binchuan Basin, would supply the cores, the absolute ages and the faunal record that surface material cannot.</w:t>
      </w:r>
    </w:p>
    <w:bookmarkEnd w:id="52"/>
    <w:bookmarkStart w:id="53" w:name="conclusions"/>
    <w:p>
      <w:pPr>
        <w:pStyle w:val="Heading1"/>
      </w:pPr>
      <w:r>
        <w:t xml:space="preserve">6. Conclusions</w:t>
      </w:r>
    </w:p>
    <w:bookmarkEnd w:id="53"/>
    <w:bookmarkStart w:id="54" w:name="credit-author-statement"/>
    <w:p>
      <w:pPr>
        <w:pStyle w:val="Heading1"/>
      </w:pPr>
      <w:r>
        <w:t xml:space="preserve">CRediT author statement</w:t>
      </w:r>
    </w:p>
    <w:bookmarkEnd w:id="54"/>
    <w:bookmarkStart w:id="55" w:name="declaration-of-competing-interest"/>
    <w:p>
      <w:pPr>
        <w:pStyle w:val="Heading1"/>
      </w:pPr>
      <w:r>
        <w:t xml:space="preserve">Declaration of competing interest</w:t>
      </w:r>
    </w:p>
    <w:bookmarkEnd w:id="55"/>
    <w:bookmarkStart w:id="56" w:name="funding"/>
    <w:p>
      <w:pPr>
        <w:pStyle w:val="Heading1"/>
      </w:pPr>
      <w:r>
        <w:t xml:space="preserve">Funding</w:t>
      </w:r>
    </w:p>
    <w:bookmarkEnd w:id="56"/>
    <w:bookmarkStart w:id="57" w:name="data-availability"/>
    <w:p>
      <w:pPr>
        <w:pStyle w:val="Heading1"/>
      </w:pPr>
      <w:r>
        <w:t xml:space="preserve">Data availability</w:t>
      </w:r>
    </w:p>
    <w:bookmarkEnd w:id="57"/>
    <w:bookmarkStart w:id="58" w:name="acknowledgements"/>
    <w:p>
      <w:pPr>
        <w:pStyle w:val="Heading1"/>
      </w:pPr>
      <w:r>
        <w:t xml:space="preserve">Acknowledgements</w:t>
      </w:r>
    </w:p>
    <w:p>
      <w:r>
        <w:br w:type="page"/>
      </w:r>
    </w:p>
    <w:bookmarkEnd w:id="58"/>
    <w:bookmarkStart w:id="157" w:name="references"/>
    <w:p>
      <w:pPr>
        <w:pStyle w:val="Heading1"/>
      </w:pPr>
      <w:r>
        <w:t xml:space="preserve">References</w:t>
      </w:r>
    </w:p>
    <w:bookmarkStart w:id="155" w:name="refs"/>
    <w:bookmarkStart w:id="60" w:name="ref-agamInterpretingQuinaDemiQuina2020"/>
    <w:p>
      <w:pPr>
        <w:pStyle w:val="Bibliography"/>
      </w:pPr>
      <w:r>
        <w:t xml:space="preserve">Agam, A., Zupancich, A., 2020. Interpreting the quina and demi-quina scrapers from acheulo-yabrudian qesem cave, israel: Results of raw materials and functional analyses. Journal of Human Evolution 144, 102798.</w:t>
      </w:r>
      <w:r>
        <w:t xml:space="preserve"> </w:t>
      </w:r>
      <w:hyperlink r:id="rId59">
        <w:r>
          <w:rPr>
            <w:rStyle w:val="Hyperlink"/>
          </w:rPr>
          <w:t xml:space="preserve">https://doi.org/10.1016/j.jhevol.2020.102798</w:t>
        </w:r>
      </w:hyperlink>
    </w:p>
    <w:bookmarkEnd w:id="60"/>
    <w:bookmarkStart w:id="61" w:name="ref-binfordbinford1966"/>
    <w:p>
      <w:pPr>
        <w:pStyle w:val="Bibliography"/>
      </w:pPr>
      <w:r>
        <w:t xml:space="preserve">Binford, L.R., Binford, S.R., 1966. A preliminary analysis of functional variability in the</w:t>
      </w:r>
      <w:r>
        <w:t xml:space="preserve"> </w:t>
      </w:r>
      <w:r>
        <w:t xml:space="preserve">Mousterian</w:t>
      </w:r>
      <w:r>
        <w:t xml:space="preserve"> </w:t>
      </w:r>
      <w:r>
        <w:t xml:space="preserve">of</w:t>
      </w:r>
      <w:r>
        <w:t xml:space="preserve"> </w:t>
      </w:r>
      <w:r>
        <w:t xml:space="preserve">Levallois</w:t>
      </w:r>
      <w:r>
        <w:t xml:space="preserve"> </w:t>
      </w:r>
      <w:r>
        <w:t xml:space="preserve">facies. American Anthropologist 68, 238–295.</w:t>
      </w:r>
    </w:p>
    <w:bookmarkEnd w:id="61"/>
    <w:bookmarkStart w:id="63" w:name="ref-bordesMousterianCulturesFrance1961"/>
    <w:p>
      <w:pPr>
        <w:pStyle w:val="Bibliography"/>
      </w:pPr>
      <w:r>
        <w:t xml:space="preserve">Bordes, F., 1961a. Mousterian cultures in france: Artifacts from recent excavation dispel some popular misconceptions about neanderthal man. Science 134, 803–810.</w:t>
      </w:r>
      <w:r>
        <w:t xml:space="preserve"> </w:t>
      </w:r>
      <w:hyperlink r:id="rId62">
        <w:r>
          <w:rPr>
            <w:rStyle w:val="Hyperlink"/>
          </w:rPr>
          <w:t xml:space="preserve">https://doi.org/10.1126/science.134.3482.803</w:t>
        </w:r>
      </w:hyperlink>
    </w:p>
    <w:bookmarkEnd w:id="63"/>
    <w:bookmarkStart w:id="64" w:name="ref-bordes1961"/>
    <w:p>
      <w:pPr>
        <w:pStyle w:val="Bibliography"/>
      </w:pPr>
      <w:r>
        <w:t xml:space="preserve">Bordes, F., 1961b. Typologie du pal</w:t>
      </w:r>
      <w:r>
        <w:t xml:space="preserve">é</w:t>
      </w:r>
      <w:r>
        <w:t xml:space="preserve">olithique ancien et moyen. Delmas, Bordeaux.</w:t>
      </w:r>
    </w:p>
    <w:bookmarkEnd w:id="64"/>
    <w:bookmarkStart w:id="65" w:name="ref-bordes1950"/>
    <w:p>
      <w:pPr>
        <w:pStyle w:val="Bibliography"/>
      </w:pPr>
      <w:r>
        <w:t xml:space="preserve">Bordes, F., 1950. L’évolution buissonnante des industries en</w:t>
      </w:r>
      <w:r>
        <w:t xml:space="preserve"> </w:t>
      </w:r>
      <w:r>
        <w:t xml:space="preserve">Europe</w:t>
      </w:r>
      <w:r>
        <w:t xml:space="preserve"> </w:t>
      </w:r>
      <w:r>
        <w:t xml:space="preserve">occidentale: considérations théoriques sur le</w:t>
      </w:r>
      <w:r>
        <w:t xml:space="preserve"> </w:t>
      </w:r>
      <w:r>
        <w:t xml:space="preserve">Paléolithique</w:t>
      </w:r>
      <w:r>
        <w:t xml:space="preserve"> </w:t>
      </w:r>
      <w:r>
        <w:t xml:space="preserve">ancien et moyen. L’Anthropologie 54, 393–420.</w:t>
      </w:r>
    </w:p>
    <w:bookmarkEnd w:id="65"/>
    <w:bookmarkStart w:id="66" w:name="ref-Bourguignon1997"/>
    <w:p>
      <w:pPr>
        <w:pStyle w:val="Bibliography"/>
      </w:pPr>
      <w:r>
        <w:t xml:space="preserve">Bourguignon, L., 1997. Le moustérien de type quina: Nouvelle définition d’une entité technique (Doctoral dissertation). Université de Paris X-Nanterre.</w:t>
      </w:r>
    </w:p>
    <w:bookmarkEnd w:id="66"/>
    <w:bookmarkStart w:id="67" w:name="X403afe1231077496c18b5542485a78536abda81"/>
    <w:p>
      <w:pPr>
        <w:pStyle w:val="Bibliography"/>
      </w:pPr>
      <w:r>
        <w:t xml:space="preserve">Bourguignon, L., Faivre, J.-P., Turq, A., n.d. RAMIFICATION DES CHAÎNES OPÉRATOIRES : UNE SPÉCIFICITÉ DU MOUSTÉRIEN ?</w:t>
      </w:r>
    </w:p>
    <w:bookmarkEnd w:id="67"/>
    <w:bookmarkStart w:id="69" w:name="ref-Bourguignon2025QuinaChina"/>
    <w:p>
      <w:pPr>
        <w:pStyle w:val="Bibliography"/>
      </w:pPr>
      <w:r>
        <w:t xml:space="preserve">Bourguignon, L., Soriano, S., Claud, É., Faivre, J.-P., Gauvrit-Roux, E., Jaubert, J., Meignen, L., Vaissié, E., Guérin, G., 2025. The presence of quina lithic technology in china 50 to 60 ka ago remains a hypothesis. Proceedings of the National Academy of Sciences 122, e2518182122.</w:t>
      </w:r>
      <w:r>
        <w:t xml:space="preserve"> </w:t>
      </w:r>
      <w:hyperlink r:id="rId68">
        <w:r>
          <w:rPr>
            <w:rStyle w:val="Hyperlink"/>
          </w:rPr>
          <w:t xml:space="preserve">https://doi.org/10.1073/pnas.2518182122</w:t>
        </w:r>
      </w:hyperlink>
    </w:p>
    <w:bookmarkEnd w:id="69"/>
    <w:bookmarkStart w:id="71" w:name="X329727547b4bf04e26144da4d1d8e266b268f43"/>
    <w:p>
      <w:pPr>
        <w:pStyle w:val="Bibliography"/>
      </w:pPr>
      <w:r>
        <w:t xml:space="preserve">Castel, J.-C., Discamps, E., Soulier, M.-C., Sandgathe, D., Dibble, H.L., McPherron, S.J.P., Goldberg, P., Turq, A., 2017. Neandertal subsistence strategies during the quina mousterian at roc de marsal (france). Quaternary International 433, 140–156.</w:t>
      </w:r>
      <w:r>
        <w:t xml:space="preserve"> </w:t>
      </w:r>
      <w:hyperlink r:id="rId70">
        <w:r>
          <w:rPr>
            <w:rStyle w:val="Hyperlink"/>
          </w:rPr>
          <w:t xml:space="preserve">https://doi.org/10.1016/j.quaint.2015.12.033</w:t>
        </w:r>
      </w:hyperlink>
    </w:p>
    <w:bookmarkEnd w:id="71"/>
    <w:bookmarkStart w:id="73" w:name="ref-claud2012"/>
    <w:p>
      <w:pPr>
        <w:pStyle w:val="Bibliography"/>
      </w:pPr>
      <w:r>
        <w:t xml:space="preserve">Claud, É., Soressi, M., Jaubert, J., Hublin, J.-J., 2012. Étude tracéologique de l</w:t>
      </w:r>
      <w:r>
        <w:t xml:space="preserve">’</w:t>
      </w:r>
      <w:r>
        <w:t xml:space="preserve">outillage moustérien de type Quina du bonebed de Chez-Pinaud à Jonzac (Charente-Maritime). Nouveaux éléments en faveur d</w:t>
      </w:r>
      <w:r>
        <w:t xml:space="preserve">’</w:t>
      </w:r>
      <w:r>
        <w:t xml:space="preserve">un site de boucherie et de traitement des peaux. Gallia préhistoire 54, 3–32.</w:t>
      </w:r>
      <w:r>
        <w:t xml:space="preserve"> </w:t>
      </w:r>
      <w:hyperlink r:id="rId72">
        <w:r>
          <w:rPr>
            <w:rStyle w:val="Hyperlink"/>
          </w:rPr>
          <w:t xml:space="preserve">https://doi.org/10.3406/galip.2012.2492</w:t>
        </w:r>
      </w:hyperlink>
    </w:p>
    <w:bookmarkEnd w:id="73"/>
    <w:bookmarkStart w:id="74" w:name="ref-debenath1994"/>
    <w:p>
      <w:pPr>
        <w:pStyle w:val="Bibliography"/>
      </w:pPr>
      <w:r>
        <w:t xml:space="preserve">Debénath, A., Dibble, H.L., 1994. Handbook of paleolithic typology: Lower and middle paleolithic of europe. University Museum, University of Pennsylvania, Philadelphia.</w:t>
      </w:r>
    </w:p>
    <w:bookmarkEnd w:id="74"/>
    <w:bookmarkStart w:id="76" w:name="ref-delagnes2006"/>
    <w:p>
      <w:pPr>
        <w:pStyle w:val="Bibliography"/>
      </w:pPr>
      <w:r>
        <w:t xml:space="preserve">Delagnes, A., Meignen, L., 2006. Diversity of lithic production systems during the middle paleolithic in france: Are there any chronological trends?, in: Hovers, E., Kuhn, S.L. (Eds.),. Springer US, Boston, MA, pp. 85–107.</w:t>
      </w:r>
      <w:r>
        <w:t xml:space="preserve"> </w:t>
      </w:r>
      <w:hyperlink r:id="rId75">
        <w:r>
          <w:rPr>
            <w:rStyle w:val="Hyperlink"/>
          </w:rPr>
          <w:t xml:space="preserve">https://doi.org/10.1007/0-387-24661-4_5</w:t>
        </w:r>
      </w:hyperlink>
    </w:p>
    <w:bookmarkEnd w:id="76"/>
    <w:bookmarkStart w:id="78" w:name="ref-delagnesShiftsNeandertalMobility2011"/>
    <w:p>
      <w:pPr>
        <w:pStyle w:val="Bibliography"/>
      </w:pPr>
      <w:r>
        <w:t xml:space="preserve">Delagnes, A., Rendu, W., 2011. Shifts in neandertal mobility, technology and subsistence strategies in western france. Journal of Archaeological Science 38, 1771–1783.</w:t>
      </w:r>
      <w:r>
        <w:t xml:space="preserve"> </w:t>
      </w:r>
      <w:hyperlink r:id="rId77">
        <w:r>
          <w:rPr>
            <w:rStyle w:val="Hyperlink"/>
          </w:rPr>
          <w:t xml:space="preserve">https://doi.org/10.1016/j.jas.2011.04.007</w:t>
        </w:r>
      </w:hyperlink>
    </w:p>
    <w:bookmarkEnd w:id="78"/>
    <w:bookmarkStart w:id="80" w:name="X648e10a1139abc8f783bbc8956f5c21c309f886"/>
    <w:p>
      <w:pPr>
        <w:pStyle w:val="Bibliography"/>
      </w:pPr>
      <w:r>
        <w:t xml:space="preserve">Delpech, F., 1996. L’environnement animal des Moustériens Quina du Périgord. Paléo 8, 31–46.</w:t>
      </w:r>
      <w:r>
        <w:t xml:space="preserve"> </w:t>
      </w:r>
      <w:hyperlink r:id="rId79">
        <w:r>
          <w:rPr>
            <w:rStyle w:val="Hyperlink"/>
          </w:rPr>
          <w:t xml:space="preserve">https://doi.org/10.3406/pal.1996.905</w:t>
        </w:r>
      </w:hyperlink>
    </w:p>
    <w:bookmarkEnd w:id="80"/>
    <w:bookmarkStart w:id="82" w:name="ref-delpiano2022"/>
    <w:p>
      <w:pPr>
        <w:pStyle w:val="Bibliography"/>
      </w:pPr>
      <w:r>
        <w:t xml:space="preserve">Delpiano, D., Zupancich, A., Bertola, S., Martellotta, E.F., Livraghi, A., Cristiani, E., Peresani, M., 2022. Flexibility within quina lithic production systems and tool-use in northern italy: Implications on neanderthal behavior and ecology during early MIS 4. Archaeological and Anthropological Sciences 14, 219.</w:t>
      </w:r>
      <w:r>
        <w:t xml:space="preserve"> </w:t>
      </w:r>
      <w:hyperlink r:id="rId81">
        <w:r>
          <w:rPr>
            <w:rStyle w:val="Hyperlink"/>
          </w:rPr>
          <w:t xml:space="preserve">https://doi.org/10.1007/s12520-022-01684-2</w:t>
        </w:r>
      </w:hyperlink>
    </w:p>
    <w:bookmarkEnd w:id="82"/>
    <w:bookmarkStart w:id="83" w:name="ref-dibble1987"/>
    <w:p>
      <w:pPr>
        <w:pStyle w:val="Bibliography"/>
      </w:pPr>
      <w:r>
        <w:t xml:space="preserve">Dibble, H.L., 1987. The interpretation of</w:t>
      </w:r>
      <w:r>
        <w:t xml:space="preserve"> </w:t>
      </w:r>
      <w:r>
        <w:t xml:space="preserve">Middle Paleolithic</w:t>
      </w:r>
      <w:r>
        <w:t xml:space="preserve"> </w:t>
      </w:r>
      <w:r>
        <w:t xml:space="preserve">scraper morphology. American Antiquity 52, 109–117.</w:t>
      </w:r>
    </w:p>
    <w:bookmarkEnd w:id="83"/>
    <w:bookmarkStart w:id="85" w:name="ref-erenRoleRawMaterial2014"/>
    <w:p>
      <w:pPr>
        <w:pStyle w:val="Bibliography"/>
      </w:pPr>
      <w:r>
        <w:t xml:space="preserve">Eren, M.I., Roos, C.I., Story, B.A., Von Cramon-Taubadel, N., Lycett, S.J., 2014. The role of raw material differences in stone tool shape variation: An experimental assessment. Journal of Archaeological Science 49, 472–487.</w:t>
      </w:r>
      <w:r>
        <w:t xml:space="preserve"> </w:t>
      </w:r>
      <w:hyperlink r:id="rId84">
        <w:r>
          <w:rPr>
            <w:rStyle w:val="Hyperlink"/>
          </w:rPr>
          <w:t xml:space="preserve">https://doi.org/10.1016/j.jas.2014.05.034</w:t>
        </w:r>
      </w:hyperlink>
    </w:p>
    <w:bookmarkEnd w:id="85"/>
    <w:bookmarkStart w:id="87" w:name="ref-faivre2017"/>
    <w:p>
      <w:pPr>
        <w:pStyle w:val="Bibliography"/>
      </w:pPr>
      <w:r>
        <w:t xml:space="preserve">Faivre, J.-Ph., Gravina, B., Bourguignon, L., Discamps, E., Turq, A., 2017. Late middle palaeolithic lithic technocomplexes (MIS 5</w:t>
      </w:r>
      <w:r>
        <w:t xml:space="preserve">3) in the northeastern aquitaine basin: Advances and challenges. Quaternary International 433, 116–131.</w:t>
      </w:r>
      <w:r>
        <w:t xml:space="preserve"> </w:t>
      </w:r>
      <w:hyperlink r:id="rId86">
        <w:r>
          <w:rPr>
            <w:rStyle w:val="Hyperlink"/>
          </w:rPr>
          <w:t xml:space="preserve">https://doi.org/10.1016/j.quaint.2016.02.060</w:t>
        </w:r>
      </w:hyperlink>
    </w:p>
    <w:bookmarkEnd w:id="87"/>
    <w:bookmarkStart w:id="89" w:name="ref-FALGUERES2022101266"/>
    <w:p>
      <w:pPr>
        <w:pStyle w:val="Bibliography"/>
      </w:pPr>
      <w:r>
        <w:t xml:space="preserve">Falguères, C., Barkai, R., Tombret, O., Gopher, A., 2022. New ESR/u-series dates of the lowest acheuleo-yabrudian levels of qesem cave. Quaternary Geochronology 69, 101266. https://doi.org/</w:t>
      </w:r>
      <w:hyperlink r:id="rId88">
        <w:r>
          <w:rPr>
            <w:rStyle w:val="Hyperlink"/>
          </w:rPr>
          <w:t xml:space="preserve">https://doi.org/10.1016/j.quageo.2022.101266</w:t>
        </w:r>
      </w:hyperlink>
    </w:p>
    <w:bookmarkEnd w:id="89"/>
    <w:bookmarkStart w:id="91" w:name="ref-gaoPaleolithicCulturesChina2013"/>
    <w:p>
      <w:pPr>
        <w:pStyle w:val="Bibliography"/>
      </w:pPr>
      <w:r>
        <w:t xml:space="preserve">Gao, X., 2013. Paleolithic cultures in china: Uniqueness and divergence. Current Anthropology 54, S358–S370.</w:t>
      </w:r>
      <w:r>
        <w:t xml:space="preserve"> </w:t>
      </w:r>
      <w:hyperlink r:id="rId90">
        <w:r>
          <w:rPr>
            <w:rStyle w:val="Hyperlink"/>
          </w:rPr>
          <w:t xml:space="preserve">https://doi.org/10.1086/673502</w:t>
        </w:r>
      </w:hyperlink>
    </w:p>
    <w:bookmarkEnd w:id="91"/>
    <w:bookmarkStart w:id="92" w:name="ref-geneste1985"/>
    <w:p>
      <w:pPr>
        <w:pStyle w:val="Bibliography"/>
      </w:pPr>
      <w:r>
        <w:t xml:space="preserve">Geneste, J.-M., 1985. Analyse lithique d’industries moustériennes du</w:t>
      </w:r>
      <w:r>
        <w:t xml:space="preserve"> </w:t>
      </w:r>
      <w:r>
        <w:t xml:space="preserve">Périgord</w:t>
      </w:r>
      <w:r>
        <w:t xml:space="preserve">: une approche technologique du comportement des groupes humains au</w:t>
      </w:r>
      <w:r>
        <w:t xml:space="preserve"> </w:t>
      </w:r>
      <w:r>
        <w:t xml:space="preserve">Paléolithique</w:t>
      </w:r>
      <w:r>
        <w:t xml:space="preserve"> </w:t>
      </w:r>
      <w:r>
        <w:t xml:space="preserve">moyen (PhD dissertation). Université de Bordeaux I.</w:t>
      </w:r>
    </w:p>
    <w:bookmarkEnd w:id="92"/>
    <w:bookmarkStart w:id="94" w:name="Xb0737da3f27c2f558c0c1b6951c7f90f4e2ea09"/>
    <w:p>
      <w:pPr>
        <w:pStyle w:val="Bibliography"/>
      </w:pPr>
      <w:r>
        <w:t xml:space="preserve">Hiscock, P., Clarkson, C., 2008. The construction of morphological diversity: A study of mousterian implement retouching at combe grenal, in: Andrefsky, Jr, W. (Ed.),. Cambridge University Press, pp. 106–135.</w:t>
      </w:r>
      <w:r>
        <w:t xml:space="preserve"> </w:t>
      </w:r>
      <w:hyperlink r:id="rId93">
        <w:r>
          <w:rPr>
            <w:rStyle w:val="Hyperlink"/>
          </w:rPr>
          <w:t xml:space="preserve">https://doi.org/10.1017/CBO9780511499661.006</w:t>
        </w:r>
      </w:hyperlink>
    </w:p>
    <w:bookmarkEnd w:id="94"/>
    <w:bookmarkStart w:id="96" w:name="ref-hiscock2007"/>
    <w:p>
      <w:pPr>
        <w:pStyle w:val="Bibliography"/>
      </w:pPr>
      <w:r>
        <w:t xml:space="preserve">Hiscock, P., Clarkson, C., 2007. Retouched notches at combe grenal (france) and the reduction hypothesis. American Antiquity 72, 176–190.</w:t>
      </w:r>
      <w:r>
        <w:t xml:space="preserve"> </w:t>
      </w:r>
      <w:hyperlink r:id="rId95">
        <w:r>
          <w:rPr>
            <w:rStyle w:val="Hyperlink"/>
          </w:rPr>
          <w:t xml:space="preserve">https://doi.org/10.2307/40035303</w:t>
        </w:r>
      </w:hyperlink>
    </w:p>
    <w:bookmarkEnd w:id="96"/>
    <w:bookmarkStart w:id="98" w:name="ref-hiscock2009"/>
    <w:p>
      <w:pPr>
        <w:pStyle w:val="Bibliography"/>
      </w:pPr>
      <w:r>
        <w:t xml:space="preserve">Hiscock, P., Turq, A., Faivre, J.-P., Bourguignon, L., 2009. Quina procurement and tool production, in: Adams, B., Blades, B.S. (Eds.),. Wiley, pp. 232–246.</w:t>
      </w:r>
      <w:r>
        <w:t xml:space="preserve"> </w:t>
      </w:r>
      <w:hyperlink r:id="rId97">
        <w:r>
          <w:rPr>
            <w:rStyle w:val="Hyperlink"/>
          </w:rPr>
          <w:t xml:space="preserve">https://doi.org/10.1002/9781444311976.ch17</w:t>
        </w:r>
      </w:hyperlink>
    </w:p>
    <w:bookmarkEnd w:id="98"/>
    <w:bookmarkStart w:id="100" w:name="ref-huLithicTechnologiesGuanyindong2024"/>
    <w:p>
      <w:pPr>
        <w:pStyle w:val="Bibliography"/>
      </w:pPr>
      <w:r>
        <w:t xml:space="preserve">Hu, Y., Marwick, B., Lu, H., Hou, Y., Huang, W., Li, B., 2024. Lithic technologies at guanyindong cave, southwest china: Diversity and innovation during the chinese middle palaeolithic. Archaeological and Anthropological Sciences 16, 119.</w:t>
      </w:r>
      <w:r>
        <w:t xml:space="preserve"> </w:t>
      </w:r>
      <w:hyperlink r:id="rId99">
        <w:r>
          <w:rPr>
            <w:rStyle w:val="Hyperlink"/>
          </w:rPr>
          <w:t xml:space="preserve">https://doi.org/10.1007/s12520-024-02022-4</w:t>
        </w:r>
      </w:hyperlink>
    </w:p>
    <w:bookmarkEnd w:id="100"/>
    <w:bookmarkStart w:id="102" w:name="ref-huLateMiddlePleistocene2019"/>
    <w:p>
      <w:pPr>
        <w:pStyle w:val="Bibliography"/>
      </w:pPr>
      <w:r>
        <w:t xml:space="preserve">Hu, Y., Marwick, B., Zhang, J.-F., Rui, X., Hou, Y.-M., Yue, J.-P., Chen, W.-R., Huang, W.-W., Li, B., 2019. Late middle pleistocene levallois stone-tool technology in southwest china. Nature 565, 82–85.</w:t>
      </w:r>
      <w:r>
        <w:t xml:space="preserve"> </w:t>
      </w:r>
      <w:hyperlink r:id="rId101">
        <w:r>
          <w:rPr>
            <w:rStyle w:val="Hyperlink"/>
          </w:rPr>
          <w:t xml:space="preserve">https://doi.org/10.1038/s41586-018-0710-1</w:t>
        </w:r>
      </w:hyperlink>
    </w:p>
    <w:bookmarkEnd w:id="102"/>
    <w:bookmarkStart w:id="104" w:name="ref-jacobs1974"/>
    <w:p>
      <w:pPr>
        <w:pStyle w:val="Bibliography"/>
      </w:pPr>
      <w:r>
        <w:t xml:space="preserve">Jacobs, J., 1974. Quantitative measurement of food selection: A modification of the forage ratio and</w:t>
      </w:r>
      <w:r>
        <w:t xml:space="preserve"> </w:t>
      </w:r>
      <w:r>
        <w:t xml:space="preserve">Ivlev’s</w:t>
      </w:r>
      <w:r>
        <w:t xml:space="preserve"> </w:t>
      </w:r>
      <w:r>
        <w:t xml:space="preserve">electivity index. Oecologia 14, 413–417.</w:t>
      </w:r>
      <w:r>
        <w:t xml:space="preserve"> </w:t>
      </w:r>
      <w:hyperlink r:id="rId103">
        <w:r>
          <w:rPr>
            <w:rStyle w:val="Hyperlink"/>
          </w:rPr>
          <w:t xml:space="preserve">https://doi.org/10.1007/BF00384581</w:t>
        </w:r>
      </w:hyperlink>
    </w:p>
    <w:bookmarkEnd w:id="104"/>
    <w:bookmarkStart w:id="105" w:name="ref-Ji2008"/>
    <w:p>
      <w:pPr>
        <w:pStyle w:val="Bibliography"/>
      </w:pPr>
      <w:r>
        <w:t xml:space="preserve">Ji, X., 2008. The fascination of dahe cave: Disclosure of dahe cave paleolithic site in fuyuan. Chinese Cultural Relics 6, 78–83.</w:t>
      </w:r>
    </w:p>
    <w:bookmarkEnd w:id="105"/>
    <w:bookmarkStart w:id="107" w:name="ref-krishnamoorthy2014"/>
    <w:p>
      <w:pPr>
        <w:pStyle w:val="Bibliography"/>
      </w:pPr>
      <w:r>
        <w:t xml:space="preserve">Krishnamoorthy, K., Lee, M., 2014. Improved tests for the equality of normal coefficients of variation. Computational Statistics 29, 215–232.</w:t>
      </w:r>
      <w:r>
        <w:t xml:space="preserve"> </w:t>
      </w:r>
      <w:hyperlink r:id="rId106">
        <w:r>
          <w:rPr>
            <w:rStyle w:val="Hyperlink"/>
          </w:rPr>
          <w:t xml:space="preserve">https://doi.org/10.1007/s00180-013-0445-2</w:t>
        </w:r>
      </w:hyperlink>
    </w:p>
    <w:bookmarkEnd w:id="107"/>
    <w:bookmarkStart w:id="108" w:name="ref-kuhn1995"/>
    <w:p>
      <w:pPr>
        <w:pStyle w:val="Bibliography"/>
      </w:pPr>
      <w:r>
        <w:t xml:space="preserve">Kuhn, S.L., 1995. Mousterian lithic technology: An ecological perspective. Princeton University Press, Princeton.</w:t>
      </w:r>
    </w:p>
    <w:bookmarkEnd w:id="108"/>
    <w:bookmarkStart w:id="110" w:name="ref-kuhnGeometricIndexReduction1990"/>
    <w:p>
      <w:pPr>
        <w:pStyle w:val="Bibliography"/>
      </w:pPr>
      <w:r>
        <w:t xml:space="preserve">Kuhn, S.L., 1990. A geometric index of reduction for unifacial stone tools. Journal of Archaeological Science 17, 583–593.</w:t>
      </w:r>
      <w:r>
        <w:t xml:space="preserve"> </w:t>
      </w:r>
      <w:hyperlink r:id="rId109">
        <w:r>
          <w:rPr>
            <w:rStyle w:val="Hyperlink"/>
          </w:rPr>
          <w:t xml:space="preserve">https://doi.org/10.1016/0305-4403(90)90038-7</w:t>
        </w:r>
      </w:hyperlink>
    </w:p>
    <w:bookmarkEnd w:id="110"/>
    <w:bookmarkStart w:id="112" w:name="ref-lemoriniScrapersLifeHistory2016"/>
    <w:p>
      <w:pPr>
        <w:pStyle w:val="Bibliography"/>
      </w:pPr>
      <w:r>
        <w:t xml:space="preserve">Lemorini, C., Bourguignon, L., Zupancich, A., Gopher, A., Barkai, R., 2016. A scraper’s life history: Morpho-techno-functional and use-wear analysis of quina and demi-quina scrapers from qesem cave, israel. Quaternary International 398, 86–93.</w:t>
      </w:r>
      <w:r>
        <w:t xml:space="preserve"> </w:t>
      </w:r>
      <w:hyperlink r:id="rId111">
        <w:r>
          <w:rPr>
            <w:rStyle w:val="Hyperlink"/>
          </w:rPr>
          <w:t xml:space="preserve">https://doi.org/10.1016/j.quaint.2015.05.013</w:t>
        </w:r>
      </w:hyperlink>
    </w:p>
    <w:bookmarkEnd w:id="112"/>
    <w:bookmarkStart w:id="114" w:name="ref-liEasternmostMiddlePaleolithic2018"/>
    <w:p>
      <w:pPr>
        <w:pStyle w:val="Bibliography"/>
      </w:pPr>
      <w:r>
        <w:t xml:space="preserve">Li, F., Kuhn, S.L., Chen, F., Wang, Y., Southon, J., Peng, F., Shan, M., Wang, C., Ge, J., Wang, X., Yun, T., Gao, X., 2018. The easternmost middle paleolithic (mousterian) from jinsitai cave, north china. Journal of Human Evolution 114, 76–84.</w:t>
      </w:r>
      <w:r>
        <w:t xml:space="preserve"> </w:t>
      </w:r>
      <w:hyperlink r:id="rId113">
        <w:r>
          <w:rPr>
            <w:rStyle w:val="Hyperlink"/>
          </w:rPr>
          <w:t xml:space="preserve">https://doi.org/10.1016/j.jhevol.2017.10.004</w:t>
        </w:r>
      </w:hyperlink>
    </w:p>
    <w:bookmarkEnd w:id="114"/>
    <w:bookmarkStart w:id="116" w:name="ref-liTechnologicalBehaviorEarly2019"/>
    <w:p>
      <w:pPr>
        <w:pStyle w:val="Bibliography"/>
      </w:pPr>
      <w:r>
        <w:t xml:space="preserve">Li, H., Li, Z., Gao, X., Kuman, K., Sumner, A., 2019. Technological behavior of the early late pleistocene archaic humans at lingjing (xuchang, china). Archaeological and Anthropological Sciences 11, 3477–3490.</w:t>
      </w:r>
      <w:r>
        <w:t xml:space="preserve"> </w:t>
      </w:r>
      <w:hyperlink r:id="rId115">
        <w:r>
          <w:rPr>
            <w:rStyle w:val="Hyperlink"/>
          </w:rPr>
          <w:t xml:space="preserve">https://doi.org/10.1007/s12520-018-0759-7</w:t>
        </w:r>
      </w:hyperlink>
    </w:p>
    <w:bookmarkEnd w:id="116"/>
    <w:bookmarkStart w:id="118" w:name="ref-linQuinaRetouchDoes2021"/>
    <w:p>
      <w:pPr>
        <w:pStyle w:val="Bibliography"/>
      </w:pPr>
      <w:r>
        <w:t xml:space="preserve">Lin, S.C., Marreiros, J., 2021. Quina retouch does not maintain edge angle over reduction. Lithic Technology 46, 45–59.</w:t>
      </w:r>
      <w:r>
        <w:t xml:space="preserve"> </w:t>
      </w:r>
      <w:hyperlink r:id="rId117">
        <w:r>
          <w:rPr>
            <w:rStyle w:val="Hyperlink"/>
          </w:rPr>
          <w:t xml:space="preserve">https://doi.org/10.1080/01977261.2020.1819048</w:t>
        </w:r>
      </w:hyperlink>
    </w:p>
    <w:bookmarkEnd w:id="118"/>
    <w:bookmarkStart w:id="120" w:name="X2deffec8b40d8ad2b07451f2388f41e1a1d764f"/>
    <w:p>
      <w:pPr>
        <w:pStyle w:val="Bibliography"/>
      </w:pPr>
      <w:r>
        <w:t xml:space="preserve">Marwick, B., 2017. Computational reproducibility in archaeological research: Basic principles and a case study of their implementation. Journal of Archaeological Method and Theory 24, 424–450.</w:t>
      </w:r>
      <w:r>
        <w:t xml:space="preserve"> </w:t>
      </w:r>
      <w:hyperlink r:id="rId119">
        <w:r>
          <w:rPr>
            <w:rStyle w:val="Hyperlink"/>
          </w:rPr>
          <w:t xml:space="preserve">https://doi.org/10.1007/s10816-015-9272-9</w:t>
        </w:r>
      </w:hyperlink>
    </w:p>
    <w:bookmarkEnd w:id="120"/>
    <w:bookmarkStart w:id="122" w:name="ref-marwickOpenScienceArchaeology2017"/>
    <w:p>
      <w:pPr>
        <w:pStyle w:val="Bibliography"/>
      </w:pPr>
      <w:r>
        <w:t xml:space="preserve">Marwick, B., d’Alpoim Guedes, J., Barton, C.M., Bates, L., Bollwerk, E., Bocinsky, R.K., Carter, A.K., Conrad, C., Costa, S., Crema, E.R., Davies, B., Drake, L., Dye, T.S., Giusti, D., Graham, S., Hawks, J., Huffer, D., Madsen, M.E., Neiman, F.D., Opitz, R., Riel-Salvatore, J., Riris, P., Romanowska, I., Ullah, I., Wren, C.D.</w:t>
      </w:r>
      <w:r>
        <w:t xml:space="preserve">, n.d. Open science in archaeology.</w:t>
      </w:r>
      <w:r>
        <w:t xml:space="preserve"> </w:t>
      </w:r>
      <w:hyperlink r:id="rId121">
        <w:r>
          <w:rPr>
            <w:rStyle w:val="Hyperlink"/>
          </w:rPr>
          <w:t xml:space="preserve">https://doi.org/10.31235/osf.io/72n8g</w:t>
        </w:r>
      </w:hyperlink>
    </w:p>
    <w:bookmarkEnd w:id="122"/>
    <w:bookmarkStart w:id="123" w:name="ref-mellars1969"/>
    <w:p>
      <w:pPr>
        <w:pStyle w:val="Bibliography"/>
      </w:pPr>
      <w:r>
        <w:t xml:space="preserve">Mellars, P., 1969. The chronology of</w:t>
      </w:r>
      <w:r>
        <w:t xml:space="preserve"> </w:t>
      </w:r>
      <w:r>
        <w:t xml:space="preserve">Mousterian</w:t>
      </w:r>
      <w:r>
        <w:t xml:space="preserve"> </w:t>
      </w:r>
      <w:r>
        <w:t xml:space="preserve">industries in the</w:t>
      </w:r>
      <w:r>
        <w:t xml:space="preserve"> </w:t>
      </w:r>
      <w:r>
        <w:t xml:space="preserve">Périgord</w:t>
      </w:r>
      <w:r>
        <w:t xml:space="preserve"> </w:t>
      </w:r>
      <w:r>
        <w:t xml:space="preserve">region of south-west</w:t>
      </w:r>
      <w:r>
        <w:t xml:space="preserve"> </w:t>
      </w:r>
      <w:r>
        <w:t xml:space="preserve">France</w:t>
      </w:r>
      <w:r>
        <w:t xml:space="preserve">. Proceedings of the Prehistoric Society 35, 134–171.</w:t>
      </w:r>
    </w:p>
    <w:bookmarkEnd w:id="123"/>
    <w:bookmarkStart w:id="125" w:name="ref-nortonEastAsianMiddle2009"/>
    <w:p>
      <w:pPr>
        <w:pStyle w:val="Bibliography"/>
      </w:pPr>
      <w:r>
        <w:t xml:space="preserve">Norton, C.J., Gao, X., Feng, X., 2009. The east asian middle paleolithic reexamined, in: Camps, M., Chauhan, P. (Eds.),. Springer New York, New York, NY, pp. 245–254.</w:t>
      </w:r>
      <w:r>
        <w:t xml:space="preserve"> </w:t>
      </w:r>
      <w:hyperlink r:id="rId124">
        <w:r>
          <w:rPr>
            <w:rStyle w:val="Hyperlink"/>
          </w:rPr>
          <w:t xml:space="preserve">https://doi.org/10.1007/978-0-387-76487-0_15</w:t>
        </w:r>
      </w:hyperlink>
    </w:p>
    <w:bookmarkEnd w:id="125"/>
    <w:bookmarkStart w:id="127" w:name="ref-peresani2023"/>
    <w:p>
      <w:pPr>
        <w:pStyle w:val="Bibliography"/>
      </w:pPr>
      <w:r>
        <w:t xml:space="preserve">Peresani, M., Bourguignon, L., Delpiano, D., Lemorini, C., 2023. Quina on the edge. Insights from a middle palaeolithic lithic assemblage of grotta di fumane, italy. Journal of Archaeological Science: Reports 49, 103998.</w:t>
      </w:r>
      <w:r>
        <w:t xml:space="preserve"> </w:t>
      </w:r>
      <w:hyperlink r:id="rId126">
        <w:r>
          <w:rPr>
            <w:rStyle w:val="Hyperlink"/>
          </w:rPr>
          <w:t xml:space="preserve">https://doi.org/10.1016/j.jasrep.2023.103998</w:t>
        </w:r>
      </w:hyperlink>
    </w:p>
    <w:bookmarkEnd w:id="127"/>
    <w:bookmarkStart w:id="129" w:name="ref-rcoreteam2025"/>
    <w:p>
      <w:pPr>
        <w:pStyle w:val="Bibliography"/>
      </w:pPr>
      <w:r>
        <w:t xml:space="preserve">R Core Team, 2025.</w:t>
      </w:r>
      <w:r>
        <w:t xml:space="preserve"> </w:t>
      </w:r>
      <w:hyperlink r:id="rId128">
        <w:r>
          <w:rPr>
            <w:rStyle w:val="Hyperlink"/>
          </w:rPr>
          <w:t xml:space="preserve">R: A language and environment for statistical computing</w:t>
        </w:r>
      </w:hyperlink>
      <w:r>
        <w:t xml:space="preserve">. R Foundation for Statistical Computing, Vienna, Austria.</w:t>
      </w:r>
    </w:p>
    <w:bookmarkEnd w:id="129"/>
    <w:bookmarkStart w:id="131" w:name="ref-RuanEtAl2025"/>
    <w:p>
      <w:pPr>
        <w:pStyle w:val="Bibliography"/>
      </w:pPr>
      <w:r>
        <w:t xml:space="preserve">Ruan, Q.-J., Li, H., Marwick, B., Peresani, M., Moncel, M.-H., Xiao, P.-Y., Monod, H., Li, B., Delpiano, D., 2025a. Reply to bourguignon et al.: Convergence is a plausible hypothesis for quina technology in east asia. Proceedings of the National Academy of Sciences 122, e2519000122.</w:t>
      </w:r>
      <w:r>
        <w:t xml:space="preserve"> </w:t>
      </w:r>
      <w:hyperlink r:id="rId130">
        <w:r>
          <w:rPr>
            <w:rStyle w:val="Hyperlink"/>
          </w:rPr>
          <w:t xml:space="preserve">https://doi.org/10.1073/pnas.2519000122</w:t>
        </w:r>
      </w:hyperlink>
    </w:p>
    <w:bookmarkEnd w:id="131"/>
    <w:bookmarkStart w:id="133" w:name="ref-ruanQuinaLithicTechnology2025a"/>
    <w:p>
      <w:pPr>
        <w:pStyle w:val="Bibliography"/>
      </w:pPr>
      <w:r>
        <w:t xml:space="preserve">Ruan, Q.-J., Li, H., Xiao, P.-Y., Li, B., Monod, H., Sumner, A., Zhao, K.-L., Liu, J.-H., Jia, Z.-X., Wang, C.-X., Fan, A.-C., Moncel, M.-H., Marwick, B., Peresani, M., Wang, Y.-P., Chen, F.-H., Delpiano, D., 2025b. Quina lithic technology indicates diverse late pleistocene human dynamics in east asia. Proceedings of the National Academy of Sciences 122, e2418029122.</w:t>
      </w:r>
      <w:r>
        <w:t xml:space="preserve"> </w:t>
      </w:r>
      <w:hyperlink r:id="rId132">
        <w:r>
          <w:rPr>
            <w:rStyle w:val="Hyperlink"/>
          </w:rPr>
          <w:t xml:space="preserve">https://doi.org/10.1073/pnas.2418029122</w:t>
        </w:r>
      </w:hyperlink>
    </w:p>
    <w:bookmarkEnd w:id="133"/>
    <w:bookmarkStart w:id="135" w:name="ref-sneed1958"/>
    <w:p>
      <w:pPr>
        <w:pStyle w:val="Bibliography"/>
      </w:pPr>
      <w:r>
        <w:t xml:space="preserve">Sneed, E.D., Folk, R.L., 1958. Pebbles in the lower</w:t>
      </w:r>
      <w:r>
        <w:t xml:space="preserve"> </w:t>
      </w:r>
      <w:r>
        <w:t xml:space="preserve">Colorado River</w:t>
      </w:r>
      <w:r>
        <w:t xml:space="preserve">,</w:t>
      </w:r>
      <w:r>
        <w:t xml:space="preserve"> </w:t>
      </w:r>
      <w:r>
        <w:t xml:space="preserve">Texas</w:t>
      </w:r>
      <w:r>
        <w:t xml:space="preserve">: A study in particle morphogenesis. The Journal of Geology 66, 114–150.</w:t>
      </w:r>
      <w:r>
        <w:t xml:space="preserve"> </w:t>
      </w:r>
      <w:hyperlink r:id="rId134">
        <w:r>
          <w:rPr>
            <w:rStyle w:val="Hyperlink"/>
          </w:rPr>
          <w:t xml:space="preserve">https://doi.org/10.1086/626490</w:t>
        </w:r>
      </w:hyperlink>
    </w:p>
    <w:bookmarkEnd w:id="135"/>
    <w:bookmarkStart w:id="137" w:name="ref-turq2000"/>
    <w:p>
      <w:pPr>
        <w:pStyle w:val="Bibliography"/>
      </w:pPr>
      <w:r>
        <w:t xml:space="preserve">Turq, A., 2000. Le Moustérien de type Quina. Paléo 2, 310–343.</w:t>
      </w:r>
      <w:r>
        <w:t xml:space="preserve"> </w:t>
      </w:r>
      <w:hyperlink r:id="rId136">
        <w:r>
          <w:rPr>
            <w:rStyle w:val="Hyperlink"/>
          </w:rPr>
          <w:t xml:space="preserve">https://doi.org/10.3406/pal.2000.1275</w:t>
        </w:r>
      </w:hyperlink>
    </w:p>
    <w:bookmarkEnd w:id="137"/>
    <w:bookmarkStart w:id="138" w:name="ref-turq1992"/>
    <w:p>
      <w:pPr>
        <w:pStyle w:val="Bibliography"/>
      </w:pPr>
      <w:r>
        <w:t xml:space="preserve">Turq, A., 1992. Le pal</w:t>
      </w:r>
      <w:r>
        <w:t xml:space="preserve">é</w:t>
      </w:r>
      <w:r>
        <w:t xml:space="preserve">olithique inf</w:t>
      </w:r>
      <w:r>
        <w:t xml:space="preserve">é</w:t>
      </w:r>
      <w:r>
        <w:t xml:space="preserve">rieur et moyen entre les vall</w:t>
      </w:r>
      <w:r>
        <w:t xml:space="preserve">é</w:t>
      </w:r>
      <w:r>
        <w:t xml:space="preserve">es de la dordogne et du lot (Th{\`e}se de doctorat). Universit</w:t>
      </w:r>
      <w:r>
        <w:t xml:space="preserve">é</w:t>
      </w:r>
      <w:r>
        <w:t xml:space="preserve"> </w:t>
      </w:r>
      <w:r>
        <w:t xml:space="preserve">de Bordeaux I, Bordeaux.</w:t>
      </w:r>
    </w:p>
    <w:bookmarkEnd w:id="138"/>
    <w:bookmarkStart w:id="140" w:name="ref-turq1989"/>
    <w:p>
      <w:pPr>
        <w:pStyle w:val="Bibliography"/>
      </w:pPr>
      <w:r>
        <w:t xml:space="preserve">Turq, A., 1989. Approche technologique et économique du faciès Moustérien de type Quina : étude préliminaire. Bulletin de la Société préhistorique française 86, 244–256.</w:t>
      </w:r>
      <w:r>
        <w:t xml:space="preserve"> </w:t>
      </w:r>
      <w:hyperlink r:id="rId139">
        <w:r>
          <w:rPr>
            <w:rStyle w:val="Hyperlink"/>
          </w:rPr>
          <w:t xml:space="preserve">https://doi.org/10.3406/bspf.1989.9390</w:t>
        </w:r>
      </w:hyperlink>
    </w:p>
    <w:bookmarkEnd w:id="140"/>
    <w:bookmarkStart w:id="142" w:name="ref-WangEtAl2021XMZ1"/>
    <w:p>
      <w:pPr>
        <w:pStyle w:val="Bibliography"/>
      </w:pPr>
      <w:r>
        <w:t xml:space="preserve">Wang, F., Guo, Y., Xian, Q., Li, M., Rui, X., Xie, F., 2021. Luminescence chronology for the paleolithic site of xinmiaozhuang locality 1 (XMZ1) in the nihewan basin, northern china, and its paleoenvironmental and archaeological implications. Journal of Human Evolution 157, 103033.</w:t>
      </w:r>
      <w:r>
        <w:t xml:space="preserve"> </w:t>
      </w:r>
      <w:hyperlink r:id="rId141">
        <w:r>
          <w:rPr>
            <w:rStyle w:val="Hyperlink"/>
          </w:rPr>
          <w:t xml:space="preserve">https://doi.org/10.1016/j.jhevol.2021.103033</w:t>
        </w:r>
      </w:hyperlink>
    </w:p>
    <w:bookmarkEnd w:id="142"/>
    <w:bookmarkStart w:id="143" w:name="ref-Welch1947"/>
    <w:p>
      <w:pPr>
        <w:pStyle w:val="Bibliography"/>
      </w:pPr>
      <w:r>
        <w:t xml:space="preserve">Welch, B.L., 1947. The generalization of "student’s" problem when several different population variances are involved. Biometrika 34, 28–35.</w:t>
      </w:r>
    </w:p>
    <w:bookmarkEnd w:id="143"/>
    <w:bookmarkStart w:id="144" w:name="ref-xiao2024a2022"/>
    <w:p>
      <w:pPr>
        <w:pStyle w:val="Bibliography"/>
      </w:pPr>
      <w:r>
        <w:t xml:space="preserve">Xiao, P., Ruan, Q., Gao, Y., others</w:t>
      </w:r>
      <w:r>
        <w:t xml:space="preserve">, 2024. A2022 survey of paleolithic sites in the binchuan basin in yunnan. Acta Anthropologica Sinica 43, 448–457.</w:t>
      </w:r>
    </w:p>
    <w:bookmarkEnd w:id="144"/>
    <w:bookmarkStart w:id="146" w:name="ref-xiaoVariationSouthwestMonsoon2010"/>
    <w:p>
      <w:pPr>
        <w:pStyle w:val="Bibliography"/>
      </w:pPr>
      <w:r>
        <w:t xml:space="preserve">Xiao, X.Y., Shen, J., Wang, S.M., Xiao, H.F., Tong, G.B., 2010. The variation of the southwest monsoon from the high resolution pollen record in heqing basin, yunnan province, china for the last 2.78Ma. Palaeogeography, Palaeoclimatology, Palaeoecology 287, 45–57.</w:t>
      </w:r>
      <w:r>
        <w:t xml:space="preserve"> </w:t>
      </w:r>
      <w:hyperlink r:id="rId145">
        <w:r>
          <w:rPr>
            <w:rStyle w:val="Hyperlink"/>
          </w:rPr>
          <w:t xml:space="preserve">https://doi.org/10.1016/j.palaeo.2010.01.013</w:t>
        </w:r>
      </w:hyperlink>
    </w:p>
    <w:bookmarkEnd w:id="146"/>
    <w:bookmarkStart w:id="148" w:name="ref-zaidnerEndLowerPaleolithic2016"/>
    <w:p>
      <w:pPr>
        <w:pStyle w:val="Bibliography"/>
      </w:pPr>
      <w:r>
        <w:t xml:space="preserve">Zaidner, Y., Weinstein-Evron, M., 2016. The end of the lower paleolithic in the levant: The acheulo-yabrudian lithic technology at misliya cave, israel. Quaternary International 409, 9–22.</w:t>
      </w:r>
      <w:r>
        <w:t xml:space="preserve"> </w:t>
      </w:r>
      <w:hyperlink r:id="rId147">
        <w:r>
          <w:rPr>
            <w:rStyle w:val="Hyperlink"/>
          </w:rPr>
          <w:t xml:space="preserve">https://doi.org/10.1016/j.quaint.2015.12.080</w:t>
        </w:r>
      </w:hyperlink>
    </w:p>
    <w:bookmarkEnd w:id="148"/>
    <w:bookmarkStart w:id="150" w:name="ref-zhaoEarliestCentripetalFlaking2026"/>
    <w:p>
      <w:pPr>
        <w:pStyle w:val="Bibliography"/>
      </w:pPr>
      <w:r>
        <w:t xml:space="preserve">Zhao, Y., Li, Z., Zhang, H., Shao, X., Cai, H., Cui, Y., Li, Y.-N., Cheng, H., Hou, Z., Bae, C.J., Stewart, B.A., 2026. Earliest centripetal flaking system in eastern eurasia reveals human behavioral complexity in late middle pleistocene china. Journal of Human Evolution 103841.</w:t>
      </w:r>
      <w:r>
        <w:t xml:space="preserve"> </w:t>
      </w:r>
      <w:hyperlink r:id="rId149">
        <w:r>
          <w:rPr>
            <w:rStyle w:val="Hyperlink"/>
          </w:rPr>
          <w:t xml:space="preserve">https://doi.org/10.1016/j.jhevol.2026.103841</w:t>
        </w:r>
      </w:hyperlink>
    </w:p>
    <w:bookmarkEnd w:id="150"/>
    <w:bookmarkStart w:id="151" w:name="ref-ZhengEtAl2025Baicaoping"/>
    <w:p>
      <w:pPr>
        <w:pStyle w:val="Bibliography"/>
      </w:pPr>
      <w:r>
        <w:t xml:space="preserve">Zheng, Z., Tan, P., Liao, L., 2025. Preliminary report on the survey of the baicaoping site in the yanyuan basin, liangshan yi autonomous prefecture, sichuan province. Cultural Relics in Southern China 183–189.</w:t>
      </w:r>
    </w:p>
    <w:bookmarkEnd w:id="151"/>
    <w:bookmarkStart w:id="153" w:name="Xc29cd9b96069c4c2bdf9b77cb40d7a4f081332e"/>
    <w:p>
      <w:pPr>
        <w:pStyle w:val="Bibliography"/>
      </w:pPr>
      <w:r>
        <w:t xml:space="preserve">Zhisheng, A., Clemens, S.C., Shen, J., Qiang, X., Jin, Z., Sun, Y., Prell, W.L., Luo, J., Wang, S., Xu, H., Cai, Y., Zhou, W., Liu, X., Liu, W., Shi, Z., Yan, L., Xiao, X., Chang, H., Wu, F., Ai, L., Lu, F., 2011. Glacial-interglacial indian summer monsoon dynamics. Science 333, 719–723.</w:t>
      </w:r>
      <w:r>
        <w:t xml:space="preserve"> </w:t>
      </w:r>
      <w:hyperlink r:id="rId152">
        <w:r>
          <w:rPr>
            <w:rStyle w:val="Hyperlink"/>
          </w:rPr>
          <w:t xml:space="preserve">https://doi.org/10.1126/science.1203752</w:t>
        </w:r>
      </w:hyperlink>
    </w:p>
    <w:bookmarkEnd w:id="153"/>
    <w:bookmarkStart w:id="154" w:name="ref-zingg1935"/>
    <w:p>
      <w:pPr>
        <w:pStyle w:val="Bibliography"/>
      </w:pPr>
      <w:r>
        <w:t xml:space="preserve">Zingg, T., 1935. Beitrag zur schotteranalyse. Schweizerische Mineralogische und Petrographische Mitteilungen 15, 39–140.</w:t>
      </w:r>
    </w:p>
    <w:bookmarkEnd w:id="154"/>
    <w:bookmarkEnd w:id="155"/>
    <w:p>
      <w:r>
        <w:br w:type="page"/>
      </w:r>
    </w:p>
    <w:bookmarkStart w:id="156" w:name="colophon"/>
    <w:p>
      <w:pPr>
        <w:pStyle w:val="Heading2"/>
      </w:pPr>
      <w:r>
        <w:t xml:space="preserve">Colophon</w:t>
      </w:r>
    </w:p>
    <w:p>
      <w:pPr>
        <w:pStyle w:val="FirstParagraph"/>
      </w:pPr>
      <w:r>
        <w:t xml:space="preserve">This report was generated on 2026-07-28 19:51:26.014128 using the following computational environment and dependencies:</w:t>
      </w:r>
    </w:p>
    <w:p>
      <w:pPr>
        <w:pStyle w:val="SourceCode"/>
      </w:pPr>
      <w:r>
        <w:rPr>
          <w:rStyle w:val="VerbatimChar"/>
        </w:rPr>
        <w:t xml:space="preserve">─ Session info ───────────────────────────────────────────────────────────────</w:t>
      </w:r>
      <w:r>
        <w:br/>
      </w:r>
      <w:r>
        <w:rPr>
          <w:rStyle w:val="VerbatimChar"/>
        </w:rPr>
        <w:t xml:space="preserve"> setting  value</w:t>
      </w:r>
      <w:r>
        <w:br/>
      </w:r>
      <w:r>
        <w:rPr>
          <w:rStyle w:val="VerbatimChar"/>
        </w:rPr>
        <w:t xml:space="preserve"> version  R version 4.5.2 (2025-10-31 ucrt)</w:t>
      </w:r>
      <w:r>
        <w:br/>
      </w:r>
      <w:r>
        <w:rPr>
          <w:rStyle w:val="VerbatimChar"/>
        </w:rPr>
        <w:t xml:space="preserve"> os       Windows 11 x64 (build 26200)</w:t>
      </w:r>
      <w:r>
        <w:br/>
      </w:r>
      <w:r>
        <w:rPr>
          <w:rStyle w:val="VerbatimChar"/>
        </w:rPr>
        <w:t xml:space="preserve"> system   x86_64, mingw32</w:t>
      </w:r>
      <w:r>
        <w:br/>
      </w:r>
      <w:r>
        <w:rPr>
          <w:rStyle w:val="VerbatimChar"/>
        </w:rPr>
        <w:t xml:space="preserve"> ui       RTerm</w:t>
      </w:r>
      <w:r>
        <w:br/>
      </w:r>
      <w:r>
        <w:rPr>
          <w:rStyle w:val="VerbatimChar"/>
        </w:rPr>
        <w:t xml:space="preserve"> language (EN)</w:t>
      </w:r>
      <w:r>
        <w:br/>
      </w:r>
      <w:r>
        <w:rPr>
          <w:rStyle w:val="VerbatimChar"/>
        </w:rPr>
        <w:t xml:space="preserve"> collate  Chinese (Simplified)_China.utf8</w:t>
      </w:r>
      <w:r>
        <w:br/>
      </w:r>
      <w:r>
        <w:rPr>
          <w:rStyle w:val="VerbatimChar"/>
        </w:rPr>
        <w:t xml:space="preserve"> ctype    Chinese (Simplified)_China.utf8</w:t>
      </w:r>
      <w:r>
        <w:br/>
      </w:r>
      <w:r>
        <w:rPr>
          <w:rStyle w:val="VerbatimChar"/>
        </w:rPr>
        <w:t xml:space="preserve"> tz       America/Los_Angeles</w:t>
      </w:r>
      <w:r>
        <w:br/>
      </w:r>
      <w:r>
        <w:rPr>
          <w:rStyle w:val="VerbatimChar"/>
        </w:rPr>
        <w:t xml:space="preserve"> date     2026-07-28</w:t>
      </w:r>
      <w:r>
        <w:br/>
      </w:r>
      <w:r>
        <w:rPr>
          <w:rStyle w:val="VerbatimChar"/>
        </w:rPr>
        <w:t xml:space="preserve"> pandoc   3.8.3 @ C:\\Program Files\\Quarto\\bin\\tools/ (via rmarkdown)</w:t>
      </w:r>
      <w:r>
        <w:br/>
      </w:r>
      <w:r>
        <w:rPr>
          <w:rStyle w:val="VerbatimChar"/>
        </w:rPr>
        <w:t xml:space="preserve"> quarto   NA @ C:\\PROGRA~1\\Quarto\\bin\\quarto.exe</w:t>
      </w:r>
      <w:r>
        <w:br/>
      </w:r>
      <w:r>
        <w:br/>
      </w:r>
      <w:r>
        <w:rPr>
          <w:rStyle w:val="VerbatimChar"/>
        </w:rPr>
        <w:t xml:space="preserve">─ Packages ───────────────────────────────────────────────────────────────────</w:t>
      </w:r>
      <w:r>
        <w:br/>
      </w:r>
      <w:r>
        <w:rPr>
          <w:rStyle w:val="VerbatimChar"/>
        </w:rPr>
        <w:t xml:space="preserve"> package      * version date (UTC) lib source</w:t>
      </w:r>
      <w:r>
        <w:br/>
      </w:r>
      <w:r>
        <w:rPr>
          <w:rStyle w:val="VerbatimChar"/>
        </w:rPr>
        <w:t xml:space="preserve"> abind          1.4-8   2024-09-12 [1] CRAN (R 4.5.2)</w:t>
      </w:r>
      <w:r>
        <w:br/>
      </w:r>
      <w:r>
        <w:rPr>
          <w:rStyle w:val="VerbatimChar"/>
        </w:rPr>
        <w:t xml:space="preserve"> backports      1.5.0   2024-05-23 [1] CRAN (R 4.5.2)</w:t>
      </w:r>
      <w:r>
        <w:br/>
      </w:r>
      <w:r>
        <w:rPr>
          <w:rStyle w:val="VerbatimChar"/>
        </w:rPr>
        <w:t xml:space="preserve"> boot           1.3-32  2025-08-29 [1] CRAN (R 4.5.2)</w:t>
      </w:r>
      <w:r>
        <w:br/>
      </w:r>
      <w:r>
        <w:rPr>
          <w:rStyle w:val="VerbatimChar"/>
        </w:rPr>
        <w:t xml:space="preserve"> broom          1.0.12  2026-01-27 [1] CRAN (R 4.5.2)</w:t>
      </w:r>
      <w:r>
        <w:br/>
      </w:r>
      <w:r>
        <w:rPr>
          <w:rStyle w:val="VerbatimChar"/>
        </w:rPr>
        <w:t xml:space="preserve"> cachem         1.1.0   2024-05-16 [1] CRAN (R 4.5.2)</w:t>
      </w:r>
      <w:r>
        <w:br/>
      </w:r>
      <w:r>
        <w:rPr>
          <w:rStyle w:val="VerbatimChar"/>
        </w:rPr>
        <w:t xml:space="preserve"> car            3.1-3   2024-09-27 [1] CRAN (R 4.5.2)</w:t>
      </w:r>
      <w:r>
        <w:br/>
      </w:r>
      <w:r>
        <w:rPr>
          <w:rStyle w:val="VerbatimChar"/>
        </w:rPr>
        <w:t xml:space="preserve"> carData        3.0-6   2026-01-30 [1] CRAN (R 4.5.2)</w:t>
      </w:r>
      <w:r>
        <w:br/>
      </w:r>
      <w:r>
        <w:rPr>
          <w:rStyle w:val="VerbatimChar"/>
        </w:rPr>
        <w:t xml:space="preserve"> cellranger     1.1.0   2016-07-27 [1] CRAN (R 4.5.2)</w:t>
      </w:r>
      <w:r>
        <w:br/>
      </w:r>
      <w:r>
        <w:rPr>
          <w:rStyle w:val="VerbatimChar"/>
        </w:rPr>
        <w:t xml:space="preserve"> cli            3.6.5   2025-04-23 [1] CRAN (R 4.5.2)</w:t>
      </w:r>
      <w:r>
        <w:br/>
      </w:r>
      <w:r>
        <w:rPr>
          <w:rStyle w:val="VerbatimChar"/>
        </w:rPr>
        <w:t xml:space="preserve"> cluster        2.1.8.1 2025-03-12 [1] CRAN (R 4.5.2)</w:t>
      </w:r>
      <w:r>
        <w:br/>
      </w:r>
      <w:r>
        <w:rPr>
          <w:rStyle w:val="VerbatimChar"/>
        </w:rPr>
        <w:t xml:space="preserve"> codetools      0.2-20  2024-03-31 [1] CRAN (R 4.5.2)</w:t>
      </w:r>
      <w:r>
        <w:br/>
      </w:r>
      <w:r>
        <w:rPr>
          <w:rStyle w:val="VerbatimChar"/>
        </w:rPr>
        <w:t xml:space="preserve"> coin           1.4-3   2023-09-27 [1] CRAN (R 4.5.3)</w:t>
      </w:r>
      <w:r>
        <w:br/>
      </w:r>
      <w:r>
        <w:rPr>
          <w:rStyle w:val="VerbatimChar"/>
        </w:rPr>
        <w:t xml:space="preserve"> cvequality   * 0.2.0   2019-01-07 [1] CRAN (R 4.5.3)</w:t>
      </w:r>
      <w:r>
        <w:br/>
      </w:r>
      <w:r>
        <w:rPr>
          <w:rStyle w:val="VerbatimChar"/>
        </w:rPr>
        <w:t xml:space="preserve"> devtools       2.5.0   2026-03-14 [1] CRAN (R 4.5.3)</w:t>
      </w:r>
      <w:r>
        <w:br/>
      </w:r>
      <w:r>
        <w:rPr>
          <w:rStyle w:val="VerbatimChar"/>
        </w:rPr>
        <w:t xml:space="preserve"> dichromat      2.0-0.1 2022-05-02 [1] CRAN (R 4.5.2)</w:t>
      </w:r>
      <w:r>
        <w:br/>
      </w:r>
      <w:r>
        <w:rPr>
          <w:rStyle w:val="VerbatimChar"/>
        </w:rPr>
        <w:t xml:space="preserve"> digest         0.6.39  2025-11-19 [1] CRAN (R 4.5.2)</w:t>
      </w:r>
      <w:r>
        <w:br/>
      </w:r>
      <w:r>
        <w:rPr>
          <w:rStyle w:val="VerbatimChar"/>
        </w:rPr>
        <w:t xml:space="preserve"> dplyr        * 1.2.1   2026-04-03 [1] CRAN (R 4.5.3)</w:t>
      </w:r>
      <w:r>
        <w:br/>
      </w:r>
      <w:r>
        <w:rPr>
          <w:rStyle w:val="VerbatimChar"/>
        </w:rPr>
        <w:t xml:space="preserve"> ellipsis       0.3.2   2021-04-29 [1] CRAN (R 4.5.2)</w:t>
      </w:r>
      <w:r>
        <w:br/>
      </w:r>
      <w:r>
        <w:rPr>
          <w:rStyle w:val="VerbatimChar"/>
        </w:rPr>
        <w:t xml:space="preserve"> evaluate       1.0.5   2025-08-27 [1] CRAN (R 4.5.2)</w:t>
      </w:r>
      <w:r>
        <w:br/>
      </w:r>
      <w:r>
        <w:rPr>
          <w:rStyle w:val="VerbatimChar"/>
        </w:rPr>
        <w:t xml:space="preserve"> farver         2.1.2   2024-05-13 [1] CRAN (R 4.5.2)</w:t>
      </w:r>
      <w:r>
        <w:br/>
      </w:r>
      <w:r>
        <w:rPr>
          <w:rStyle w:val="VerbatimChar"/>
        </w:rPr>
        <w:t xml:space="preserve"> fastmap        1.2.0   2024-05-15 [1] CRAN (R 4.5.2)</w:t>
      </w:r>
      <w:r>
        <w:br/>
      </w:r>
      <w:r>
        <w:rPr>
          <w:rStyle w:val="VerbatimChar"/>
        </w:rPr>
        <w:t xml:space="preserve"> forcats      * 1.0.1   2025-09-25 [1] CRAN (R 4.5.2)</w:t>
      </w:r>
      <w:r>
        <w:br/>
      </w:r>
      <w:r>
        <w:rPr>
          <w:rStyle w:val="VerbatimChar"/>
        </w:rPr>
        <w:t xml:space="preserve"> Formula        1.2-5   2023-02-24 [1] CRAN (R 4.5.2)</w:t>
      </w:r>
      <w:r>
        <w:br/>
      </w:r>
      <w:r>
        <w:rPr>
          <w:rStyle w:val="VerbatimChar"/>
        </w:rPr>
        <w:t xml:space="preserve"> fs             1.6.7   2026-03-06 [1] CRAN (R 4.5.2)</w:t>
      </w:r>
      <w:r>
        <w:br/>
      </w:r>
      <w:r>
        <w:rPr>
          <w:rStyle w:val="VerbatimChar"/>
        </w:rPr>
        <w:t xml:space="preserve"> generics       0.1.4   2025-05-09 [1] CRAN (R 4.5.2)</w:t>
      </w:r>
      <w:r>
        <w:br/>
      </w:r>
      <w:r>
        <w:rPr>
          <w:rStyle w:val="VerbatimChar"/>
        </w:rPr>
        <w:t xml:space="preserve"> ggplot2      * 4.0.3   2026-04-22 [1] CRAN (R 4.5.3)</w:t>
      </w:r>
      <w:r>
        <w:br/>
      </w:r>
      <w:r>
        <w:rPr>
          <w:rStyle w:val="VerbatimChar"/>
        </w:rPr>
        <w:t xml:space="preserve"> ggpubr       * 0.6.2   2025-10-17 [1] CRAN (R 4.5.2)</w:t>
      </w:r>
      <w:r>
        <w:br/>
      </w:r>
      <w:r>
        <w:rPr>
          <w:rStyle w:val="VerbatimChar"/>
        </w:rPr>
        <w:t xml:space="preserve"> ggrepel      * 0.9.6   2024-09-07 [1] CRAN (R 4.5.2)</w:t>
      </w:r>
      <w:r>
        <w:br/>
      </w:r>
      <w:r>
        <w:rPr>
          <w:rStyle w:val="VerbatimChar"/>
        </w:rPr>
        <w:t xml:space="preserve"> ggsignif       0.6.4   2022-10-13 [1] CRAN (R 4.5.2)</w:t>
      </w:r>
      <w:r>
        <w:br/>
      </w:r>
      <w:r>
        <w:rPr>
          <w:rStyle w:val="VerbatimChar"/>
        </w:rPr>
        <w:t xml:space="preserve"> glue           1.8.0   2024-09-30 [1] CRAN (R 4.5.2)</w:t>
      </w:r>
      <w:r>
        <w:br/>
      </w:r>
      <w:r>
        <w:rPr>
          <w:rStyle w:val="VerbatimChar"/>
        </w:rPr>
        <w:t xml:space="preserve"> gtable         0.3.6   2024-10-25 [1] CRAN (R 4.5.2)</w:t>
      </w:r>
      <w:r>
        <w:br/>
      </w:r>
      <w:r>
        <w:rPr>
          <w:rStyle w:val="VerbatimChar"/>
        </w:rPr>
        <w:t xml:space="preserve"> here         * 1.0.2   2025-09-15 [1] CRAN (R 4.5.3)</w:t>
      </w:r>
      <w:r>
        <w:br/>
      </w:r>
      <w:r>
        <w:rPr>
          <w:rStyle w:val="VerbatimChar"/>
        </w:rPr>
        <w:t xml:space="preserve"> hms            1.1.4   2025-10-17 [1] CRAN (R 4.5.2)</w:t>
      </w:r>
      <w:r>
        <w:br/>
      </w:r>
      <w:r>
        <w:rPr>
          <w:rStyle w:val="VerbatimChar"/>
        </w:rPr>
        <w:t xml:space="preserve"> htmltools      0.5.9   2025-12-04 [1] CRAN (R 4.5.3)</w:t>
      </w:r>
      <w:r>
        <w:br/>
      </w:r>
      <w:r>
        <w:rPr>
          <w:rStyle w:val="VerbatimChar"/>
        </w:rPr>
        <w:t xml:space="preserve"> jsonlite       2.0.0   2025-03-27 [1] CRAN (R 4.5.3)</w:t>
      </w:r>
      <w:r>
        <w:br/>
      </w:r>
      <w:r>
        <w:rPr>
          <w:rStyle w:val="VerbatimChar"/>
        </w:rPr>
        <w:t xml:space="preserve"> knitr          1.51    2025-12-20 [1] CRAN (R 4.5.3)</w:t>
      </w:r>
      <w:r>
        <w:br/>
      </w:r>
      <w:r>
        <w:rPr>
          <w:rStyle w:val="VerbatimChar"/>
        </w:rPr>
        <w:t xml:space="preserve"> labeling       0.4.3   2023-08-29 [1] CRAN (R 4.5.2)</w:t>
      </w:r>
      <w:r>
        <w:br/>
      </w:r>
      <w:r>
        <w:rPr>
          <w:rStyle w:val="VerbatimChar"/>
        </w:rPr>
        <w:t xml:space="preserve"> lattice        0.22-7  2025-04-02 [1] CRAN (R 4.5.2)</w:t>
      </w:r>
      <w:r>
        <w:br/>
      </w:r>
      <w:r>
        <w:rPr>
          <w:rStyle w:val="VerbatimChar"/>
        </w:rPr>
        <w:t xml:space="preserve"> libcoin        1.0-13  2026-06-04 [1] CRAN (R 4.5.3)</w:t>
      </w:r>
      <w:r>
        <w:br/>
      </w:r>
      <w:r>
        <w:rPr>
          <w:rStyle w:val="VerbatimChar"/>
        </w:rPr>
        <w:t xml:space="preserve"> lifecycle      1.0.5   2026-01-08 [1] CRAN (R 4.5.2)</w:t>
      </w:r>
      <w:r>
        <w:br/>
      </w:r>
      <w:r>
        <w:rPr>
          <w:rStyle w:val="VerbatimChar"/>
        </w:rPr>
        <w:t xml:space="preserve"> lubridate    * 1.9.4   2024-12-08 [1] CRAN (R 4.5.2)</w:t>
      </w:r>
      <w:r>
        <w:br/>
      </w:r>
      <w:r>
        <w:rPr>
          <w:rStyle w:val="VerbatimChar"/>
        </w:rPr>
        <w:t xml:space="preserve"> magrittr       2.0.4   2025-09-12 [1] CRAN (R 4.5.2)</w:t>
      </w:r>
      <w:r>
        <w:br/>
      </w:r>
      <w:r>
        <w:rPr>
          <w:rStyle w:val="VerbatimChar"/>
        </w:rPr>
        <w:t xml:space="preserve"> MASS           7.3-65  2025-02-28 [1] CRAN (R 4.5.2)</w:t>
      </w:r>
      <w:r>
        <w:br/>
      </w:r>
      <w:r>
        <w:rPr>
          <w:rStyle w:val="VerbatimChar"/>
        </w:rPr>
        <w:t xml:space="preserve"> Matrix         1.7-4   2025-08-28 [1] CRAN (R 4.5.2)</w:t>
      </w:r>
      <w:r>
        <w:br/>
      </w:r>
      <w:r>
        <w:rPr>
          <w:rStyle w:val="VerbatimChar"/>
        </w:rPr>
        <w:t xml:space="preserve"> matrixStats    1.5.0   2025-01-07 [1] CRAN (R 4.5.3)</w:t>
      </w:r>
      <w:r>
        <w:br/>
      </w:r>
      <w:r>
        <w:rPr>
          <w:rStyle w:val="VerbatimChar"/>
        </w:rPr>
        <w:t xml:space="preserve"> memoise        2.0.1   2021-11-26 [1] CRAN (R 4.5.2)</w:t>
      </w:r>
      <w:r>
        <w:br/>
      </w:r>
      <w:r>
        <w:rPr>
          <w:rStyle w:val="VerbatimChar"/>
        </w:rPr>
        <w:t xml:space="preserve"> mgcv           1.9-3   2025-04-04 [1] CRAN (R 4.5.2)</w:t>
      </w:r>
      <w:r>
        <w:br/>
      </w:r>
      <w:r>
        <w:rPr>
          <w:rStyle w:val="VerbatimChar"/>
        </w:rPr>
        <w:t xml:space="preserve"> modeltools     0.2-24  2025-05-02 [1] CRAN (R 4.5.2)</w:t>
      </w:r>
      <w:r>
        <w:br/>
      </w:r>
      <w:r>
        <w:rPr>
          <w:rStyle w:val="VerbatimChar"/>
        </w:rPr>
        <w:t xml:space="preserve"> multcomp       1.4-30  2026-03-09 [1] CRAN (R 4.5.3)</w:t>
      </w:r>
      <w:r>
        <w:br/>
      </w:r>
      <w:r>
        <w:rPr>
          <w:rStyle w:val="VerbatimChar"/>
        </w:rPr>
        <w:t xml:space="preserve"> mvtnorm        1.3-3   2025-01-10 [1] CRAN (R 4.5.2)</w:t>
      </w:r>
      <w:r>
        <w:br/>
      </w:r>
      <w:r>
        <w:rPr>
          <w:rStyle w:val="VerbatimChar"/>
        </w:rPr>
        <w:t xml:space="preserve"> nlme           3.1-168 2025-03-31 [1] CRAN (R 4.5.2)</w:t>
      </w:r>
      <w:r>
        <w:br/>
      </w:r>
      <w:r>
        <w:rPr>
          <w:rStyle w:val="VerbatimChar"/>
        </w:rPr>
        <w:t xml:space="preserve"> otel           0.2.0   2025-08-29 [1] CRAN (R 4.5.2)</w:t>
      </w:r>
      <w:r>
        <w:br/>
      </w:r>
      <w:r>
        <w:rPr>
          <w:rStyle w:val="VerbatimChar"/>
        </w:rPr>
        <w:t xml:space="preserve"> patchwork    * 1.3.2   2025-08-25 [1] CRAN (R 4.5.3)</w:t>
      </w:r>
      <w:r>
        <w:br/>
      </w:r>
      <w:r>
        <w:rPr>
          <w:rStyle w:val="VerbatimChar"/>
        </w:rPr>
        <w:t xml:space="preserve"> permute      * 0.9-8   2025-06-25 [1] CRAN (R 4.5.2)</w:t>
      </w:r>
      <w:r>
        <w:br/>
      </w:r>
      <w:r>
        <w:rPr>
          <w:rStyle w:val="VerbatimChar"/>
        </w:rPr>
        <w:t xml:space="preserve"> pillar         1.11.1  2025-09-17 [1] CRAN (R 4.5.2)</w:t>
      </w:r>
      <w:r>
        <w:br/>
      </w:r>
      <w:r>
        <w:rPr>
          <w:rStyle w:val="VerbatimChar"/>
        </w:rPr>
        <w:t xml:space="preserve"> pkgbuild       1.4.8   2025-05-26 [1] CRAN (R 4.5.2)</w:t>
      </w:r>
      <w:r>
        <w:br/>
      </w:r>
      <w:r>
        <w:rPr>
          <w:rStyle w:val="VerbatimChar"/>
        </w:rPr>
        <w:t xml:space="preserve"> pkgconfig      2.0.3   2019-09-22 [1] CRAN (R 4.5.2)</w:t>
      </w:r>
      <w:r>
        <w:br/>
      </w:r>
      <w:r>
        <w:rPr>
          <w:rStyle w:val="VerbatimChar"/>
        </w:rPr>
        <w:t xml:space="preserve"> pkgload        1.5.0   2026-02-03 [1] CRAN (R 4.5.2)</w:t>
      </w:r>
      <w:r>
        <w:br/>
      </w:r>
      <w:r>
        <w:rPr>
          <w:rStyle w:val="VerbatimChar"/>
        </w:rPr>
        <w:t xml:space="preserve"> purrr        * 1.2.1   2026-01-09 [1] CRAN (R 4.5.2)</w:t>
      </w:r>
      <w:r>
        <w:br/>
      </w:r>
      <w:r>
        <w:rPr>
          <w:rStyle w:val="VerbatimChar"/>
        </w:rPr>
        <w:t xml:space="preserve"> R6             2.6.1   2025-02-15 [1] CRAN (R 4.5.2)</w:t>
      </w:r>
      <w:r>
        <w:br/>
      </w:r>
      <w:r>
        <w:rPr>
          <w:rStyle w:val="VerbatimChar"/>
        </w:rPr>
        <w:t xml:space="preserve"> RColorBrewer   1.1-3   2022-04-03 [1] CRAN (R 4.5.2)</w:t>
      </w:r>
      <w:r>
        <w:br/>
      </w:r>
      <w:r>
        <w:rPr>
          <w:rStyle w:val="VerbatimChar"/>
        </w:rPr>
        <w:t xml:space="preserve"> Rcpp           1.1.1   2026-01-10 [1] CRAN (R 4.5.2)</w:t>
      </w:r>
      <w:r>
        <w:br/>
      </w:r>
      <w:r>
        <w:rPr>
          <w:rStyle w:val="VerbatimChar"/>
        </w:rPr>
        <w:t xml:space="preserve"> readr        * 2.2.0   2026-02-19 [1] CRAN (R 4.5.3)</w:t>
      </w:r>
      <w:r>
        <w:br/>
      </w:r>
      <w:r>
        <w:rPr>
          <w:rStyle w:val="VerbatimChar"/>
        </w:rPr>
        <w:t xml:space="preserve"> readxl       * 1.4.5   2025-03-07 [1] CRAN (R 4.5.3)</w:t>
      </w:r>
      <w:r>
        <w:br/>
      </w:r>
      <w:r>
        <w:rPr>
          <w:rStyle w:val="VerbatimChar"/>
        </w:rPr>
        <w:t xml:space="preserve"> rlang          1.1.7   2026-01-09 [1] CRAN (R 4.5.2)</w:t>
      </w:r>
      <w:r>
        <w:br/>
      </w:r>
      <w:r>
        <w:rPr>
          <w:rStyle w:val="VerbatimChar"/>
        </w:rPr>
        <w:t xml:space="preserve"> rmarkdown      2.31    2026-03-26 [1] CRAN (R 4.5.3)</w:t>
      </w:r>
      <w:r>
        <w:br/>
      </w:r>
      <w:r>
        <w:rPr>
          <w:rStyle w:val="VerbatimChar"/>
        </w:rPr>
        <w:t xml:space="preserve"> rprojroot      2.1.1   2025-08-26 [1] CRAN (R 4.5.2)</w:t>
      </w:r>
      <w:r>
        <w:br/>
      </w:r>
      <w:r>
        <w:rPr>
          <w:rStyle w:val="VerbatimChar"/>
        </w:rPr>
        <w:t xml:space="preserve"> rstatix      * 0.7.3   2025-10-18 [1] CRAN (R 4.5.2)</w:t>
      </w:r>
      <w:r>
        <w:br/>
      </w:r>
      <w:r>
        <w:rPr>
          <w:rStyle w:val="VerbatimChar"/>
        </w:rPr>
        <w:t xml:space="preserve"> S7             0.2.1   2025-11-14 [1] CRAN (R 4.5.2)</w:t>
      </w:r>
      <w:r>
        <w:br/>
      </w:r>
      <w:r>
        <w:rPr>
          <w:rStyle w:val="VerbatimChar"/>
        </w:rPr>
        <w:t xml:space="preserve"> sandwich       3.1-1   2024-09-15 [1] CRAN (R 4.5.2)</w:t>
      </w:r>
      <w:r>
        <w:br/>
      </w:r>
      <w:r>
        <w:rPr>
          <w:rStyle w:val="VerbatimChar"/>
        </w:rPr>
        <w:t xml:space="preserve"> scales         1.4.0   2025-04-24 [1] CRAN (R 4.5.2)</w:t>
      </w:r>
      <w:r>
        <w:br/>
      </w:r>
      <w:r>
        <w:rPr>
          <w:rStyle w:val="VerbatimChar"/>
        </w:rPr>
        <w:t xml:space="preserve"> sessioninfo    1.2.3   2025-02-05 [1] CRAN (R 4.5.2)</w:t>
      </w:r>
      <w:r>
        <w:br/>
      </w:r>
      <w:r>
        <w:rPr>
          <w:rStyle w:val="VerbatimChar"/>
        </w:rPr>
        <w:t xml:space="preserve"> stringi        1.8.7   2025-03-27 [1] CRAN (R 4.5.2)</w:t>
      </w:r>
      <w:r>
        <w:br/>
      </w:r>
      <w:r>
        <w:rPr>
          <w:rStyle w:val="VerbatimChar"/>
        </w:rPr>
        <w:t xml:space="preserve"> stringr      * 1.6.0   2025-11-04 [1] CRAN (R 4.5.2)</w:t>
      </w:r>
      <w:r>
        <w:br/>
      </w:r>
      <w:r>
        <w:rPr>
          <w:rStyle w:val="VerbatimChar"/>
        </w:rPr>
        <w:t xml:space="preserve"> survival       3.8-3   2024-12-17 [1] CRAN (R 4.5.2)</w:t>
      </w:r>
      <w:r>
        <w:br/>
      </w:r>
      <w:r>
        <w:rPr>
          <w:rStyle w:val="VerbatimChar"/>
        </w:rPr>
        <w:t xml:space="preserve"> TH.data        1.1-5   2025-11-17 [1] CRAN (R 4.5.3)</w:t>
      </w:r>
      <w:r>
        <w:br/>
      </w:r>
      <w:r>
        <w:rPr>
          <w:rStyle w:val="VerbatimChar"/>
        </w:rPr>
        <w:t xml:space="preserve"> tibble       * 3.3.1   2026-01-11 [1] CRAN (R 4.5.2)</w:t>
      </w:r>
      <w:r>
        <w:br/>
      </w:r>
      <w:r>
        <w:rPr>
          <w:rStyle w:val="VerbatimChar"/>
        </w:rPr>
        <w:t xml:space="preserve"> tidyr        * 1.3.2   2025-12-19 [1] CRAN (R 4.5.2)</w:t>
      </w:r>
      <w:r>
        <w:br/>
      </w:r>
      <w:r>
        <w:rPr>
          <w:rStyle w:val="VerbatimChar"/>
        </w:rPr>
        <w:t xml:space="preserve"> tidyselect     1.2.1   2024-03-11 [1] CRAN (R 4.5.2)</w:t>
      </w:r>
      <w:r>
        <w:br/>
      </w:r>
      <w:r>
        <w:rPr>
          <w:rStyle w:val="VerbatimChar"/>
        </w:rPr>
        <w:t xml:space="preserve"> tidyverse    * 2.0.0   2023-02-22 [1] CRAN (R 4.5.2)</w:t>
      </w:r>
      <w:r>
        <w:br/>
      </w:r>
      <w:r>
        <w:rPr>
          <w:rStyle w:val="VerbatimChar"/>
        </w:rPr>
        <w:t xml:space="preserve"> timechange     0.4.0   2026-01-29 [1] CRAN (R 4.5.2)</w:t>
      </w:r>
      <w:r>
        <w:br/>
      </w:r>
      <w:r>
        <w:rPr>
          <w:rStyle w:val="VerbatimChar"/>
        </w:rPr>
        <w:t xml:space="preserve"> tzdb           0.5.0   2025-03-15 [1] CRAN (R 4.5.2)</w:t>
      </w:r>
      <w:r>
        <w:br/>
      </w:r>
      <w:r>
        <w:rPr>
          <w:rStyle w:val="VerbatimChar"/>
        </w:rPr>
        <w:t xml:space="preserve"> usethis        3.2.1   2025-09-06 [1] CRAN (R 4.5.2)</w:t>
      </w:r>
      <w:r>
        <w:br/>
      </w:r>
      <w:r>
        <w:rPr>
          <w:rStyle w:val="VerbatimChar"/>
        </w:rPr>
        <w:t xml:space="preserve"> vctrs          0.7.1   2026-01-23 [1] CRAN (R 4.5.2)</w:t>
      </w:r>
      <w:r>
        <w:br/>
      </w:r>
      <w:r>
        <w:rPr>
          <w:rStyle w:val="VerbatimChar"/>
        </w:rPr>
        <w:t xml:space="preserve"> vegan        * 2.7-2   2025-10-08 [1] CRAN (R 4.5.2)</w:t>
      </w:r>
      <w:r>
        <w:br/>
      </w:r>
      <w:r>
        <w:rPr>
          <w:rStyle w:val="VerbatimChar"/>
        </w:rPr>
        <w:t xml:space="preserve"> withr          3.0.2   2024-10-28 [1] CRAN (R 4.5.2)</w:t>
      </w:r>
      <w:r>
        <w:br/>
      </w:r>
      <w:r>
        <w:rPr>
          <w:rStyle w:val="VerbatimChar"/>
        </w:rPr>
        <w:t xml:space="preserve"> xfun           0.56    2026-01-18 [1] CRAN (R 4.5.2)</w:t>
      </w:r>
      <w:r>
        <w:br/>
      </w:r>
      <w:r>
        <w:rPr>
          <w:rStyle w:val="VerbatimChar"/>
        </w:rPr>
        <w:t xml:space="preserve"> yaml           2.3.12  2025-12-10 [1] CRAN (R 4.5.2)</w:t>
      </w:r>
      <w:r>
        <w:br/>
      </w:r>
      <w:r>
        <w:rPr>
          <w:rStyle w:val="VerbatimChar"/>
        </w:rPr>
        <w:t xml:space="preserve"> zoo            1.8-15  2025-12-15 [1] CRAN (R 4.5.2)</w:t>
      </w:r>
      <w:r>
        <w:br/>
      </w:r>
      <w:r>
        <w:br/>
      </w:r>
      <w:r>
        <w:rPr>
          <w:rStyle w:val="VerbatimChar"/>
        </w:rPr>
        <w:t xml:space="preserve"> [1] F:/R/R-4.5.2/library</w:t>
      </w:r>
      <w:r>
        <w:br/>
      </w:r>
      <w:r>
        <w:rPr>
          <w:rStyle w:val="VerbatimChar"/>
        </w:rPr>
        <w:t xml:space="preserve"> * ── Packages attached to the search path.</w:t>
      </w:r>
      <w:r>
        <w:br/>
      </w:r>
      <w:r>
        <w:br/>
      </w:r>
      <w:r>
        <w:rPr>
          <w:rStyle w:val="VerbatimChar"/>
        </w:rPr>
        <w:t xml:space="preserve">──────────────────────────────────────────────────────────────────────────────</w:t>
      </w:r>
    </w:p>
    <w:bookmarkEnd w:id="156"/>
    <w:bookmarkEnd w:id="157"/>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2"/>
  </w:num>
  <w:num w:numId="2">
    <w:abstractNumId w:val="1"/>
  </w:num>
  <w:num w:numId="3">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11C8B"/>
    <w:rsid w:val="00014752"/>
    <w:rsid w:val="004C579B"/>
    <w:rsid w:val="004E29B3"/>
    <w:rsid w:val="00590D07"/>
    <w:rsid w:val="005A091B"/>
    <w:rsid w:val="00705E12"/>
    <w:rsid w:val="00784D58"/>
    <w:rsid w:val="00884F3F"/>
    <w:rsid w:val="008D6863"/>
    <w:rsid w:val="00970303"/>
    <w:rsid w:val="00B86B75"/>
    <w:rsid w:val="00BC48D5"/>
    <w:rsid w:val="00C36279"/>
    <w:rsid w:val="00DA425F"/>
    <w:rsid w:val="00E315A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 w:styleId="Table" w:type="table">
    <w:name w:val="Table"/>
    <w:basedOn w:val="TableNormal"/>
    <w:uiPriority w:val="99"/>
    <w:rPr>
      <w:sz w:val="18"/>
      <w:szCs w:val="18"/>
    </w:rPr>
    <w:tblPr>
      <w:tblCellMar>
        <w:left w:type="dxa" w:w="108"/>
        <w:right w:type="dxa" w:w="108"/>
      </w:tblCellMar>
    </w:tblPr>
    <w:tblStylePr w:type="firstRow">
      <w:rPr>
        <w:b/>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38" Target="media/rId38.png" /><Relationship Type="http://schemas.openxmlformats.org/officeDocument/2006/relationships/image" Id="rId12" Target="media/rId12.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hyperlink" Id="rId97" Target="https://doi.org/10.1002/9781444311976.ch17" TargetMode="External" /><Relationship Type="http://schemas.openxmlformats.org/officeDocument/2006/relationships/hyperlink" Id="rId75" Target="https://doi.org/10.1007/0-387-24661-4_5" TargetMode="External" /><Relationship Type="http://schemas.openxmlformats.org/officeDocument/2006/relationships/hyperlink" Id="rId124" Target="https://doi.org/10.1007/978-0-387-76487-0_15" TargetMode="External" /><Relationship Type="http://schemas.openxmlformats.org/officeDocument/2006/relationships/hyperlink" Id="rId103" Target="https://doi.org/10.1007/BF00384581" TargetMode="External" /><Relationship Type="http://schemas.openxmlformats.org/officeDocument/2006/relationships/hyperlink" Id="rId106" Target="https://doi.org/10.1007/s00180-013-0445-2" TargetMode="External" /><Relationship Type="http://schemas.openxmlformats.org/officeDocument/2006/relationships/hyperlink" Id="rId119" Target="https://doi.org/10.1007/s10816-015-9272-9" TargetMode="External" /><Relationship Type="http://schemas.openxmlformats.org/officeDocument/2006/relationships/hyperlink" Id="rId115" Target="https://doi.org/10.1007/s12520-018-0759-7" TargetMode="External" /><Relationship Type="http://schemas.openxmlformats.org/officeDocument/2006/relationships/hyperlink" Id="rId81" Target="https://doi.org/10.1007/s12520-022-01684-2" TargetMode="External" /><Relationship Type="http://schemas.openxmlformats.org/officeDocument/2006/relationships/hyperlink" Id="rId99" Target="https://doi.org/10.1007/s12520-024-02022-4" TargetMode="External" /><Relationship Type="http://schemas.openxmlformats.org/officeDocument/2006/relationships/hyperlink" Id="rId109" Target="https://doi.org/10.1016/0305-4403(90)90038-7" TargetMode="External" /><Relationship Type="http://schemas.openxmlformats.org/officeDocument/2006/relationships/hyperlink" Id="rId77" Target="https://doi.org/10.1016/j.jas.2011.04.007" TargetMode="External" /><Relationship Type="http://schemas.openxmlformats.org/officeDocument/2006/relationships/hyperlink" Id="rId84" Target="https://doi.org/10.1016/j.jas.2014.05.034" TargetMode="External" /><Relationship Type="http://schemas.openxmlformats.org/officeDocument/2006/relationships/hyperlink" Id="rId126" Target="https://doi.org/10.1016/j.jasrep.2023.103998" TargetMode="External" /><Relationship Type="http://schemas.openxmlformats.org/officeDocument/2006/relationships/hyperlink" Id="rId113" Target="https://doi.org/10.1016/j.jhevol.2017.10.004" TargetMode="External" /><Relationship Type="http://schemas.openxmlformats.org/officeDocument/2006/relationships/hyperlink" Id="rId59" Target="https://doi.org/10.1016/j.jhevol.2020.102798" TargetMode="External" /><Relationship Type="http://schemas.openxmlformats.org/officeDocument/2006/relationships/hyperlink" Id="rId141" Target="https://doi.org/10.1016/j.jhevol.2021.103033" TargetMode="External" /><Relationship Type="http://schemas.openxmlformats.org/officeDocument/2006/relationships/hyperlink" Id="rId149" Target="https://doi.org/10.1016/j.jhevol.2026.103841" TargetMode="External" /><Relationship Type="http://schemas.openxmlformats.org/officeDocument/2006/relationships/hyperlink" Id="rId145" Target="https://doi.org/10.1016/j.palaeo.2010.01.013" TargetMode="External" /><Relationship Type="http://schemas.openxmlformats.org/officeDocument/2006/relationships/hyperlink" Id="rId88" Target="https://doi.org/10.1016/j.quageo.2022.101266" TargetMode="External" /><Relationship Type="http://schemas.openxmlformats.org/officeDocument/2006/relationships/hyperlink" Id="rId111" Target="https://doi.org/10.1016/j.quaint.2015.05.013" TargetMode="External" /><Relationship Type="http://schemas.openxmlformats.org/officeDocument/2006/relationships/hyperlink" Id="rId70" Target="https://doi.org/10.1016/j.quaint.2015.12.033" TargetMode="External" /><Relationship Type="http://schemas.openxmlformats.org/officeDocument/2006/relationships/hyperlink" Id="rId147" Target="https://doi.org/10.1016/j.quaint.2015.12.080" TargetMode="External" /><Relationship Type="http://schemas.openxmlformats.org/officeDocument/2006/relationships/hyperlink" Id="rId86" Target="https://doi.org/10.1016/j.quaint.2016.02.060" TargetMode="External" /><Relationship Type="http://schemas.openxmlformats.org/officeDocument/2006/relationships/hyperlink" Id="rId93" Target="https://doi.org/10.1017/CBO9780511499661.006" TargetMode="External" /><Relationship Type="http://schemas.openxmlformats.org/officeDocument/2006/relationships/hyperlink" Id="rId101" Target="https://doi.org/10.1038/s41586-018-0710-1" TargetMode="External" /><Relationship Type="http://schemas.openxmlformats.org/officeDocument/2006/relationships/hyperlink" Id="rId132" Target="https://doi.org/10.1073/pnas.2418029122" TargetMode="External" /><Relationship Type="http://schemas.openxmlformats.org/officeDocument/2006/relationships/hyperlink" Id="rId68" Target="https://doi.org/10.1073/pnas.2518182122" TargetMode="External" /><Relationship Type="http://schemas.openxmlformats.org/officeDocument/2006/relationships/hyperlink" Id="rId130" Target="https://doi.org/10.1073/pnas.2519000122" TargetMode="External" /><Relationship Type="http://schemas.openxmlformats.org/officeDocument/2006/relationships/hyperlink" Id="rId117" Target="https://doi.org/10.1080/01977261.2020.1819048" TargetMode="External" /><Relationship Type="http://schemas.openxmlformats.org/officeDocument/2006/relationships/hyperlink" Id="rId134" Target="https://doi.org/10.1086/626490" TargetMode="External" /><Relationship Type="http://schemas.openxmlformats.org/officeDocument/2006/relationships/hyperlink" Id="rId90" Target="https://doi.org/10.1086/673502" TargetMode="External" /><Relationship Type="http://schemas.openxmlformats.org/officeDocument/2006/relationships/hyperlink" Id="rId152" Target="https://doi.org/10.1126/science.1203752" TargetMode="External" /><Relationship Type="http://schemas.openxmlformats.org/officeDocument/2006/relationships/hyperlink" Id="rId62" Target="https://doi.org/10.1126/science.134.3482.803" TargetMode="External" /><Relationship Type="http://schemas.openxmlformats.org/officeDocument/2006/relationships/hyperlink" Id="rId95" Target="https://doi.org/10.2307/40035303" TargetMode="External" /><Relationship Type="http://schemas.openxmlformats.org/officeDocument/2006/relationships/hyperlink" Id="rId121" Target="https://doi.org/10.31235/osf.io/72n8g" TargetMode="External" /><Relationship Type="http://schemas.openxmlformats.org/officeDocument/2006/relationships/hyperlink" Id="rId139" Target="https://doi.org/10.3406/bspf.1989.9390" TargetMode="External" /><Relationship Type="http://schemas.openxmlformats.org/officeDocument/2006/relationships/hyperlink" Id="rId72" Target="https://doi.org/10.3406/galip.2012.2492" TargetMode="External" /><Relationship Type="http://schemas.openxmlformats.org/officeDocument/2006/relationships/hyperlink" Id="rId79" Target="https://doi.org/10.3406/pal.1996.905" TargetMode="External" /><Relationship Type="http://schemas.openxmlformats.org/officeDocument/2006/relationships/hyperlink" Id="rId136" Target="https://doi.org/10.3406/pal.2000.1275" TargetMode="External" /><Relationship Type="http://schemas.openxmlformats.org/officeDocument/2006/relationships/hyperlink" Id="rId128" Target="https://www.R-project.org/" TargetMode="External" /><Relationship Type="http://schemas.openxmlformats.org/officeDocument/2006/relationships/hyperlink" Id="rId9"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02/9781444311976.ch17" TargetMode="External" /><Relationship Type="http://schemas.openxmlformats.org/officeDocument/2006/relationships/hyperlink" Id="rId75" Target="https://doi.org/10.1007/0-387-24661-4_5" TargetMode="External" /><Relationship Type="http://schemas.openxmlformats.org/officeDocument/2006/relationships/hyperlink" Id="rId124" Target="https://doi.org/10.1007/978-0-387-76487-0_15" TargetMode="External" /><Relationship Type="http://schemas.openxmlformats.org/officeDocument/2006/relationships/hyperlink" Id="rId103" Target="https://doi.org/10.1007/BF00384581" TargetMode="External" /><Relationship Type="http://schemas.openxmlformats.org/officeDocument/2006/relationships/hyperlink" Id="rId106" Target="https://doi.org/10.1007/s00180-013-0445-2" TargetMode="External" /><Relationship Type="http://schemas.openxmlformats.org/officeDocument/2006/relationships/hyperlink" Id="rId119" Target="https://doi.org/10.1007/s10816-015-9272-9" TargetMode="External" /><Relationship Type="http://schemas.openxmlformats.org/officeDocument/2006/relationships/hyperlink" Id="rId115" Target="https://doi.org/10.1007/s12520-018-0759-7" TargetMode="External" /><Relationship Type="http://schemas.openxmlformats.org/officeDocument/2006/relationships/hyperlink" Id="rId81" Target="https://doi.org/10.1007/s12520-022-01684-2" TargetMode="External" /><Relationship Type="http://schemas.openxmlformats.org/officeDocument/2006/relationships/hyperlink" Id="rId99" Target="https://doi.org/10.1007/s12520-024-02022-4" TargetMode="External" /><Relationship Type="http://schemas.openxmlformats.org/officeDocument/2006/relationships/hyperlink" Id="rId109" Target="https://doi.org/10.1016/0305-4403(90)90038-7" TargetMode="External" /><Relationship Type="http://schemas.openxmlformats.org/officeDocument/2006/relationships/hyperlink" Id="rId77" Target="https://doi.org/10.1016/j.jas.2011.04.007" TargetMode="External" /><Relationship Type="http://schemas.openxmlformats.org/officeDocument/2006/relationships/hyperlink" Id="rId84" Target="https://doi.org/10.1016/j.jas.2014.05.034" TargetMode="External" /><Relationship Type="http://schemas.openxmlformats.org/officeDocument/2006/relationships/hyperlink" Id="rId126" Target="https://doi.org/10.1016/j.jasrep.2023.103998" TargetMode="External" /><Relationship Type="http://schemas.openxmlformats.org/officeDocument/2006/relationships/hyperlink" Id="rId113" Target="https://doi.org/10.1016/j.jhevol.2017.10.004" TargetMode="External" /><Relationship Type="http://schemas.openxmlformats.org/officeDocument/2006/relationships/hyperlink" Id="rId59" Target="https://doi.org/10.1016/j.jhevol.2020.102798" TargetMode="External" /><Relationship Type="http://schemas.openxmlformats.org/officeDocument/2006/relationships/hyperlink" Id="rId141" Target="https://doi.org/10.1016/j.jhevol.2021.103033" TargetMode="External" /><Relationship Type="http://schemas.openxmlformats.org/officeDocument/2006/relationships/hyperlink" Id="rId149" Target="https://doi.org/10.1016/j.jhevol.2026.103841" TargetMode="External" /><Relationship Type="http://schemas.openxmlformats.org/officeDocument/2006/relationships/hyperlink" Id="rId145" Target="https://doi.org/10.1016/j.palaeo.2010.01.013" TargetMode="External" /><Relationship Type="http://schemas.openxmlformats.org/officeDocument/2006/relationships/hyperlink" Id="rId88" Target="https://doi.org/10.1016/j.quageo.2022.101266" TargetMode="External" /><Relationship Type="http://schemas.openxmlformats.org/officeDocument/2006/relationships/hyperlink" Id="rId111" Target="https://doi.org/10.1016/j.quaint.2015.05.013" TargetMode="External" /><Relationship Type="http://schemas.openxmlformats.org/officeDocument/2006/relationships/hyperlink" Id="rId70" Target="https://doi.org/10.1016/j.quaint.2015.12.033" TargetMode="External" /><Relationship Type="http://schemas.openxmlformats.org/officeDocument/2006/relationships/hyperlink" Id="rId147" Target="https://doi.org/10.1016/j.quaint.2015.12.080" TargetMode="External" /><Relationship Type="http://schemas.openxmlformats.org/officeDocument/2006/relationships/hyperlink" Id="rId86" Target="https://doi.org/10.1016/j.quaint.2016.02.060" TargetMode="External" /><Relationship Type="http://schemas.openxmlformats.org/officeDocument/2006/relationships/hyperlink" Id="rId93" Target="https://doi.org/10.1017/CBO9780511499661.006" TargetMode="External" /><Relationship Type="http://schemas.openxmlformats.org/officeDocument/2006/relationships/hyperlink" Id="rId101" Target="https://doi.org/10.1038/s41586-018-0710-1" TargetMode="External" /><Relationship Type="http://schemas.openxmlformats.org/officeDocument/2006/relationships/hyperlink" Id="rId132" Target="https://doi.org/10.1073/pnas.2418029122" TargetMode="External" /><Relationship Type="http://schemas.openxmlformats.org/officeDocument/2006/relationships/hyperlink" Id="rId68" Target="https://doi.org/10.1073/pnas.2518182122" TargetMode="External" /><Relationship Type="http://schemas.openxmlformats.org/officeDocument/2006/relationships/hyperlink" Id="rId130" Target="https://doi.org/10.1073/pnas.2519000122" TargetMode="External" /><Relationship Type="http://schemas.openxmlformats.org/officeDocument/2006/relationships/hyperlink" Id="rId117" Target="https://doi.org/10.1080/01977261.2020.1819048" TargetMode="External" /><Relationship Type="http://schemas.openxmlformats.org/officeDocument/2006/relationships/hyperlink" Id="rId134" Target="https://doi.org/10.1086/626490" TargetMode="External" /><Relationship Type="http://schemas.openxmlformats.org/officeDocument/2006/relationships/hyperlink" Id="rId90" Target="https://doi.org/10.1086/673502" TargetMode="External" /><Relationship Type="http://schemas.openxmlformats.org/officeDocument/2006/relationships/hyperlink" Id="rId152" Target="https://doi.org/10.1126/science.1203752" TargetMode="External" /><Relationship Type="http://schemas.openxmlformats.org/officeDocument/2006/relationships/hyperlink" Id="rId62" Target="https://doi.org/10.1126/science.134.3482.803" TargetMode="External" /><Relationship Type="http://schemas.openxmlformats.org/officeDocument/2006/relationships/hyperlink" Id="rId95" Target="https://doi.org/10.2307/40035303" TargetMode="External" /><Relationship Type="http://schemas.openxmlformats.org/officeDocument/2006/relationships/hyperlink" Id="rId121" Target="https://doi.org/10.31235/osf.io/72n8g" TargetMode="External" /><Relationship Type="http://schemas.openxmlformats.org/officeDocument/2006/relationships/hyperlink" Id="rId139" Target="https://doi.org/10.3406/bspf.1989.9390" TargetMode="External" /><Relationship Type="http://schemas.openxmlformats.org/officeDocument/2006/relationships/hyperlink" Id="rId72" Target="https://doi.org/10.3406/galip.2012.2492" TargetMode="External" /><Relationship Type="http://schemas.openxmlformats.org/officeDocument/2006/relationships/hyperlink" Id="rId79" Target="https://doi.org/10.3406/pal.1996.905" TargetMode="External" /><Relationship Type="http://schemas.openxmlformats.org/officeDocument/2006/relationships/hyperlink" Id="rId136" Target="https://doi.org/10.3406/pal.2000.1275" TargetMode="External" /><Relationship Type="http://schemas.openxmlformats.org/officeDocument/2006/relationships/hyperlink" Id="rId128" Target="https://www.R-project.org/" TargetMode="External" /><Relationship Type="http://schemas.openxmlformats.org/officeDocument/2006/relationships/hyperlink" Id="rId9"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Quina Valley: a regional Middle Palaeolithic technological system on the southeastern margin of the Tibetan Plateau</dc:title>
  <dc:creator>Peiyuan Xiaoa,b,c, Qijun Ruand, Zhenxiu Jiaa, Marco Peresanie,f, Davide Delpianoe, and Ben Marwickc,✉</dc:creator>
  <cp:keywords>Middle Paleolithic, Southeastern Tibetan Plateau, Quina technology, Quina valleys</cp:keywords>
  <dcterms:created xsi:type="dcterms:W3CDTF">2026-07-29T02:51:31Z</dcterms:created>
  <dcterms:modified xsi:type="dcterms:W3CDTF">2026-07-29T02:51:31Z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Middle Palaeolithic assemblages vary widely in technology, and whether that variability reflects separate cultural traditions or shared responses to environmental pressures is a long-standing question in the study of human evolution. Among the most distinctive of these technologies is Quina, a specific technological behaviour built around thick, asymmetric blanks and the prolonged resharpening and recycling of the tools made on them, and long understood as an adaptation to high mobility in open, seasonally structured environments. In Europe, where it has been studied for over a century, Quina documented within a narrow glacial interval; in the eastern Old World it was, until recently, unknown. The identification of a complete Quina system at Longtan, on the southeastern margin of the Tibetan Plateau, changed this, but rested on a single case. Here we show that Longtan is not an isolated occurrence but one instance of a regional practice. Analysing Quina scrapers and resharpening flakes surface collected across two basins, and testing them against the Longtan material, we find that they share the same technological concept and the same strong preference for a single raw material, without systematic variation across the landscape; we term this regional entity the Quina Valley. Its setting, a dry-hot valley on the plateau margin, is far removed from the cold, open landscapes of the European Quina, yet poses an ecological problem of the same structure, one of patchy, seasonally organised resources reached by moving through the terrain. The significance of this study lies not only in identifying a regional Quina entity on the eastern side of the Old World, but also in providing an environmental rationale for its emergence in this region. Future excavation, by recovering absolute ages and faunal remains, will be essential to building a regional chronological framework, identifying the people behind this technology and reconstructing the subsistence strategies it served.</vt:lpwstr>
  </property>
  <property fmtid="{D5CDD505-2E9C-101B-9397-08002B2CF9AE}" pid="3" name="affiliation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crossref">
    <vt:lpwstr/>
  </property>
  <property fmtid="{D5CDD505-2E9C-101B-9397-08002B2CF9AE}" pid="8" name="csl">
    <vt:lpwstr>../templates/elsevier-harvard.csl</vt:lpwstr>
  </property>
  <property fmtid="{D5CDD505-2E9C-101B-9397-08002B2CF9AE}" pid="9" name="date">
    <vt:lpwstr>July 28, 2026</vt:lpwstr>
  </property>
  <property fmtid="{D5CDD505-2E9C-101B-9397-08002B2CF9AE}" pid="10" name="date-format">
    <vt:lpwstr>long</vt:lpwstr>
  </property>
  <property fmtid="{D5CDD505-2E9C-101B-9397-08002B2CF9AE}" pid="11" name="editor_options">
    <vt:lpwstr/>
  </property>
  <property fmtid="{D5CDD505-2E9C-101B-9397-08002B2CF9AE}" pid="12" name="engines">
    <vt:lpwstr/>
  </property>
  <property fmtid="{D5CDD505-2E9C-101B-9397-08002B2CF9AE}" pid="13" name="execute">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institutes">
    <vt:lpwstr/>
  </property>
  <property fmtid="{D5CDD505-2E9C-101B-9397-08002B2CF9AE}" pid="18" name="labels">
    <vt:lpwstr/>
  </property>
  <property fmtid="{D5CDD505-2E9C-101B-9397-08002B2CF9AE}" pid="19" name="title-block-published">
    <vt:lpwstr>Last updated</vt:lpwstr>
  </property>
  <property fmtid="{D5CDD505-2E9C-101B-9397-08002B2CF9AE}" pid="20" name="toc-title">
    <vt:lpwstr>Table of contents</vt:lpwstr>
  </property>
</Properties>
</file>