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7.png" ContentType="image/png"/>
  <Override PartName="/word/media/rId18.png" ContentType="image/png"/>
  <Override PartName="/word/media/rId22.png" ContentType="image/png"/>
  <Override PartName="/word/media/rId32.png" ContentType="image/png"/>
  <Override PartName="/word/media/rId4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The Quina Valley: a regional Middle Palaeolithic technological system on the southeastern margin of the Tibetan Plateau</w:t>
      </w:r>
    </w:p>
    <w:p>
      <w:pPr>
        <w:pStyle w:val="Date"/>
      </w:pPr>
      <w:r>
        <w:t xml:space="preserve">July 22, 2026</w:t>
      </w:r>
    </w:p>
    <w:p>
      <w:pPr>
        <w:pStyle w:val="FirstParagraph"/>
      </w:pPr>
      <w:r>
        <w:t xml:space="preserve">This document reports the full statistical output behind the results summarised in the main text, together with the diagnostic and robustness analyses that support them. Every number here is computed from the same data, in the same run and on the same fixed seed (2226) as the corresponding number in the paper: both documents source a single analysis file, so a value can never differ between them. Permutation tests use 9,999 permutations throughout, and every family of multiple comparisons carries a Bonferroni adjustment. The data and code needed to regenerate this document are deposited with the research compendium.</w:t>
      </w:r>
    </w:p>
    <w:p>
      <w:pPr>
        <w:pStyle w:val="BodyText"/>
      </w:pPr>
      <w:r>
        <w:t xml:space="preserve">The four sections follow the order of the Results. Within each, the complete test tables come first, then the diagnostics, then the sensitivity analyses.</w:t>
      </w:r>
    </w:p>
    <w:p>
      <w:r>
        <w:br w:type="page"/>
      </w:r>
    </w:p>
    <w:bookmarkStart w:id="13" w:name="X41ebab5d230dbf35174d56f6285beb286ced9d7"/>
    <w:p>
      <w:pPr>
        <w:pStyle w:val="Heading1"/>
      </w:pPr>
      <w:r>
        <w:t xml:space="preserve">S1. Landscape distribution and raw material economy</w:t>
      </w:r>
    </w:p>
    <w:p>
      <w:pPr>
        <w:pStyle w:val="FirstParagraph"/>
      </w:pPr>
      <w:hyperlink w:anchor="tbl-composition">
        <w:r>
          <w:rPr>
            <w:rStyle w:val="Hyperlink"/>
          </w:rPr>
          <w:t xml:space="preserve">Table S1</w:t>
        </w:r>
      </w:hyperlink>
      <w:r>
        <w:t xml:space="preserve"> </w:t>
      </w:r>
      <w:r>
        <w:t xml:space="preserve">gives the counts and percentages behind the composition figure of the main text. Each valley is summarised twice: once for the cobbles recorded on its gravel bars and once for the Quina scrapers collected from its localities. The contrast that the electivity index formalises is already visible here, in that sandstone dominates every set of bars while trachyte dominates every set of artefacts.</w:t>
      </w:r>
    </w:p>
    <w:tbl>
      <w:tblPr>
        <w:tblStyle w:val="Table"/>
        <w:tblW w:type="pct" w:w="5000"/>
        <w:tblLayout w:type="fixed"/>
        <w:tblLook w:firstRow="0" w:lastRow="0" w:firstColumn="0" w:lastColumn="0" w:noHBand="0" w:noVBand="0" w:val="0000"/>
      </w:tblPr>
      <w:tblGrid>
        <w:gridCol w:w="7920"/>
      </w:tblGrid>
      <w:tr>
        <w:tc>
          <w:tcPr/>
          <w:bookmarkStart w:id="9" w:name="tbl-composition"/>
          <w:p>
            <w:pPr>
              <w:jc w:val="center"/>
            </w:pPr>
            <w:pPr>
              <w:jc w:val="left"/>
              <w:spacing w:before="200"/>
              <w:pStyle w:val="ImageCaption"/>
            </w:pPr>
            <w:r>
              <w:t xml:space="preserve">Table S1: Raw material composition of the river-bar cobbles and of the surface-collected Quina scrapers, by valley. Cells give the count with the percentage of the row in parentheses. Artefacts are restricted to the localities that carry a valley assignment, as in the corresponding figure of the main text, which is why the artefact total falls slightly below the whole scraper assemblage.</w:t>
            </w:r>
          </w:p>
          <w:tbl>
            <w:tblPr>
              <w:tblStyle w:val="Table"/>
              <w:tblW w:type="pct" w:w="5000"/>
              <w:tblLayout w:type="fixed"/>
              <w:tblLook w:firstRow="1" w:lastRow="0" w:firstColumn="0" w:lastColumn="0" w:noHBand="0" w:noVBand="0" w:val="0020"/>
            </w:tblPr>
            <w:tblGrid>
              <w:gridCol w:w="2607"/>
              <w:gridCol w:w="1159"/>
              <w:gridCol w:w="1159"/>
              <w:gridCol w:w="869"/>
              <w:gridCol w:w="869"/>
              <w:gridCol w:w="869"/>
              <w:gridCol w:w="386"/>
            </w:tblGrid>
            <w:tr>
              <w:trPr>
                <w:tblHeader w:val="on"/>
              </w:trPr>
              <w:tc>
                <w:tcPr/>
                <w:p>
                  <w:pPr>
                    <w:pStyle w:val="Compact"/>
                    <w:jc w:val="left"/>
                    <w:jc w:val="center"/>
                  </w:pPr>
                  <w:r>
                    <w:t xml:space="preserve">Valley</w:t>
                  </w:r>
                </w:p>
              </w:tc>
              <w:tc>
                <w:tcPr/>
                <w:p>
                  <w:pPr>
                    <w:pStyle w:val="Compact"/>
                    <w:jc w:val="right"/>
                    <w:jc w:val="center"/>
                  </w:pPr>
                  <w:r>
                    <w:t xml:space="preserve">Trachyte</w:t>
                  </w:r>
                </w:p>
              </w:tc>
              <w:tc>
                <w:tcPr/>
                <w:p>
                  <w:pPr>
                    <w:pStyle w:val="Compact"/>
                    <w:jc w:val="right"/>
                    <w:jc w:val="center"/>
                  </w:pPr>
                  <w:r>
                    <w:t xml:space="preserve">Sandstone</w:t>
                  </w:r>
                </w:p>
              </w:tc>
              <w:tc>
                <w:tcPr/>
                <w:p>
                  <w:pPr>
                    <w:pStyle w:val="Compact"/>
                    <w:jc w:val="right"/>
                    <w:jc w:val="center"/>
                  </w:pPr>
                  <w:r>
                    <w:t xml:space="preserve">Quartz</w:t>
                  </w:r>
                </w:p>
              </w:tc>
              <w:tc>
                <w:tcPr/>
                <w:p>
                  <w:pPr>
                    <w:pStyle w:val="Compact"/>
                    <w:jc w:val="right"/>
                    <w:jc w:val="center"/>
                  </w:pPr>
                  <w:r>
                    <w:t xml:space="preserve">Mudstone</w:t>
                  </w:r>
                </w:p>
              </w:tc>
              <w:tc>
                <w:tcPr/>
                <w:p>
                  <w:pPr>
                    <w:pStyle w:val="Compact"/>
                    <w:jc w:val="right"/>
                    <w:jc w:val="center"/>
                  </w:pPr>
                  <w:r>
                    <w:t xml:space="preserve">Andesite</w:t>
                  </w:r>
                </w:p>
              </w:tc>
              <w:tc>
                <w:tcPr/>
                <w:p>
                  <w:pPr>
                    <w:pStyle w:val="Compact"/>
                    <w:jc w:val="right"/>
                    <w:jc w:val="center"/>
                  </w:pPr>
                  <w:r>
                    <w:rPr>
                      <w:i/>
                      <w:iCs/>
                    </w:rPr>
                    <w:t xml:space="preserve">n</w:t>
                  </w:r>
                </w:p>
              </w:tc>
            </w:tr>
            <w:tr>
              <w:tc>
                <w:tcPr/>
                <w:p>
                  <w:pPr>
                    <w:pStyle w:val="Compact"/>
                    <w:jc w:val="left"/>
                    <w:jc w:val="center"/>
                  </w:pPr>
                  <w:r>
                    <w:rPr>
                      <w:b/>
                      <w:bCs/>
                    </w:rPr>
                    <w:t xml:space="preserve">River cobbles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9 (8.9%)</w:t>
                  </w:r>
                </w:p>
              </w:tc>
              <w:tc>
                <w:tcPr/>
                <w:p>
                  <w:pPr>
                    <w:pStyle w:val="Compact"/>
                    <w:jc w:val="right"/>
                    <w:jc w:val="center"/>
                  </w:pPr>
                  <w:r>
                    <w:t xml:space="preserve">84 (83.2%)</w:t>
                  </w:r>
                </w:p>
              </w:tc>
              <w:tc>
                <w:tcPr/>
                <w:p>
                  <w:pPr>
                    <w:pStyle w:val="Compact"/>
                    <w:jc w:val="right"/>
                    <w:jc w:val="center"/>
                  </w:pPr>
                  <w:r>
                    <w:t xml:space="preserve">1 (1.0%)</w:t>
                  </w:r>
                </w:p>
              </w:tc>
              <w:tc>
                <w:tcPr/>
                <w:p>
                  <w:pPr>
                    <w:pStyle w:val="Compact"/>
                    <w:jc w:val="right"/>
                    <w:jc w:val="center"/>
                  </w:pPr>
                  <w:r>
                    <w:t xml:space="preserve">7 (6.9%)</w:t>
                  </w:r>
                </w:p>
              </w:tc>
              <w:tc>
                <w:tcPr/>
                <w:p>
                  <w:pPr>
                    <w:pStyle w:val="Compact"/>
                    <w:jc w:val="right"/>
                    <w:jc w:val="center"/>
                  </w:pPr>
                  <w:r>
                    <w:t xml:space="preserve">0</w:t>
                  </w:r>
                </w:p>
              </w:tc>
              <w:tc>
                <w:tcPr/>
                <w:p>
                  <w:pPr>
                    <w:pStyle w:val="Compact"/>
                    <w:jc w:val="right"/>
                    <w:jc w:val="center"/>
                  </w:pPr>
                  <w:r>
                    <w:t xml:space="preserve">101</w:t>
                  </w:r>
                </w:p>
              </w:tc>
            </w:tr>
            <w:tr>
              <w:tc>
                <w:tcPr/>
                <w:p>
                  <w:pPr>
                    <w:pStyle w:val="Compact"/>
                    <w:jc w:val="left"/>
                    <w:jc w:val="center"/>
                  </w:pPr>
                  <w:r>
                    <w:t xml:space="preserve">   Liandong</w:t>
                  </w:r>
                </w:p>
              </w:tc>
              <w:tc>
                <w:tcPr/>
                <w:p>
                  <w:pPr>
                    <w:pStyle w:val="Compact"/>
                    <w:jc w:val="right"/>
                    <w:jc w:val="center"/>
                  </w:pPr>
                  <w:r>
                    <w:t xml:space="preserve">87 (46.3%)</w:t>
                  </w:r>
                </w:p>
              </w:tc>
              <w:tc>
                <w:tcPr/>
                <w:p>
                  <w:pPr>
                    <w:pStyle w:val="Compact"/>
                    <w:jc w:val="right"/>
                    <w:jc w:val="center"/>
                  </w:pPr>
                  <w:r>
                    <w:t xml:space="preserve">98 (52.1%)</w:t>
                  </w:r>
                </w:p>
              </w:tc>
              <w:tc>
                <w:tcPr/>
                <w:p>
                  <w:pPr>
                    <w:pStyle w:val="Compact"/>
                    <w:jc w:val="right"/>
                    <w:jc w:val="center"/>
                  </w:pPr>
                  <w:r>
                    <w:t xml:space="preserve">1 (0.5%)</w:t>
                  </w:r>
                </w:p>
              </w:tc>
              <w:tc>
                <w:tcPr/>
                <w:p>
                  <w:pPr>
                    <w:pStyle w:val="Compact"/>
                    <w:jc w:val="right"/>
                    <w:jc w:val="center"/>
                  </w:pPr>
                  <w:r>
                    <w:t xml:space="preserve">2 (1.1%)</w:t>
                  </w:r>
                </w:p>
              </w:tc>
              <w:tc>
                <w:tcPr/>
                <w:p>
                  <w:pPr>
                    <w:pStyle w:val="Compact"/>
                    <w:jc w:val="right"/>
                    <w:jc w:val="center"/>
                  </w:pPr>
                  <w:r>
                    <w:t xml:space="preserve">0</w:t>
                  </w:r>
                </w:p>
              </w:tc>
              <w:tc>
                <w:tcPr/>
                <w:p>
                  <w:pPr>
                    <w:pStyle w:val="Compact"/>
                    <w:jc w:val="right"/>
                    <w:jc w:val="center"/>
                  </w:pPr>
                  <w:r>
                    <w:t xml:space="preserve">188</w:t>
                  </w:r>
                </w:p>
              </w:tc>
            </w:tr>
            <w:tr>
              <w:tc>
                <w:tcPr/>
                <w:p>
                  <w:pPr>
                    <w:pStyle w:val="Compact"/>
                    <w:jc w:val="left"/>
                    <w:jc w:val="center"/>
                  </w:pPr>
                  <w:r>
                    <w:t xml:space="preserve">   Caifeng</w:t>
                  </w:r>
                </w:p>
              </w:tc>
              <w:tc>
                <w:tcPr/>
                <w:p>
                  <w:pPr>
                    <w:pStyle w:val="Compact"/>
                    <w:jc w:val="right"/>
                    <w:jc w:val="center"/>
                  </w:pPr>
                  <w:r>
                    <w:t xml:space="preserve">33 (18.3%)</w:t>
                  </w:r>
                </w:p>
              </w:tc>
              <w:tc>
                <w:tcPr/>
                <w:p>
                  <w:pPr>
                    <w:pStyle w:val="Compact"/>
                    <w:jc w:val="right"/>
                    <w:jc w:val="center"/>
                  </w:pPr>
                  <w:r>
                    <w:t xml:space="preserve">145 (80.6%)</w:t>
                  </w:r>
                </w:p>
              </w:tc>
              <w:tc>
                <w:tcPr/>
                <w:p>
                  <w:pPr>
                    <w:pStyle w:val="Compact"/>
                    <w:jc w:val="right"/>
                    <w:jc w:val="center"/>
                  </w:pPr>
                  <w:r>
                    <w:t xml:space="preserve">1 (0.6%)</w:t>
                  </w:r>
                </w:p>
              </w:tc>
              <w:tc>
                <w:tcPr/>
                <w:p>
                  <w:pPr>
                    <w:pStyle w:val="Compact"/>
                    <w:jc w:val="right"/>
                    <w:jc w:val="center"/>
                  </w:pPr>
                  <w:r>
                    <w:t xml:space="preserve">1 (0.6%)</w:t>
                  </w:r>
                </w:p>
              </w:tc>
              <w:tc>
                <w:tcPr/>
                <w:p>
                  <w:pPr>
                    <w:pStyle w:val="Compact"/>
                    <w:jc w:val="right"/>
                    <w:jc w:val="center"/>
                  </w:pPr>
                  <w:r>
                    <w:t xml:space="preserve">0</w:t>
                  </w:r>
                </w:p>
              </w:tc>
              <w:tc>
                <w:tcPr/>
                <w:p>
                  <w:pPr>
                    <w:pStyle w:val="Compact"/>
                    <w:jc w:val="right"/>
                    <w:jc w:val="center"/>
                  </w:pPr>
                  <w:r>
                    <w:t xml:space="preserve">180</w:t>
                  </w:r>
                </w:p>
              </w:tc>
            </w:tr>
            <w:tr>
              <w:tc>
                <w:tcPr/>
                <w:p>
                  <w:pPr>
                    <w:pStyle w:val="Compact"/>
                    <w:jc w:val="left"/>
                    <w:jc w:val="center"/>
                  </w:pPr>
                  <w:r>
                    <w:rPr>
                      <w:b/>
                      <w:bCs/>
                    </w:rPr>
                    <w:t xml:space="preserve">Surface Quina scrapers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6 (100.0%)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   Liandong</w:t>
                  </w:r>
                </w:p>
              </w:tc>
              <w:tc>
                <w:tcPr/>
                <w:p>
                  <w:pPr>
                    <w:pStyle w:val="Compact"/>
                    <w:jc w:val="right"/>
                    <w:jc w:val="center"/>
                  </w:pPr>
                  <w:r>
                    <w:t xml:space="preserve">36 (97.3%)</w:t>
                  </w:r>
                </w:p>
              </w:tc>
              <w:tc>
                <w:tcPr/>
                <w:p>
                  <w:pPr>
                    <w:pStyle w:val="Compact"/>
                    <w:jc w:val="right"/>
                    <w:jc w:val="center"/>
                  </w:pPr>
                  <w:r>
                    <w:t xml:space="preserve">1 (2.7%)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37</w:t>
                  </w:r>
                </w:p>
              </w:tc>
            </w:tr>
            <w:tr>
              <w:tc>
                <w:tcPr/>
                <w:p>
                  <w:pPr>
                    <w:pStyle w:val="Compact"/>
                    <w:jc w:val="left"/>
                    <w:jc w:val="center"/>
                  </w:pPr>
                  <w:r>
                    <w:t xml:space="preserve">   Caifeng</w:t>
                  </w:r>
                </w:p>
              </w:tc>
              <w:tc>
                <w:tcPr/>
                <w:p>
                  <w:pPr>
                    <w:pStyle w:val="Compact"/>
                    <w:jc w:val="right"/>
                    <w:jc w:val="center"/>
                  </w:pPr>
                  <w:r>
                    <w:t xml:space="preserve">114 (95.0%)</w:t>
                  </w:r>
                </w:p>
              </w:tc>
              <w:tc>
                <w:tcPr/>
                <w:p>
                  <w:pPr>
                    <w:pStyle w:val="Compact"/>
                    <w:jc w:val="right"/>
                    <w:jc w:val="center"/>
                  </w:pPr>
                  <w:r>
                    <w:t xml:space="preserve">2 (1.7%)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(3.3%)</w:t>
                  </w:r>
                </w:p>
              </w:tc>
              <w:tc>
                <w:tcPr/>
                <w:p>
                  <w:pPr>
                    <w:pStyle w:val="Compact"/>
                    <w:jc w:val="right"/>
                    <w:jc w:val="center"/>
                  </w:pPr>
                  <w:r>
                    <w:t xml:space="preserve">120</w:t>
                  </w:r>
                </w:p>
              </w:tc>
            </w:tr>
          </w:tbl>
          <w:bookmarkEnd w:id="9"/>
          <w:p/>
        </w:tc>
      </w:tr>
    </w:tbl>
    <w:p>
      <w:pPr>
        <w:pStyle w:val="BodyText"/>
      </w:pPr>
      <w:hyperlink w:anchor="tbl-electivity">
        <w:r>
          <w:rPr>
            <w:rStyle w:val="Hyperlink"/>
          </w:rPr>
          <w:t xml:space="preserve">Table S2</w:t>
        </w:r>
      </w:hyperlink>
      <w:r>
        <w:t xml:space="preserve"> </w:t>
      </w:r>
      <w:r>
        <w:t xml:space="preserve">sets the two compositions side by side for all five lithologies and gives Jacobs’</w:t>
      </w:r>
      <w:r>
        <w:t xml:space="preserve"> </w:t>
      </w:r>
      <w:r>
        <w:rPr>
          <w:i/>
          <w:iCs/>
        </w:rPr>
        <w:t xml:space="preserve">D</w:t>
      </w:r>
      <w:r>
        <w:t xml:space="preserve"> </w:t>
      </w:r>
      <w:r>
        <w:t xml:space="preserve">for each. Andesite is the one value that cannot be read as an index of preference: it is absent from the cobble survey, so its</w:t>
      </w:r>
      <w:r>
        <w:t xml:space="preserve"> </w:t>
      </w:r>
      <w:r>
        <w:rPr>
          <w:i/>
          <w:iCs/>
        </w:rPr>
        <w:t xml:space="preserve">D</w:t>
      </w:r>
      <w:r>
        <w:t xml:space="preserve"> </w:t>
      </w:r>
      <w:r>
        <w:t xml:space="preserve">is fixed at +1 by the definition of the index rather than estimated from the data.</w:t>
      </w:r>
    </w:p>
    <w:tbl>
      <w:tblPr>
        <w:tblStyle w:val="Table"/>
        <w:tblW w:type="pct" w:w="5000"/>
        <w:tblLayout w:type="fixed"/>
        <w:tblLook w:firstRow="0" w:lastRow="0" w:firstColumn="0" w:lastColumn="0" w:noHBand="0" w:noVBand="0" w:val="0000"/>
      </w:tblPr>
      <w:tblGrid>
        <w:gridCol w:w="7920"/>
      </w:tblGrid>
      <w:tr>
        <w:tc>
          <w:tcPr/>
          <w:bookmarkStart w:id="10" w:name="tbl-electivity"/>
          <w:p>
            <w:pPr>
              <w:jc w:val="center"/>
            </w:pPr>
            <w:pPr>
              <w:jc w:val="left"/>
              <w:spacing w:before="200"/>
              <w:pStyle w:val="ImageCaption"/>
            </w:pPr>
            <w:r>
              <w:t xml:space="preserve">Table S2: Jacobs’ electivity index for every raw material. Availability is the pooled gravel survey and use is the whole surface Quina scraper assemblage, as in the main text.</w:t>
            </w:r>
            <w:r>
              <w:t xml:space="preserve"> </w:t>
            </w:r>
            <w:r>
              <w:rPr>
                <w:i/>
                <w:iCs/>
              </w:rPr>
              <w:t xml:space="preserve">D</w:t>
            </w:r>
            <w:r>
              <w:t xml:space="preserve"> </w:t>
            </w:r>
            <w:r>
              <w:t xml:space="preserve">runs from −1, complete avoidance, through 0, use in proportion to availability, to +1, complete selection. † Andesite does not occur in the cobble survey, so its index takes the limiting value +1 and records non-local procurement rather than a measured preference.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t xml:space="preserve">Cobbles</w:t>
                  </w:r>
                  <w:r>
                    <w:t xml:space="preserve"> </w:t>
                  </w:r>
                  <w:r>
                    <w:rPr>
                      <w:i/>
                      <w:iCs/>
                    </w:rPr>
                    <w:t xml:space="preserve">n</w:t>
                  </w:r>
                </w:p>
              </w:tc>
              <w:tc>
                <w:tcPr/>
                <w:p>
                  <w:pPr>
                    <w:pStyle w:val="Compact"/>
                    <w:jc w:val="right"/>
                    <w:jc w:val="center"/>
                  </w:pPr>
                  <w:r>
                    <w:t xml:space="preserve">Cobbles %</w:t>
                  </w:r>
                </w:p>
              </w:tc>
              <w:tc>
                <w:tcPr/>
                <w:p>
                  <w:pPr>
                    <w:pStyle w:val="Compact"/>
                    <w:jc w:val="right"/>
                    <w:jc w:val="center"/>
                  </w:pPr>
                  <w:r>
                    <w:t xml:space="preserve">Scrapers</w:t>
                  </w:r>
                  <w:r>
                    <w:t xml:space="preserve"> </w:t>
                  </w:r>
                  <w:r>
                    <w:rPr>
                      <w:i/>
                      <w:iCs/>
                    </w:rPr>
                    <w:t xml:space="preserve">n</w:t>
                  </w:r>
                </w:p>
              </w:tc>
              <w:tc>
                <w:tcPr/>
                <w:p>
                  <w:pPr>
                    <w:pStyle w:val="Compact"/>
                    <w:jc w:val="right"/>
                    <w:jc w:val="center"/>
                  </w:pPr>
                  <w:r>
                    <w:t xml:space="preserve">Scrapers %</w:t>
                  </w:r>
                </w:p>
              </w:tc>
              <w:tc>
                <w:tcPr/>
                <w:p>
                  <w:pPr>
                    <w:pStyle w:val="Compact"/>
                    <w:jc w:val="right"/>
                    <w:jc w:val="center"/>
                  </w:pPr>
                  <w:r>
                    <w:rPr>
                      <w:i/>
                      <w:iCs/>
                    </w:rPr>
                    <w:t xml:space="preserve">D</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27.5</w:t>
                  </w:r>
                </w:p>
              </w:tc>
              <w:tc>
                <w:tcPr/>
                <w:p>
                  <w:pPr>
                    <w:pStyle w:val="Compact"/>
                    <w:jc w:val="right"/>
                    <w:jc w:val="center"/>
                  </w:pPr>
                  <w:r>
                    <w:t xml:space="preserve">159</w:t>
                  </w:r>
                </w:p>
              </w:tc>
              <w:tc>
                <w:tcPr/>
                <w:p>
                  <w:pPr>
                    <w:pStyle w:val="Compact"/>
                    <w:jc w:val="right"/>
                    <w:jc w:val="center"/>
                  </w:pPr>
                  <w:r>
                    <w:t xml:space="preserve">95.8</w:t>
                  </w:r>
                </w:p>
              </w:tc>
              <w:tc>
                <w:tcPr/>
                <w:p>
                  <w:pPr>
                    <w:pStyle w:val="Compact"/>
                    <w:jc w:val="right"/>
                    <w:jc w:val="center"/>
                  </w:pPr>
                  <w:r>
                    <w:t xml:space="preserve">0.97</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69.7</w:t>
                  </w:r>
                </w:p>
              </w:tc>
              <w:tc>
                <w:tcPr/>
                <w:p>
                  <w:pPr>
                    <w:pStyle w:val="Compact"/>
                    <w:jc w:val="right"/>
                    <w:jc w:val="center"/>
                  </w:pPr>
                  <w:r>
                    <w:t xml:space="preserve">3</w:t>
                  </w:r>
                </w:p>
              </w:tc>
              <w:tc>
                <w:tcPr/>
                <w:p>
                  <w:pPr>
                    <w:pStyle w:val="Compact"/>
                    <w:jc w:val="right"/>
                    <w:jc w:val="center"/>
                  </w:pPr>
                  <w:r>
                    <w:t xml:space="preserve">1.8</w:t>
                  </w:r>
                </w:p>
              </w:tc>
              <w:tc>
                <w:tcPr/>
                <w:p>
                  <w:pPr>
                    <w:pStyle w:val="Compact"/>
                    <w:jc w:val="right"/>
                    <w:jc w:val="center"/>
                  </w:pPr>
                  <w:r>
                    <w:t xml:space="preserve">-0.98</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0.6</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2.1</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Andesite†</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4</w:t>
                  </w:r>
                </w:p>
              </w:tc>
              <w:tc>
                <w:tcPr/>
                <w:p>
                  <w:pPr>
                    <w:pStyle w:val="Compact"/>
                    <w:jc w:val="right"/>
                    <w:jc w:val="center"/>
                  </w:pPr>
                  <w:r>
                    <w:t xml:space="preserve">2.4</w:t>
                  </w:r>
                </w:p>
              </w:tc>
              <w:tc>
                <w:tcPr/>
                <w:p>
                  <w:pPr>
                    <w:pStyle w:val="Compact"/>
                    <w:jc w:val="right"/>
                    <w:jc w:val="center"/>
                  </w:pPr>
                  <w:r>
                    <w:t xml:space="preserve">1.00</w:t>
                  </w:r>
                </w:p>
              </w:tc>
            </w:tr>
            <w:tr>
              <w:tc>
                <w:tcPr/>
                <w:p>
                  <w:pPr>
                    <w:pStyle w:val="Compact"/>
                    <w:jc w:val="left"/>
                    <w:jc w:val="center"/>
                  </w:pPr>
                  <w:r>
                    <w:rPr>
                      <w:b/>
                      <w:bCs/>
                    </w:rPr>
                    <w:t xml:space="preserve">Total</w:t>
                  </w:r>
                </w:p>
              </w:tc>
              <w:tc>
                <w:tcPr/>
                <w:p>
                  <w:pPr>
                    <w:pStyle w:val="Compact"/>
                    <w:jc w:val="right"/>
                    <w:jc w:val="center"/>
                  </w:pPr>
                  <w:r>
                    <w:t xml:space="preserve">469</w:t>
                  </w:r>
                </w:p>
              </w:tc>
              <w:tc>
                <w:tcPr/>
                <w:p>
                  <w:pPr>
                    <w:pStyle w:val="Compact"/>
                    <w:jc w:val="right"/>
                    <w:jc w:val="center"/>
                  </w:pPr>
                  <w:r>
                    <w:t xml:space="preserve">100.0</w:t>
                  </w:r>
                </w:p>
              </w:tc>
              <w:tc>
                <w:tcPr/>
                <w:p>
                  <w:pPr>
                    <w:pStyle w:val="Compact"/>
                    <w:jc w:val="right"/>
                    <w:jc w:val="center"/>
                  </w:pPr>
                  <w:r>
                    <w:t xml:space="preserve">166</w:t>
                  </w:r>
                </w:p>
              </w:tc>
              <w:tc>
                <w:tcPr/>
                <w:p>
                  <w:pPr>
                    <w:pStyle w:val="Compact"/>
                    <w:jc w:val="right"/>
                    <w:jc w:val="center"/>
                  </w:pPr>
                  <w:r>
                    <w:t xml:space="preserve">100.0</w:t>
                  </w:r>
                </w:p>
              </w:tc>
              <w:tc>
                <w:tcPr/>
                <w:p>
                  <w:pPr>
                    <w:pStyle w:val="Compact"/>
                  </w:pPr>
                </w:p>
              </w:tc>
            </w:tr>
          </w:tbl>
          <w:bookmarkEnd w:id="10"/>
          <w:p/>
        </w:tc>
      </w:tr>
    </w:tbl>
    <w:p>
      <w:pPr>
        <w:pStyle w:val="BodyText"/>
      </w:pPr>
      <w:hyperlink w:anchor="tbl-rawmat-permanova">
        <w:r>
          <w:rPr>
            <w:rStyle w:val="Hyperlink"/>
          </w:rPr>
          <w:t xml:space="preserve">Table S3</w:t>
        </w:r>
      </w:hyperlink>
      <w:r>
        <w:t xml:space="preserve"> </w:t>
      </w:r>
      <w:r>
        <w:t xml:space="preserve">reports each composition model in full, with the corresponding test of dispersion beside it. The pairing matters for the interpretation given in the main text. On the gravel bars, both the location of the centroid and the spread about it differ between sampling points and between valleys, which is what a genuinely heterogeneous set of bars should produce. Among the artefacts neither is detectable at either scale, so the uniformity reported for raw material selection is a uniformity of composition and not an artefact of unequal dispersion masking a shift in centroid.</w:t>
      </w:r>
    </w:p>
    <w:tbl>
      <w:tblPr>
        <w:tblStyle w:val="Table"/>
        <w:tblW w:type="pct" w:w="5000"/>
        <w:tblLayout w:type="fixed"/>
        <w:tblLook w:firstRow="0" w:lastRow="0" w:firstColumn="0" w:lastColumn="0" w:noHBand="0" w:noVBand="0" w:val="0000"/>
      </w:tblPr>
      <w:tblGrid>
        <w:gridCol w:w="7920"/>
      </w:tblGrid>
      <w:tr>
        <w:tc>
          <w:tcPr/>
          <w:bookmarkStart w:id="11" w:name="tbl-rawmat-permanova"/>
          <w:p>
            <w:pPr>
              <w:jc w:val="center"/>
            </w:pPr>
            <w:pPr>
              <w:jc w:val="left"/>
              <w:spacing w:before="200"/>
              <w:pStyle w:val="ImageCaption"/>
            </w:pPr>
            <w:r>
              <w:t xml:space="preserve">Table S3: PERMANOVA and PERMDISP on raw material composition, on Bray–Curtis dissimilarities with 9,999 permutations. Sums of squares, degrees of freedom and residual degrees of freedom are those of the PERMANOVA; the last two columns give the pseudo-</w:t>
            </w:r>
            <w:r>
              <w:rPr>
                <w:i/>
                <w:iCs/>
              </w:rPr>
              <w:t xml:space="preserve">F</w:t>
            </w:r>
            <w:r>
              <w:t xml:space="preserve"> </w:t>
            </w:r>
            <w:r>
              <w:t xml:space="preserve">and</w:t>
            </w:r>
            <w:r>
              <w:t xml:space="preserve"> </w:t>
            </w:r>
            <w:r>
              <w:rPr>
                <w:i/>
                <w:iCs/>
              </w:rPr>
              <w:t xml:space="preserve">p</w:t>
            </w:r>
            <w:r>
              <w:t xml:space="preserve"> </w:t>
            </w:r>
            <w:r>
              <w:t xml:space="preserve">of the test of homogeneity of dispersion on the same dissimilarity matrix. The unit is the individual cobble in the first panel and the individual artefact in the second.</w:t>
            </w:r>
          </w:p>
          <w:tbl>
            <w:tblPr>
              <w:tblStyle w:val="Table"/>
              <w:tblW w:type="pct" w:w="5000"/>
              <w:tblLayout w:type="fixed"/>
              <w:tblLook w:firstRow="1" w:lastRow="0" w:firstColumn="0" w:lastColumn="0" w:noHBand="0" w:noVBand="0" w:val="0020"/>
            </w:tblPr>
            <w:tblGrid>
              <w:gridCol w:w="3046"/>
              <w:gridCol w:w="533"/>
              <w:gridCol w:w="456"/>
              <w:gridCol w:w="456"/>
              <w:gridCol w:w="837"/>
              <w:gridCol w:w="609"/>
              <w:gridCol w:w="990"/>
              <w:gridCol w:w="990"/>
            </w:tblGrid>
            <w:tr>
              <w:trPr>
                <w:tblHeader w:val="on"/>
              </w:trPr>
              <w:tc>
                <w:tcPr/>
                <w:p>
                  <w:pPr>
                    <w:pStyle w:val="Compact"/>
                    <w:jc w:val="left"/>
                    <w:jc w:val="center"/>
                  </w:pPr>
                  <w:r>
                    <w:t xml:space="preserve">Model</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PERMDISP</w:t>
                  </w:r>
                  <w:r>
                    <w:t xml:space="preserve"> </w:t>
                  </w:r>
                  <w:r>
                    <w:rPr>
                      <w:i/>
                      <w:iCs/>
                    </w:rPr>
                    <w:t xml:space="preserve">F</w:t>
                  </w:r>
                </w:p>
              </w:tc>
              <w:tc>
                <w:tcPr/>
                <w:p>
                  <w:pPr>
                    <w:pStyle w:val="Compact"/>
                    <w:jc w:val="right"/>
                    <w:jc w:val="center"/>
                  </w:pPr>
                  <w:r>
                    <w:t xml:space="preserve">PERMDISP</w:t>
                  </w:r>
                  <w:r>
                    <w:t xml:space="preserve"> </w:t>
                  </w:r>
                  <w:r>
                    <w:rPr>
                      <w:i/>
                      <w:iCs/>
                    </w:rPr>
                    <w:t xml:space="preserve">p</w:t>
                  </w:r>
                </w:p>
              </w:tc>
            </w:tr>
            <w:tr>
              <w:tc>
                <w:tcPr/>
                <w:p>
                  <w:pPr>
                    <w:pStyle w:val="Compact"/>
                    <w:jc w:val="left"/>
                    <w:jc w:val="center"/>
                  </w:pPr>
                  <w:r>
                    <w:rPr>
                      <w:b/>
                      <w:bCs/>
                    </w:rPr>
                    <w:t xml:space="preserve">Available river cobbles (</w:t>
                  </w:r>
                  <w:r>
                    <w:rPr>
                      <w:b/>
                      <w:bCs/>
                      <w:i/>
                      <w:iCs/>
                    </w:rPr>
                    <w:t xml:space="preserve">n</w:t>
                  </w:r>
                  <w:r>
                    <w:rPr>
                      <w:b/>
                      <w:bCs/>
                    </w:rPr>
                    <w:t xml:space="preserve"> </w:t>
                  </w:r>
                  <w:r>
                    <w:rPr>
                      <w:b/>
                      <w:bCs/>
                    </w:rPr>
                    <w:t xml:space="preserve">= 469)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sampling point</w:t>
                  </w:r>
                </w:p>
              </w:tc>
              <w:tc>
                <w:tcPr/>
                <w:p>
                  <w:pPr>
                    <w:pStyle w:val="Compact"/>
                    <w:jc w:val="right"/>
                    <w:jc w:val="center"/>
                  </w:pPr>
                  <w:r>
                    <w:t xml:space="preserve">4, 464</w:t>
                  </w:r>
                </w:p>
              </w:tc>
              <w:tc>
                <w:tcPr/>
                <w:p>
                  <w:pPr>
                    <w:pStyle w:val="Compact"/>
                    <w:jc w:val="right"/>
                    <w:jc w:val="center"/>
                  </w:pPr>
                  <w:r>
                    <w:t xml:space="preserve">11.07</w:t>
                  </w:r>
                </w:p>
              </w:tc>
              <w:tc>
                <w:tcPr/>
                <w:p>
                  <w:pPr>
                    <w:pStyle w:val="Compact"/>
                    <w:jc w:val="right"/>
                    <w:jc w:val="center"/>
                  </w:pPr>
                  <w:r>
                    <w:t xml:space="preserve">0.108</w:t>
                  </w:r>
                </w:p>
              </w:tc>
              <w:tc>
                <w:tcPr/>
                <w:p>
                  <w:pPr>
                    <w:pStyle w:val="Compact"/>
                    <w:jc w:val="right"/>
                    <w:jc w:val="center"/>
                  </w:pPr>
                  <w:r>
                    <w:t xml:space="preserve">14.02</w:t>
                  </w:r>
                </w:p>
              </w:tc>
              <w:tc>
                <w:tcPr/>
                <w:p>
                  <w:pPr>
                    <w:pStyle w:val="Compact"/>
                    <w:jc w:val="right"/>
                    <w:jc w:val="center"/>
                  </w:pPr>
                  <w:r>
                    <w:t xml:space="preserve">&lt; 0.001</w:t>
                  </w:r>
                </w:p>
              </w:tc>
              <w:tc>
                <w:tcPr/>
                <w:p>
                  <w:pPr>
                    <w:pStyle w:val="Compact"/>
                    <w:jc w:val="right"/>
                    <w:jc w:val="center"/>
                  </w:pPr>
                  <w:r>
                    <w:t xml:space="preserve">18.19</w:t>
                  </w:r>
                </w:p>
              </w:tc>
              <w:tc>
                <w:tcPr/>
                <w:p>
                  <w:pPr>
                    <w:pStyle w:val="Compact"/>
                    <w:jc w:val="right"/>
                    <w:jc w:val="center"/>
                  </w:pPr>
                  <w:r>
                    <w:t xml:space="preserve">&lt; 0.001</w:t>
                  </w:r>
                </w:p>
              </w:tc>
            </w:tr>
            <w:tr>
              <w:tc>
                <w:tcPr/>
                <w:p>
                  <w:pPr>
                    <w:pStyle w:val="Compact"/>
                    <w:jc w:val="left"/>
                    <w:jc w:val="center"/>
                  </w:pPr>
                  <w:r>
                    <w:t xml:space="preserve">   ~ valley</w:t>
                  </w:r>
                </w:p>
              </w:tc>
              <w:tc>
                <w:tcPr/>
                <w:p>
                  <w:pPr>
                    <w:pStyle w:val="Compact"/>
                    <w:jc w:val="right"/>
                    <w:jc w:val="center"/>
                  </w:pPr>
                  <w:r>
                    <w:t xml:space="preserve">2, 466</w:t>
                  </w:r>
                </w:p>
              </w:tc>
              <w:tc>
                <w:tcPr/>
                <w:p>
                  <w:pPr>
                    <w:pStyle w:val="Compact"/>
                    <w:jc w:val="right"/>
                    <w:jc w:val="center"/>
                  </w:pPr>
                  <w:r>
                    <w:t xml:space="preserve">10.84</w:t>
                  </w:r>
                </w:p>
              </w:tc>
              <w:tc>
                <w:tcPr/>
                <w:p>
                  <w:pPr>
                    <w:pStyle w:val="Compact"/>
                    <w:jc w:val="right"/>
                    <w:jc w:val="center"/>
                  </w:pPr>
                  <w:r>
                    <w:t xml:space="preserve">0.106</w:t>
                  </w:r>
                </w:p>
              </w:tc>
              <w:tc>
                <w:tcPr/>
                <w:p>
                  <w:pPr>
                    <w:pStyle w:val="Compact"/>
                    <w:jc w:val="right"/>
                    <w:jc w:val="center"/>
                  </w:pPr>
                  <w:r>
                    <w:t xml:space="preserve">27.53</w:t>
                  </w:r>
                </w:p>
              </w:tc>
              <w:tc>
                <w:tcPr/>
                <w:p>
                  <w:pPr>
                    <w:pStyle w:val="Compact"/>
                    <w:jc w:val="right"/>
                    <w:jc w:val="center"/>
                  </w:pPr>
                  <w:r>
                    <w:t xml:space="preserve">&lt; 0.001</w:t>
                  </w:r>
                </w:p>
              </w:tc>
              <w:tc>
                <w:tcPr/>
                <w:p>
                  <w:pPr>
                    <w:pStyle w:val="Compact"/>
                    <w:jc w:val="right"/>
                    <w:jc w:val="center"/>
                  </w:pPr>
                  <w:r>
                    <w:t xml:space="preserve">25.48</w:t>
                  </w:r>
                </w:p>
              </w:tc>
              <w:tc>
                <w:tcPr/>
                <w:p>
                  <w:pPr>
                    <w:pStyle w:val="Compact"/>
                    <w:jc w:val="right"/>
                    <w:jc w:val="center"/>
                  </w:pPr>
                  <w:r>
                    <w:t xml:space="preserve">&lt; 0.001</w:t>
                  </w:r>
                </w:p>
              </w:tc>
            </w:tr>
            <w:tr>
              <w:tc>
                <w:tcPr/>
                <w:p>
                  <w:pPr>
                    <w:pStyle w:val="Compact"/>
                    <w:jc w:val="left"/>
                    <w:jc w:val="center"/>
                  </w:pPr>
                  <w:r>
                    <w:rPr>
                      <w:b/>
                      <w:bCs/>
                    </w:rPr>
                    <w:t xml:space="preserve">Surface Quina scrapers (</w:t>
                  </w:r>
                  <w:r>
                    <w:rPr>
                      <w:b/>
                      <w:bCs/>
                      <w:i/>
                      <w:iCs/>
                    </w:rPr>
                    <w:t xml:space="preserve">n</w:t>
                  </w:r>
                  <w:r>
                    <w:rPr>
                      <w:b/>
                      <w:bCs/>
                    </w:rPr>
                    <w:t xml:space="preserve"> </w:t>
                  </w:r>
                  <w:r>
                    <w:rPr>
                      <w:b/>
                      <w:bCs/>
                    </w:rPr>
                    <w:t xml:space="preserve">= 163)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basin</w:t>
                  </w:r>
                </w:p>
              </w:tc>
              <w:tc>
                <w:tcPr/>
                <w:p>
                  <w:pPr>
                    <w:pStyle w:val="Compact"/>
                    <w:jc w:val="right"/>
                    <w:jc w:val="center"/>
                  </w:pPr>
                  <w:r>
                    <w:t xml:space="preserve">1, 161</w:t>
                  </w:r>
                </w:p>
              </w:tc>
              <w:tc>
                <w:tcPr/>
                <w:p>
                  <w:pPr>
                    <w:pStyle w:val="Compact"/>
                    <w:jc w:val="right"/>
                    <w:jc w:val="center"/>
                  </w:pPr>
                  <w:r>
                    <w:t xml:space="preserve">0.03</w:t>
                  </w:r>
                </w:p>
              </w:tc>
              <w:tc>
                <w:tcPr/>
                <w:p>
                  <w:pPr>
                    <w:pStyle w:val="Compact"/>
                    <w:jc w:val="right"/>
                    <w:jc w:val="center"/>
                  </w:pPr>
                  <w:r>
                    <w:t xml:space="preserve">0.004</w:t>
                  </w:r>
                </w:p>
              </w:tc>
              <w:tc>
                <w:tcPr/>
                <w:p>
                  <w:pPr>
                    <w:pStyle w:val="Compact"/>
                    <w:jc w:val="right"/>
                    <w:jc w:val="center"/>
                  </w:pPr>
                  <w:r>
                    <w:t xml:space="preserve">0.71</w:t>
                  </w:r>
                </w:p>
              </w:tc>
              <w:tc>
                <w:tcPr/>
                <w:p>
                  <w:pPr>
                    <w:pStyle w:val="Compact"/>
                    <w:jc w:val="right"/>
                    <w:jc w:val="center"/>
                  </w:pPr>
                  <w:r>
                    <w:t xml:space="preserve">0.549</w:t>
                  </w:r>
                </w:p>
              </w:tc>
              <w:tc>
                <w:tcPr/>
                <w:p>
                  <w:pPr>
                    <w:pStyle w:val="Compact"/>
                    <w:jc w:val="right"/>
                    <w:jc w:val="center"/>
                  </w:pPr>
                  <w:r>
                    <w:t xml:space="preserve">0.55</w:t>
                  </w:r>
                </w:p>
              </w:tc>
              <w:tc>
                <w:tcPr/>
                <w:p>
                  <w:pPr>
                    <w:pStyle w:val="Compact"/>
                    <w:jc w:val="right"/>
                    <w:jc w:val="center"/>
                  </w:pPr>
                  <w:r>
                    <w:t xml:space="preserve">0.533</w:t>
                  </w:r>
                </w:p>
              </w:tc>
            </w:tr>
            <w:tr>
              <w:tc>
                <w:tcPr/>
                <w:p>
                  <w:pPr>
                    <w:pStyle w:val="Compact"/>
                    <w:jc w:val="left"/>
                    <w:jc w:val="center"/>
                  </w:pPr>
                  <w:r>
                    <w:t xml:space="preserve">   ~ valley</w:t>
                  </w:r>
                </w:p>
              </w:tc>
              <w:tc>
                <w:tcPr/>
                <w:p>
                  <w:pPr>
                    <w:pStyle w:val="Compact"/>
                    <w:jc w:val="right"/>
                    <w:jc w:val="center"/>
                  </w:pPr>
                  <w:r>
                    <w:t xml:space="preserve">2, 160</w:t>
                  </w:r>
                </w:p>
              </w:tc>
              <w:tc>
                <w:tcPr/>
                <w:p>
                  <w:pPr>
                    <w:pStyle w:val="Compact"/>
                    <w:jc w:val="right"/>
                    <w:jc w:val="center"/>
                  </w:pPr>
                  <w:r>
                    <w:t xml:space="preserve">0.03</w:t>
                  </w:r>
                </w:p>
              </w:tc>
              <w:tc>
                <w:tcPr/>
                <w:p>
                  <w:pPr>
                    <w:pStyle w:val="Compact"/>
                    <w:jc w:val="right"/>
                    <w:jc w:val="center"/>
                  </w:pPr>
                  <w:r>
                    <w:t xml:space="preserve">0.005</w:t>
                  </w:r>
                </w:p>
              </w:tc>
              <w:tc>
                <w:tcPr/>
                <w:p>
                  <w:pPr>
                    <w:pStyle w:val="Compact"/>
                    <w:jc w:val="right"/>
                    <w:jc w:val="center"/>
                  </w:pPr>
                  <w:r>
                    <w:t xml:space="preserve">0.40</w:t>
                  </w:r>
                </w:p>
              </w:tc>
              <w:tc>
                <w:tcPr/>
                <w:p>
                  <w:pPr>
                    <w:pStyle w:val="Compact"/>
                    <w:jc w:val="right"/>
                    <w:jc w:val="center"/>
                  </w:pPr>
                  <w:r>
                    <w:t xml:space="preserve">0.714</w:t>
                  </w:r>
                </w:p>
              </w:tc>
              <w:tc>
                <w:tcPr/>
                <w:p>
                  <w:pPr>
                    <w:pStyle w:val="Compact"/>
                    <w:jc w:val="right"/>
                    <w:jc w:val="center"/>
                  </w:pPr>
                  <w:r>
                    <w:t xml:space="preserve">0.32</w:t>
                  </w:r>
                </w:p>
              </w:tc>
              <w:tc>
                <w:tcPr/>
                <w:p>
                  <w:pPr>
                    <w:pStyle w:val="Compact"/>
                    <w:jc w:val="right"/>
                    <w:jc w:val="center"/>
                  </w:pPr>
                  <w:r>
                    <w:t xml:space="preserve">0.633</w:t>
                  </w:r>
                </w:p>
              </w:tc>
            </w:tr>
          </w:tbl>
          <w:bookmarkEnd w:id="11"/>
          <w:p/>
        </w:tc>
      </w:tr>
    </w:tbl>
    <w:p>
      <w:pPr>
        <w:pStyle w:val="BodyText"/>
      </w:pPr>
      <w:hyperlink w:anchor="tbl-clast-size">
        <w:r>
          <w:rPr>
            <w:rStyle w:val="Hyperlink"/>
          </w:rPr>
          <w:t xml:space="preserve">Table S4</w:t>
        </w:r>
      </w:hyperlink>
      <w:r>
        <w:t xml:space="preserve"> </w:t>
      </w:r>
      <w:r>
        <w:t xml:space="preserve">gives the size of the recorded cobbles by lithology. Size is the geometric mean of length, breadth and thickness, and the geometric mean of that quantity is reported as the measure of central tendency, the distribution being right-skewed. The comparison reported in the main text, trachyte against sandstone, gives</w:t>
      </w:r>
      <w:r>
        <w:t xml:space="preserve"> </w:t>
      </w:r>
      <w:r>
        <w:rPr>
          <w:i/>
          <w:iCs/>
        </w:rPr>
        <w:t xml:space="preserve">U</w:t>
      </w:r>
      <w:r>
        <w:t xml:space="preserve"> </w:t>
      </w:r>
      <w:r>
        <w:t xml:space="preserve">= 16864,</w:t>
      </w:r>
      <w:r>
        <w:t xml:space="preserve"> </w:t>
      </w:r>
      <w:r>
        <w:rPr>
          <w:i/>
          <w:iCs/>
        </w:rPr>
        <w:t xml:space="preserve">p</w:t>
      </w:r>
      <w:r>
        <w:t xml:space="preserve"> </w:t>
      </w:r>
      <w:r>
        <w:t xml:space="preserve">&lt; 0.001, with a rank-biserial effect size of</w:t>
      </w:r>
      <w:r>
        <w:t xml:space="preserve"> </w:t>
      </w:r>
      <w:r>
        <w:rPr>
          <w:i/>
          <w:iCs/>
        </w:rPr>
        <w:t xml:space="preserve">r</w:t>
      </w:r>
      <w:r>
        <w:t xml:space="preserve"> </w:t>
      </w:r>
      <w:r>
        <w:t xml:space="preserve">= 0.16. Quartz and mudstone are present in numbers too small to support a comparison and are listed for completeness only; andesite does not occur in the survey.</w:t>
      </w:r>
    </w:p>
    <w:tbl>
      <w:tblPr>
        <w:tblStyle w:val="Table"/>
        <w:tblW w:type="pct" w:w="5000"/>
        <w:tblLayout w:type="fixed"/>
        <w:tblLook w:firstRow="0" w:lastRow="0" w:firstColumn="0" w:lastColumn="0" w:noHBand="0" w:noVBand="0" w:val="0000"/>
      </w:tblPr>
      <w:tblGrid>
        <w:gridCol w:w="7920"/>
      </w:tblGrid>
      <w:tr>
        <w:tc>
          <w:tcPr/>
          <w:bookmarkStart w:id="12" w:name="tbl-clast-size"/>
          <w:p>
            <w:pPr>
              <w:jc w:val="center"/>
            </w:pPr>
            <w:pPr>
              <w:jc w:val="left"/>
              <w:spacing w:before="200"/>
              <w:pStyle w:val="ImageCaption"/>
            </w:pPr>
            <w:r>
              <w:t xml:space="preserve">Table S4: Size of the surveyed river cobbles by lithology. Size is the geometric mean of length, breadth and thickness in millimetres, and GM is the geometric mean of that quantity within each lithology. Sandstone is the harmonised category used throughout the paper, combining the quartz sandstone and coarse sandstone of the field record.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rPr>
                      <w:i/>
                      <w:iCs/>
                    </w:rPr>
                    <w:t xml:space="preserve">n</w:t>
                  </w:r>
                </w:p>
              </w:tc>
              <w:tc>
                <w:tcPr/>
                <w:p>
                  <w:pPr>
                    <w:pStyle w:val="Compact"/>
                    <w:jc w:val="right"/>
                    <w:jc w:val="center"/>
                  </w:pPr>
                  <w:r>
                    <w:t xml:space="preserve">GM (mm)</w:t>
                  </w:r>
                </w:p>
              </w:tc>
              <w:tc>
                <w:tcPr/>
                <w:p>
                  <w:pPr>
                    <w:pStyle w:val="Compact"/>
                    <w:jc w:val="right"/>
                    <w:jc w:val="center"/>
                  </w:pPr>
                  <w:r>
                    <w:t xml:space="preserve">Median (mm)</w:t>
                  </w:r>
                </w:p>
              </w:tc>
              <w:tc>
                <w:tcPr/>
                <w:p>
                  <w:pPr>
                    <w:pStyle w:val="Compact"/>
                    <w:jc w:val="right"/>
                    <w:jc w:val="center"/>
                  </w:pPr>
                  <w:r>
                    <w:t xml:space="preserve">Q1–Q3 (mm)</w:t>
                  </w:r>
                </w:p>
              </w:tc>
              <w:tc>
                <w:tcPr/>
                <w:p>
                  <w:pPr>
                    <w:pStyle w:val="Compact"/>
                    <w:jc w:val="right"/>
                    <w:jc w:val="center"/>
                  </w:pPr>
                  <w:r>
                    <w:t xml:space="preserve">Range (mm)</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62.0</w:t>
                  </w:r>
                </w:p>
              </w:tc>
              <w:tc>
                <w:tcPr/>
                <w:p>
                  <w:pPr>
                    <w:pStyle w:val="Compact"/>
                    <w:jc w:val="right"/>
                    <w:jc w:val="center"/>
                  </w:pPr>
                  <w:r>
                    <w:t xml:space="preserve">55.9</w:t>
                  </w:r>
                </w:p>
              </w:tc>
              <w:tc>
                <w:tcPr/>
                <w:p>
                  <w:pPr>
                    <w:pStyle w:val="Compact"/>
                    <w:jc w:val="right"/>
                    <w:jc w:val="center"/>
                  </w:pPr>
                  <w:r>
                    <w:t xml:space="preserve">44.4–77.2</w:t>
                  </w:r>
                </w:p>
              </w:tc>
              <w:tc>
                <w:tcPr/>
                <w:p>
                  <w:pPr>
                    <w:pStyle w:val="Compact"/>
                    <w:jc w:val="right"/>
                    <w:jc w:val="center"/>
                  </w:pPr>
                  <w:r>
                    <w:t xml:space="preserve">28.3–388.2</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52.2</w:t>
                  </w:r>
                </w:p>
              </w:tc>
              <w:tc>
                <w:tcPr/>
                <w:p>
                  <w:pPr>
                    <w:pStyle w:val="Compact"/>
                    <w:jc w:val="right"/>
                    <w:jc w:val="center"/>
                  </w:pPr>
                  <w:r>
                    <w:t xml:space="preserve">50.6</w:t>
                  </w:r>
                </w:p>
              </w:tc>
              <w:tc>
                <w:tcPr/>
                <w:p>
                  <w:pPr>
                    <w:pStyle w:val="Compact"/>
                    <w:jc w:val="right"/>
                    <w:jc w:val="center"/>
                  </w:pPr>
                  <w:r>
                    <w:t xml:space="preserve">38.9–66.9</w:t>
                  </w:r>
                </w:p>
              </w:tc>
              <w:tc>
                <w:tcPr/>
                <w:p>
                  <w:pPr>
                    <w:pStyle w:val="Compact"/>
                    <w:jc w:val="right"/>
                    <w:jc w:val="center"/>
                  </w:pPr>
                  <w:r>
                    <w:t xml:space="preserve">20.5–152.4</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56.7</w:t>
                  </w:r>
                </w:p>
              </w:tc>
              <w:tc>
                <w:tcPr/>
                <w:p>
                  <w:pPr>
                    <w:pStyle w:val="Compact"/>
                    <w:jc w:val="right"/>
                    <w:jc w:val="center"/>
                  </w:pPr>
                  <w:r>
                    <w:t xml:space="preserve">42.0</w:t>
                  </w:r>
                </w:p>
              </w:tc>
              <w:tc>
                <w:tcPr/>
                <w:p>
                  <w:pPr>
                    <w:pStyle w:val="Compact"/>
                    <w:jc w:val="right"/>
                    <w:jc w:val="center"/>
                  </w:pPr>
                  <w:r>
                    <w:t xml:space="preserve">40.2–77.4</w:t>
                  </w:r>
                </w:p>
              </w:tc>
              <w:tc>
                <w:tcPr/>
                <w:p>
                  <w:pPr>
                    <w:pStyle w:val="Compact"/>
                    <w:jc w:val="right"/>
                    <w:jc w:val="center"/>
                  </w:pPr>
                  <w:r>
                    <w:t xml:space="preserve">38.5–112.7</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52.6</w:t>
                  </w:r>
                </w:p>
              </w:tc>
              <w:tc>
                <w:tcPr/>
                <w:p>
                  <w:pPr>
                    <w:pStyle w:val="Compact"/>
                    <w:jc w:val="right"/>
                    <w:jc w:val="center"/>
                  </w:pPr>
                  <w:r>
                    <w:t xml:space="preserve">48.2</w:t>
                  </w:r>
                </w:p>
              </w:tc>
              <w:tc>
                <w:tcPr/>
                <w:p>
                  <w:pPr>
                    <w:pStyle w:val="Compact"/>
                    <w:jc w:val="right"/>
                    <w:jc w:val="center"/>
                  </w:pPr>
                  <w:r>
                    <w:t xml:space="preserve">44.3–54.1</w:t>
                  </w:r>
                </w:p>
              </w:tc>
              <w:tc>
                <w:tcPr/>
                <w:p>
                  <w:pPr>
                    <w:pStyle w:val="Compact"/>
                    <w:jc w:val="right"/>
                    <w:jc w:val="center"/>
                  </w:pPr>
                  <w:r>
                    <w:t xml:space="preserve">37.8–91.0</w:t>
                  </w:r>
                </w:p>
              </w:tc>
            </w:tr>
          </w:tbl>
          <w:bookmarkEnd w:id="12"/>
          <w:p/>
        </w:tc>
      </w:tr>
    </w:tbl>
    <w:p>
      <w:r>
        <w:br w:type="page"/>
      </w:r>
    </w:p>
    <w:bookmarkEnd w:id="13"/>
    <w:bookmarkStart w:id="26" w:name="s2.-techno-typological-features"/>
    <w:p>
      <w:pPr>
        <w:pStyle w:val="Heading1"/>
      </w:pPr>
      <w:r>
        <w:t xml:space="preserve">S2. Techno-typological features</w:t>
      </w:r>
    </w:p>
    <w:p>
      <w:pPr>
        <w:pStyle w:val="FirstParagraph"/>
      </w:pPr>
      <w:hyperlink w:anchor="fig-categorical-attributes">
        <w:r>
          <w:rPr>
            <w:rStyle w:val="Hyperlink"/>
          </w:rPr>
          <w:t xml:space="preserve">Fig. S1</w:t>
        </w:r>
      </w:hyperlink>
      <w:r>
        <w:t xml:space="preserve"> </w:t>
      </w:r>
      <w:r>
        <w:t xml:space="preserve">gives the distribution of the four categorical attributes recorded on the Quina scrapers. Cortex is retained on most specimens and, where it survives, lies most often on a lateral margin, opposite the retouched edge; retouch is almost always obverse; and among the minority that retain the platform of the blank, plain platforms predominate. The denominator differs between panels and is given in each panel heading, platform type being recorded only on the specimens that preserve a platform.</w:t>
      </w:r>
    </w:p>
    <w:tbl>
      <w:tblPr>
        <w:tblStyle w:val="Table"/>
        <w:tblW w:type="pct" w:w="5000"/>
        <w:tblLayout w:type="fixed"/>
        <w:tblLook w:firstRow="0" w:lastRow="0" w:firstColumn="0" w:lastColumn="0" w:noHBand="0" w:noVBand="0" w:val="0000"/>
      </w:tblPr>
      <w:tblGrid>
        <w:gridCol w:w="7920"/>
      </w:tblGrid>
      <w:tr>
        <w:tc>
          <w:tcPr/>
          <w:bookmarkStart w:id="17" w:name="fig-categorical-attributes"/>
          <w:p>
            <w:pPr>
              <w:pStyle w:val="Compact"/>
              <w:jc w:val="center"/>
            </w:pPr>
            <w:r>
              <w:drawing>
                <wp:inline>
                  <wp:extent cx="5403966" cy="4213262"/>
                  <wp:effectExtent b="0" l="0" r="0" t="0"/>
                  <wp:docPr descr="" title="" id="15" name="Picture"/>
                  <a:graphic>
                    <a:graphicData uri="http://schemas.openxmlformats.org/drawingml/2006/picture">
                      <pic:pic>
                        <pic:nvPicPr>
                          <pic:cNvPr descr="supplementary_files/figure-docx/fig-categorical-attributes-1.png" id="16" name="Picture"/>
                          <pic:cNvPicPr>
                            <a:picLocks noChangeArrowheads="1" noChangeAspect="1"/>
                          </pic:cNvPicPr>
                        </pic:nvPicPr>
                        <pic:blipFill>
                          <a:blip r:embed="rId14"/>
                          <a:stretch>
                            <a:fillRect/>
                          </a:stretch>
                        </pic:blipFill>
                        <pic:spPr bwMode="auto">
                          <a:xfrm>
                            <a:off x="0" y="0"/>
                            <a:ext cx="5403966" cy="4213262"/>
                          </a:xfrm>
                          <a:prstGeom prst="rect">
                            <a:avLst/>
                          </a:prstGeom>
                          <a:noFill/>
                          <a:ln w="9525">
                            <a:noFill/>
                            <a:headEnd/>
                            <a:tailEnd/>
                          </a:ln>
                        </pic:spPr>
                      </pic:pic>
                    </a:graphicData>
                  </a:graphic>
                </wp:inline>
              </w:drawing>
            </w:r>
          </w:p>
          <w:p>
            <w:pPr>
              <w:jc w:val="center"/>
            </w:pPr>
            <w:pPr>
              <w:jc w:val="left"/>
              <w:spacing w:before="200"/>
              <w:pStyle w:val="ImageCaption"/>
            </w:pPr>
            <w:r>
              <w:t xml:space="preserve">Fig. S1: Categorical attributes of the surface Quina scrapers: proportion of the dorsal face covered by cortex, position of that cortex, platform type, and the direction from which retouch was struck. Bars give counts, with the percentage of the panel denominator in parentheses. Platform type is recorded only on the specimens retaining the platform of the blank.</w:t>
            </w:r>
          </w:p>
          <w:bookmarkEnd w:id="17"/>
        </w:tc>
      </w:tr>
    </w:tbl>
    <w:p>
      <w:pPr>
        <w:pStyle w:val="BodyText"/>
      </w:pPr>
      <w:r>
        <w:t xml:space="preserve">The choice between rank-based and parametric procedures for the six technical variables, set out in the Materials and methods, rests on the distribution of each variable within each group.</w:t>
      </w:r>
      <w:r>
        <w:t xml:space="preserve"> </w:t>
      </w:r>
      <w:hyperlink w:anchor="fig-distributions">
        <w:r>
          <w:rPr>
            <w:rStyle w:val="Hyperlink"/>
          </w:rPr>
          <w:t xml:space="preserve">Fig. S2</w:t>
        </w:r>
      </w:hyperlink>
      <w:r>
        <w:t xml:space="preserve"> </w:t>
      </w:r>
      <w:r>
        <w:t xml:space="preserve">and</w:t>
      </w:r>
      <w:r>
        <w:t xml:space="preserve"> </w:t>
      </w:r>
      <w:hyperlink w:anchor="fig-qq">
        <w:r>
          <w:rPr>
            <w:rStyle w:val="Hyperlink"/>
          </w:rPr>
          <w:t xml:space="preserve">Fig. S3</w:t>
        </w:r>
      </w:hyperlink>
      <w:r>
        <w:t xml:space="preserve"> </w:t>
      </w:r>
      <w:r>
        <w:t xml:space="preserve">give those distributions directly. GIUR, total scars and the number of retouch generations are the three that depart most clearly from normality: GIUR is bounded at one and piles up against that bound in both Quina groups, while the two counts are discrete and right-skewed. These three were compared with Kruskal–Wallis and Dunn tests. Thickness, retouched perimeter and edge angle are closer to symmetric within each group and were compared with Welch’s ANOVA and Welch’s</w:t>
      </w:r>
      <w:r>
        <w:t xml:space="preserve"> </w:t>
      </w:r>
      <w:r>
        <w:rPr>
          <w:i/>
          <w:iCs/>
        </w:rPr>
        <w:t xml:space="preserve">t</w:t>
      </w:r>
      <w:r>
        <w:t xml:space="preserve">, which does not require the group variances to be equal, and the variances here are visibly unequal.</w:t>
      </w:r>
    </w:p>
    <w:tbl>
      <w:tblPr>
        <w:tblStyle w:val="Table"/>
        <w:tblW w:type="pct" w:w="5000"/>
        <w:tblLayout w:type="fixed"/>
        <w:tblLook w:firstRow="0" w:lastRow="0" w:firstColumn="0" w:lastColumn="0" w:noHBand="0" w:noVBand="0" w:val="0000"/>
      </w:tblPr>
      <w:tblGrid>
        <w:gridCol w:w="7920"/>
      </w:tblGrid>
      <w:tr>
        <w:tc>
          <w:tcPr/>
          <w:bookmarkStart w:id="21" w:name="fig-distributions"/>
          <w:p>
            <w:pPr>
              <w:pStyle w:val="Compact"/>
              <w:jc w:val="center"/>
            </w:pPr>
            <w:r>
              <w:drawing>
                <wp:inline>
                  <wp:extent cx="5403966" cy="7693782"/>
                  <wp:effectExtent b="0" l="0" r="0" t="0"/>
                  <wp:docPr descr="" title="" id="19" name="Picture"/>
                  <a:graphic>
                    <a:graphicData uri="http://schemas.openxmlformats.org/drawingml/2006/picture">
                      <pic:pic>
                        <pic:nvPicPr>
                          <pic:cNvPr descr="supplementary_files/figure-docx/fig-distributions-1.png" id="20" name="Picture"/>
                          <pic:cNvPicPr>
                            <a:picLocks noChangeArrowheads="1" noChangeAspect="1"/>
                          </pic:cNvPicPr>
                        </pic:nvPicPr>
                        <pic:blipFill>
                          <a:blip r:embed="rId18"/>
                          <a:stretch>
                            <a:fillRect/>
                          </a:stretch>
                        </pic:blipFill>
                        <pic:spPr bwMode="auto">
                          <a:xfrm>
                            <a:off x="0" y="0"/>
                            <a:ext cx="5403966" cy="7693782"/>
                          </a:xfrm>
                          <a:prstGeom prst="rect">
                            <a:avLst/>
                          </a:prstGeom>
                          <a:noFill/>
                          <a:ln w="9525">
                            <a:noFill/>
                            <a:headEnd/>
                            <a:tailEnd/>
                          </a:ln>
                        </pic:spPr>
                      </pic:pic>
                    </a:graphicData>
                  </a:graphic>
                </wp:inline>
              </w:drawing>
            </w:r>
          </w:p>
          <w:p>
            <w:pPr>
              <w:jc w:val="center"/>
            </w:pPr>
            <w:pPr>
              <w:jc w:val="left"/>
              <w:spacing w:before="200"/>
              <w:pStyle w:val="ImageCaption"/>
            </w:pPr>
            <w:r>
              <w:t xml:space="preserve">Fig. S2: Distribution of each of the six technical variables within each group, on the specimens complete for all six. Panels are free on both axes; bar width is set separately for each panel.</w:t>
            </w:r>
          </w:p>
          <w:bookmarkEnd w:id="21"/>
        </w:tc>
      </w:tr>
    </w:tbl>
    <w:tbl>
      <w:tblPr>
        <w:tblStyle w:val="Table"/>
        <w:tblW w:type="pct" w:w="5000"/>
        <w:tblLayout w:type="fixed"/>
        <w:tblLook w:firstRow="0" w:lastRow="0" w:firstColumn="0" w:lastColumn="0" w:noHBand="0" w:noVBand="0" w:val="0000"/>
      </w:tblPr>
      <w:tblGrid>
        <w:gridCol w:w="7920"/>
      </w:tblGrid>
      <w:tr>
        <w:tc>
          <w:tcPr/>
          <w:bookmarkStart w:id="25" w:name="fig-qq"/>
          <w:p>
            <w:pPr>
              <w:pStyle w:val="Compact"/>
              <w:jc w:val="center"/>
            </w:pPr>
            <w:r>
              <w:drawing>
                <wp:inline>
                  <wp:extent cx="5403966" cy="7693782"/>
                  <wp:effectExtent b="0" l="0" r="0" t="0"/>
                  <wp:docPr descr="" title="" id="23" name="Picture"/>
                  <a:graphic>
                    <a:graphicData uri="http://schemas.openxmlformats.org/drawingml/2006/picture">
                      <pic:pic>
                        <pic:nvPicPr>
                          <pic:cNvPr descr="supplementary_files/figure-docx/fig-qq-1.png" id="24" name="Picture"/>
                          <pic:cNvPicPr>
                            <a:picLocks noChangeArrowheads="1" noChangeAspect="1"/>
                          </pic:cNvPicPr>
                        </pic:nvPicPr>
                        <pic:blipFill>
                          <a:blip r:embed="rId22"/>
                          <a:stretch>
                            <a:fillRect/>
                          </a:stretch>
                        </pic:blipFill>
                        <pic:spPr bwMode="auto">
                          <a:xfrm>
                            <a:off x="0" y="0"/>
                            <a:ext cx="5403966" cy="7693782"/>
                          </a:xfrm>
                          <a:prstGeom prst="rect">
                            <a:avLst/>
                          </a:prstGeom>
                          <a:noFill/>
                          <a:ln w="9525">
                            <a:noFill/>
                            <a:headEnd/>
                            <a:tailEnd/>
                          </a:ln>
                        </pic:spPr>
                      </pic:pic>
                    </a:graphicData>
                  </a:graphic>
                </wp:inline>
              </w:drawing>
            </w:r>
          </w:p>
          <w:p>
            <w:pPr>
              <w:jc w:val="center"/>
            </w:pPr>
            <w:pPr>
              <w:jc w:val="left"/>
              <w:spacing w:before="200"/>
              <w:pStyle w:val="ImageCaption"/>
            </w:pPr>
            <w:r>
              <w:t xml:space="preserve">Fig. S3: Normal quantile–quantile plots for the same variables and groups as the preceding figure. The line passes through the first and third sample quartiles. Departures from it are most pronounced for GIUR, which is bounded at one, and for the two count variables.</w:t>
            </w:r>
          </w:p>
          <w:bookmarkEnd w:id="25"/>
        </w:tc>
      </w:tr>
    </w:tbl>
    <w:p>
      <w:r>
        <w:br w:type="page"/>
      </w:r>
    </w:p>
    <w:bookmarkEnd w:id="26"/>
    <w:bookmarkStart w:id="36" w:name="s3.-technological-consistency"/>
    <w:p>
      <w:pPr>
        <w:pStyle w:val="Heading1"/>
      </w:pPr>
      <w:r>
        <w:t xml:space="preserve">S3. Technological consistency</w:t>
      </w:r>
    </w:p>
    <w:p>
      <w:pPr>
        <w:pStyle w:val="FirstParagraph"/>
      </w:pPr>
      <w:hyperlink w:anchor="tbl-tc-permanova">
        <w:r>
          <w:rPr>
            <w:rStyle w:val="Hyperlink"/>
          </w:rPr>
          <w:t xml:space="preserve">Table S5</w:t>
        </w:r>
      </w:hyperlink>
      <w:r>
        <w:t xml:space="preserve"> </w:t>
      </w:r>
      <w:r>
        <w:t xml:space="preserve">gives the three pairwise comparisons of the technical space in full. The main text quotes the</w:t>
      </w:r>
      <w:r>
        <w:t xml:space="preserve"> </w:t>
      </w:r>
      <w:r>
        <w:rPr>
          <w:i/>
          <w:iCs/>
        </w:rPr>
        <w:t xml:space="preserve">R</w:t>
      </w:r>
      <w:r>
        <w:t xml:space="preserve">² of each and the range across the two comparisons involving the control group; the sums of squares and degrees of freedom are added here so that the partition of variance can be checked directly. The contrast between the two Quina groups and the two Quina-against-control comparisons is one of nearly two orders of magnitude in explained variance.</w:t>
      </w:r>
    </w:p>
    <w:tbl>
      <w:tblPr>
        <w:tblStyle w:val="Table"/>
        <w:tblW w:type="pct" w:w="5000"/>
        <w:tblLayout w:type="fixed"/>
        <w:tblLook w:firstRow="0" w:lastRow="0" w:firstColumn="0" w:lastColumn="0" w:noHBand="0" w:noVBand="0" w:val="0000"/>
      </w:tblPr>
      <w:tblGrid>
        <w:gridCol w:w="7920"/>
      </w:tblGrid>
      <w:tr>
        <w:tc>
          <w:tcPr/>
          <w:bookmarkStart w:id="27" w:name="tbl-tc-permanova"/>
          <w:p>
            <w:pPr>
              <w:jc w:val="center"/>
            </w:pPr>
            <w:pPr>
              <w:jc w:val="left"/>
              <w:spacing w:before="200"/>
              <w:pStyle w:val="ImageCaption"/>
            </w:pPr>
            <w:r>
              <w:t xml:space="preserve">Table S5: Pairwise PERMANOVA on the z-scored six-variable technical space, Euclidean distances, 9,999 permutations. Degrees of freedom are given as model, residual. Adjusted</w:t>
            </w:r>
            <w:r>
              <w:t xml:space="preserve"> </w:t>
            </w:r>
            <w:r>
              <w:rPr>
                <w:i/>
                <w:iCs/>
              </w:rPr>
              <w:t xml:space="preserve">p</w:t>
            </w:r>
            <w:r>
              <w:t xml:space="preserve"> </w:t>
            </w:r>
            <w:r>
              <w:t xml:space="preserve">is the Bonferroni adjustment across the three comparisons.</w:t>
            </w:r>
          </w:p>
          <w:tbl>
            <w:tblPr>
              <w:tblStyle w:val="Table"/>
              <w:tblW w:type="pct" w:w="5000"/>
              <w:tblLayout w:type="fixed"/>
              <w:tblLook w:firstRow="1" w:lastRow="0" w:firstColumn="0" w:lastColumn="0" w:noHBand="0" w:noVBand="0" w:val="0020"/>
            </w:tblPr>
            <w:tblGrid>
              <w:gridCol w:w="2917"/>
              <w:gridCol w:w="666"/>
              <w:gridCol w:w="583"/>
              <w:gridCol w:w="583"/>
              <w:gridCol w:w="500"/>
              <w:gridCol w:w="917"/>
              <w:gridCol w:w="666"/>
              <w:gridCol w:w="1083"/>
            </w:tblGrid>
            <w:tr>
              <w:trPr>
                <w:tblHeader w:val="on"/>
              </w:trPr>
              <w:tc>
                <w:tcPr/>
                <w:p>
                  <w:pPr>
                    <w:pStyle w:val="Compact"/>
                    <w:jc w:val="left"/>
                    <w:jc w:val="center"/>
                  </w:pPr>
                  <w:r>
                    <w:t xml:space="preserve">Comparison</w:t>
                  </w:r>
                </w:p>
              </w:tc>
              <w:tc>
                <w:tcPr/>
                <w:p>
                  <w:pPr>
                    <w:pStyle w:val="Compact"/>
                    <w:jc w:val="right"/>
                    <w:jc w:val="center"/>
                  </w:pPr>
                  <w:r>
                    <w:rPr>
                      <w:i/>
                      <w:iCs/>
                    </w:rPr>
                    <w:t xml:space="preserve">n</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4.07</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0.493</w:t>
                  </w:r>
                </w:p>
              </w:tc>
              <w:tc>
                <w:tcPr/>
                <w:p>
                  <w:pPr>
                    <w:pStyle w:val="Compact"/>
                    <w:jc w:val="right"/>
                    <w:jc w:val="center"/>
                  </w:pPr>
                  <w:r>
                    <w:t xml:space="preserve">1.000</w:t>
                  </w:r>
                </w:p>
              </w:tc>
            </w:tr>
            <w:tr>
              <w:tc>
                <w:tcPr/>
                <w:p>
                  <w:pPr>
                    <w:pStyle w:val="Compact"/>
                    <w:jc w:val="left"/>
                    <w:jc w:val="center"/>
                  </w:pPr>
                  <w:r>
                    <w:t xml:space="preserve">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428.21</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259.57</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&lt; 0.001</w:t>
                  </w:r>
                </w:p>
              </w:tc>
            </w:tr>
          </w:tbl>
          <w:bookmarkEnd w:id="27"/>
          <w:p/>
        </w:tc>
      </w:tr>
    </w:tbl>
    <w:p>
      <w:pPr>
        <w:pStyle w:val="BodyText"/>
      </w:pPr>
      <w:hyperlink w:anchor="tbl-tc-permdisp">
        <w:r>
          <w:rPr>
            <w:rStyle w:val="Hyperlink"/>
          </w:rPr>
          <w:t xml:space="preserve">Table S6</w:t>
        </w:r>
      </w:hyperlink>
      <w:r>
        <w:t xml:space="preserve"> </w:t>
      </w:r>
      <w:r>
        <w:t xml:space="preserve">reports the accompanying test of dispersion. The upper panel gives the mean distance of each group to its own centroid, the quantity PERMDISP compares, and the lower panel the pairwise tests. Two</w:t>
      </w:r>
      <w:r>
        <w:t xml:space="preserve"> </w:t>
      </w:r>
      <w:r>
        <w:rPr>
          <w:i/>
          <w:iCs/>
        </w:rPr>
        <w:t xml:space="preserve">p</w:t>
      </w:r>
      <w:r>
        <w:t xml:space="preserve">-values are given for each pair: one from a model fitted to that pair alone, which is the value quoted in the main text, and one from the permutation of the full three-group model. They agree throughout. The two Quina groups are equally dispersed; the control group is appreciably less dispersed than either, which is what establishes that the test can detect a difference in spread on these variables when one is present.</w:t>
      </w:r>
    </w:p>
    <w:tbl>
      <w:tblPr>
        <w:tblStyle w:val="Table"/>
        <w:tblW w:type="pct" w:w="5000"/>
        <w:tblLayout w:type="fixed"/>
        <w:tblLook w:firstRow="0" w:lastRow="0" w:firstColumn="0" w:lastColumn="0" w:noHBand="0" w:noVBand="0" w:val="0000"/>
      </w:tblPr>
      <w:tblGrid>
        <w:gridCol w:w="7920"/>
      </w:tblGrid>
      <w:tr>
        <w:tc>
          <w:tcPr/>
          <w:bookmarkStart w:id="28" w:name="tbl-tc-permdisp"/>
          <w:p>
            <w:pPr>
              <w:jc w:val="center"/>
            </w:pPr>
            <w:pPr>
              <w:jc w:val="left"/>
              <w:spacing w:before="200"/>
              <w:pStyle w:val="ImageCaption"/>
            </w:pPr>
            <w:r>
              <w:t xml:space="preserve">Table S6: PERMDISP on the same technical space. Distance to centroid is measured in the z-scored space, so its units are standard deviations. The overall test is the three-group permutation test; the pairwise tests are fitted to each pair in turn, with the</w:t>
            </w:r>
            <w:r>
              <w:t xml:space="preserve"> </w:t>
            </w:r>
            <w:r>
              <w:rPr>
                <w:i/>
                <w:iCs/>
              </w:rPr>
              <w:t xml:space="preserve">p</w:t>
            </w:r>
            <w:r>
              <w:t xml:space="preserve">-value from the three-group permutation given alongside for comparison.</w:t>
            </w:r>
          </w:p>
          <w:tbl>
            <w:tblPr>
              <w:tblStyle w:val="Table"/>
              <w:tblW w:type="pct" w:w="5000"/>
              <w:tblLayout w:type="fixed"/>
              <w:tblLook w:firstRow="1" w:lastRow="0" w:firstColumn="0" w:lastColumn="0" w:noHBand="0" w:noVBand="0" w:val="0020"/>
            </w:tblPr>
            <w:tblGrid>
              <w:gridCol w:w="3344"/>
              <w:gridCol w:w="704"/>
              <w:gridCol w:w="1056"/>
              <w:gridCol w:w="792"/>
              <w:gridCol w:w="792"/>
              <w:gridCol w:w="1232"/>
            </w:tblGrid>
            <w:tr>
              <w:trPr>
                <w:tblHeader w:val="on"/>
              </w:trPr>
              <w:tc>
                <w:tcPr/>
                <w:p>
                  <w:pPr>
                    <w:pStyle w:val="Compact"/>
                  </w:pPr>
                </w:p>
              </w:tc>
              <w:tc>
                <w:tcPr/>
                <w:p>
                  <w:pPr>
                    <w:pStyle w:val="Compact"/>
                    <w:jc w:val="right"/>
                    <w:jc w:val="center"/>
                  </w:pPr>
                  <w:r>
                    <w:rPr>
                      <w:i/>
                      <w:iCs/>
                    </w:rPr>
                    <w:t xml:space="preserve">n</w:t>
                  </w:r>
                </w:p>
              </w:tc>
              <w:tc>
                <w:tcPr/>
                <w:p>
                  <w:pPr>
                    <w:pStyle w:val="Compact"/>
                    <w:jc w:val="right"/>
                    <w:jc w:val="center"/>
                  </w:pPr>
                  <w:r>
                    <w:t xml:space="preserve">Mean /</w:t>
                  </w:r>
                  <w:r>
                    <w:t xml:space="preserve"> </w:t>
                  </w:r>
                  <w:r>
                    <w:rPr>
                      <w:i/>
                      <w:iCs/>
                    </w:rPr>
                    <w:t xml:space="preserve">df</w:t>
                  </w:r>
                </w:p>
              </w:tc>
              <w:tc>
                <w:tcPr/>
                <w:p>
                  <w:pPr>
                    <w:pStyle w:val="Compact"/>
                    <w:jc w:val="right"/>
                    <w:jc w:val="center"/>
                  </w:pPr>
                  <w:r>
                    <w:t xml:space="preserve">SD /</w:t>
                  </w:r>
                  <w:r>
                    <w:t xml:space="preserve"> </w:t>
                  </w:r>
                  <w:r>
                    <w:rPr>
                      <w:i/>
                      <w:iCs/>
                    </w:rPr>
                    <w:t xml:space="preserve">F</w:t>
                  </w:r>
                </w:p>
              </w:tc>
              <w:tc>
                <w:tcPr/>
                <w:p>
                  <w:pPr>
                    <w:pStyle w:val="Compact"/>
                    <w:jc w:val="right"/>
                    <w:jc w:val="center"/>
                  </w:pPr>
                  <w:r>
                    <w:t xml:space="preserve">SE /</w:t>
                  </w:r>
                  <w:r>
                    <w:t xml:space="preserve"> </w:t>
                  </w:r>
                  <w:r>
                    <w:rPr>
                      <w:i/>
                      <w:iCs/>
                    </w:rPr>
                    <w:t xml:space="preserve">p</w:t>
                  </w:r>
                </w:p>
              </w:tc>
              <w:tc>
                <w:tcPr/>
                <w:p>
                  <w:pPr>
                    <w:pStyle w:val="Compact"/>
                    <w:jc w:val="right"/>
                    <w:jc w:val="center"/>
                  </w:pPr>
                  <w:r>
                    <w:rPr>
                      <w:i/>
                      <w:iCs/>
                    </w:rPr>
                    <w:t xml:space="preserve">p</w:t>
                  </w:r>
                  <w:r>
                    <w:t xml:space="preserve"> </w:t>
                  </w:r>
                  <w:r>
                    <w:t xml:space="preserve">(3-group)</w:t>
                  </w:r>
                </w:p>
              </w:tc>
            </w:tr>
            <w:tr>
              <w:tc>
                <w:tcPr/>
                <w:p>
                  <w:pPr>
                    <w:pStyle w:val="Compact"/>
                    <w:jc w:val="left"/>
                    <w:jc w:val="center"/>
                  </w:pPr>
                  <w:r>
                    <w:rPr>
                      <w:b/>
                      <w:bCs/>
                    </w:rPr>
                    <w:t xml:space="preserve">Distance to centroid, by 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w:t>
                  </w:r>
                </w:p>
              </w:tc>
              <w:tc>
                <w:tcPr/>
                <w:p>
                  <w:pPr>
                    <w:pStyle w:val="Compact"/>
                    <w:jc w:val="right"/>
                    <w:jc w:val="center"/>
                  </w:pPr>
                  <w:r>
                    <w:t xml:space="preserve">165</w:t>
                  </w:r>
                </w:p>
              </w:tc>
              <w:tc>
                <w:tcPr/>
                <w:p>
                  <w:pPr>
                    <w:pStyle w:val="Compact"/>
                    <w:jc w:val="right"/>
                    <w:jc w:val="center"/>
                  </w:pPr>
                  <w:r>
                    <w:t xml:space="preserve">2.100</w:t>
                  </w:r>
                </w:p>
              </w:tc>
              <w:tc>
                <w:tcPr/>
                <w:p>
                  <w:pPr>
                    <w:pStyle w:val="Compact"/>
                    <w:jc w:val="right"/>
                    <w:jc w:val="center"/>
                  </w:pPr>
                  <w:r>
                    <w:t xml:space="preserve">0.877</w:t>
                  </w:r>
                </w:p>
              </w:tc>
              <w:tc>
                <w:tcPr/>
                <w:p>
                  <w:pPr>
                    <w:pStyle w:val="Compact"/>
                    <w:jc w:val="right"/>
                    <w:jc w:val="center"/>
                  </w:pPr>
                  <w:r>
                    <w:t xml:space="preserve">0.068</w:t>
                  </w:r>
                </w:p>
              </w:tc>
              <w:tc>
                <w:tcPr/>
                <w:p>
                  <w:pPr>
                    <w:pStyle w:val="Compact"/>
                  </w:pPr>
                </w:p>
              </w:tc>
            </w:tr>
            <w:tr>
              <w:tc>
                <w:tcPr/>
                <w:p>
                  <w:pPr>
                    <w:pStyle w:val="Compact"/>
                    <w:jc w:val="left"/>
                    <w:jc w:val="center"/>
                  </w:pPr>
                  <w:r>
                    <w:t xml:space="preserve">   Longtan Quina</w:t>
                  </w:r>
                </w:p>
              </w:tc>
              <w:tc>
                <w:tcPr/>
                <w:p>
                  <w:pPr>
                    <w:pStyle w:val="Compact"/>
                    <w:jc w:val="right"/>
                    <w:jc w:val="center"/>
                  </w:pPr>
                  <w:r>
                    <w:t xml:space="preserve">53</w:t>
                  </w:r>
                </w:p>
              </w:tc>
              <w:tc>
                <w:tcPr/>
                <w:p>
                  <w:pPr>
                    <w:pStyle w:val="Compact"/>
                    <w:jc w:val="right"/>
                    <w:jc w:val="center"/>
                  </w:pPr>
                  <w:r>
                    <w:t xml:space="preserve">2.020</w:t>
                  </w:r>
                </w:p>
              </w:tc>
              <w:tc>
                <w:tcPr/>
                <w:p>
                  <w:pPr>
                    <w:pStyle w:val="Compact"/>
                    <w:jc w:val="right"/>
                    <w:jc w:val="center"/>
                  </w:pPr>
                  <w:r>
                    <w:t xml:space="preserve">0.727</w:t>
                  </w:r>
                </w:p>
              </w:tc>
              <w:tc>
                <w:tcPr/>
                <w:p>
                  <w:pPr>
                    <w:pStyle w:val="Compact"/>
                    <w:jc w:val="right"/>
                    <w:jc w:val="center"/>
                  </w:pPr>
                  <w:r>
                    <w:t xml:space="preserve">0.100</w:t>
                  </w:r>
                </w:p>
              </w:tc>
              <w:tc>
                <w:tcPr/>
                <w:p>
                  <w:pPr>
                    <w:pStyle w:val="Compact"/>
                  </w:pPr>
                </w:p>
              </w:tc>
            </w:tr>
            <w:tr>
              <w:tc>
                <w:tcPr/>
                <w:p>
                  <w:pPr>
                    <w:pStyle w:val="Compact"/>
                    <w:jc w:val="left"/>
                    <w:jc w:val="center"/>
                  </w:pPr>
                  <w:r>
                    <w:t xml:space="preserve">   Longtan non-Quina</w:t>
                  </w:r>
                </w:p>
              </w:tc>
              <w:tc>
                <w:tcPr/>
                <w:p>
                  <w:pPr>
                    <w:pStyle w:val="Compact"/>
                    <w:jc w:val="right"/>
                    <w:jc w:val="center"/>
                  </w:pPr>
                  <w:r>
                    <w:t xml:space="preserve">79</w:t>
                  </w:r>
                </w:p>
              </w:tc>
              <w:tc>
                <w:tcPr/>
                <w:p>
                  <w:pPr>
                    <w:pStyle w:val="Compact"/>
                    <w:jc w:val="right"/>
                    <w:jc w:val="center"/>
                  </w:pPr>
                  <w:r>
                    <w:t xml:space="preserve">1.545</w:t>
                  </w:r>
                </w:p>
              </w:tc>
              <w:tc>
                <w:tcPr/>
                <w:p>
                  <w:pPr>
                    <w:pStyle w:val="Compact"/>
                    <w:jc w:val="right"/>
                    <w:jc w:val="center"/>
                  </w:pPr>
                  <w:r>
                    <w:t xml:space="preserve">0.594</w:t>
                  </w:r>
                </w:p>
              </w:tc>
              <w:tc>
                <w:tcPr/>
                <w:p>
                  <w:pPr>
                    <w:pStyle w:val="Compact"/>
                    <w:jc w:val="right"/>
                    <w:jc w:val="center"/>
                  </w:pPr>
                  <w:r>
                    <w:t xml:space="preserve">0.067</w:t>
                  </w:r>
                </w:p>
              </w:tc>
              <w:tc>
                <w:tcPr/>
                <w:p>
                  <w:pPr>
                    <w:pStyle w:val="Compact"/>
                  </w:pPr>
                </w:p>
              </w:tc>
            </w:tr>
            <w:tr>
              <w:tc>
                <w:tcPr/>
                <w:p>
                  <w:pPr>
                    <w:pStyle w:val="Compact"/>
                    <w:jc w:val="left"/>
                    <w:jc w:val="center"/>
                  </w:pPr>
                  <w:r>
                    <w:t xml:space="preserve">   </w:t>
                  </w:r>
                  <w:r>
                    <w:rPr>
                      <w:i/>
                      <w:iCs/>
                    </w:rPr>
                    <w:t xml:space="preserve">Overall test</w:t>
                  </w:r>
                </w:p>
              </w:tc>
              <w:tc>
                <w:tcPr/>
                <w:p>
                  <w:pPr>
                    <w:pStyle w:val="Compact"/>
                  </w:pPr>
                </w:p>
              </w:tc>
              <w:tc>
                <w:tcPr/>
                <w:p>
                  <w:pPr>
                    <w:pStyle w:val="Compact"/>
                    <w:jc w:val="right"/>
                    <w:jc w:val="center"/>
                  </w:pPr>
                  <w:r>
                    <w:t xml:space="preserve">2, 294</w:t>
                  </w:r>
                </w:p>
              </w:tc>
              <w:tc>
                <w:tcPr/>
                <w:p>
                  <w:pPr>
                    <w:pStyle w:val="Compact"/>
                    <w:jc w:val="right"/>
                    <w:jc w:val="center"/>
                  </w:pPr>
                  <w:r>
                    <w:t xml:space="preserve">13.71</w:t>
                  </w:r>
                </w:p>
              </w:tc>
              <w:tc>
                <w:tcPr/>
                <w:p>
                  <w:pPr>
                    <w:pStyle w:val="Compact"/>
                    <w:jc w:val="right"/>
                    <w:jc w:val="center"/>
                  </w:pPr>
                  <w:r>
                    <w:t xml:space="preserve">&lt; 0.001</w:t>
                  </w:r>
                </w:p>
              </w:tc>
              <w:tc>
                <w:tcPr/>
                <w:p>
                  <w:pPr>
                    <w:pStyle w:val="Compact"/>
                  </w:pPr>
                </w:p>
              </w:tc>
            </w:tr>
            <w:tr>
              <w:tc>
                <w:tcPr/>
                <w:p>
                  <w:pPr>
                    <w:pStyle w:val="Compact"/>
                    <w:jc w:val="left"/>
                    <w:jc w:val="center"/>
                  </w:pPr>
                  <w:r>
                    <w:rPr>
                      <w:b/>
                      <w:bCs/>
                    </w:rPr>
                    <w:t xml:space="preserve">Pairwise tests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0.35</w:t>
                  </w:r>
                </w:p>
              </w:tc>
              <w:tc>
                <w:tcPr/>
                <w:p>
                  <w:pPr>
                    <w:pStyle w:val="Compact"/>
                    <w:jc w:val="right"/>
                    <w:jc w:val="center"/>
                  </w:pPr>
                  <w:r>
                    <w:t xml:space="preserve">0.558</w:t>
                  </w:r>
                </w:p>
              </w:tc>
              <w:tc>
                <w:tcPr/>
                <w:p>
                  <w:pPr>
                    <w:pStyle w:val="Compact"/>
                    <w:jc w:val="right"/>
                    <w:jc w:val="center"/>
                  </w:pPr>
                  <w:r>
                    <w:t xml:space="preserve">0.552</w:t>
                  </w:r>
                </w:p>
              </w:tc>
            </w:tr>
            <w:tr>
              <w:tc>
                <w:tcPr/>
                <w:p>
                  <w:pPr>
                    <w:pStyle w:val="Compact"/>
                    <w:jc w:val="left"/>
                    <w:jc w:val="center"/>
                  </w:pPr>
                  <w:r>
                    <w:t xml:space="preserve">   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25.92</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   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16.99</w:t>
                  </w:r>
                </w:p>
              </w:tc>
              <w:tc>
                <w:tcPr/>
                <w:p>
                  <w:pPr>
                    <w:pStyle w:val="Compact"/>
                    <w:jc w:val="right"/>
                    <w:jc w:val="center"/>
                  </w:pPr>
                  <w:r>
                    <w:t xml:space="preserve">&lt; 0.001</w:t>
                  </w:r>
                </w:p>
              </w:tc>
              <w:tc>
                <w:tcPr/>
                <w:p>
                  <w:pPr>
                    <w:pStyle w:val="Compact"/>
                    <w:jc w:val="right"/>
                    <w:jc w:val="center"/>
                  </w:pPr>
                  <w:r>
                    <w:t xml:space="preserve">&lt; 0.001</w:t>
                  </w:r>
                </w:p>
              </w:tc>
            </w:tr>
          </w:tbl>
          <w:bookmarkEnd w:id="28"/>
          <w:p/>
        </w:tc>
      </w:tr>
    </w:tbl>
    <w:p>
      <w:pPr>
        <w:pStyle w:val="BodyText"/>
      </w:pPr>
      <w:hyperlink w:anchor="tbl-tc-univariate">
        <w:r>
          <w:rPr>
            <w:rStyle w:val="Hyperlink"/>
          </w:rPr>
          <w:t xml:space="preserve">Table S7</w:t>
        </w:r>
      </w:hyperlink>
      <w:r>
        <w:t xml:space="preserve"> </w:t>
      </w:r>
      <w:r>
        <w:t xml:space="preserve">gives the univariate tests in full: the omnibus test for each variable, then the three post-hoc comparisons. Every variable separates each Quina group from the control at an adjusted</w:t>
      </w:r>
      <w:r>
        <w:t xml:space="preserve"> </w:t>
      </w:r>
      <w:r>
        <w:rPr>
          <w:i/>
          <w:iCs/>
        </w:rPr>
        <w:t xml:space="preserve">p</w:t>
      </w:r>
      <w:r>
        <w:t xml:space="preserve"> </w:t>
      </w:r>
      <w:r>
        <w:t xml:space="preserve">below 0.001, and none separates the two Quina groups from one another. The agreement documented in the main text therefore holds variable by variable and not only in the multivariate space.</w:t>
      </w:r>
    </w:p>
    <w:tbl>
      <w:tblPr>
        <w:tblStyle w:val="Table"/>
        <w:tblW w:type="pct" w:w="5000"/>
        <w:tblLayout w:type="fixed"/>
        <w:tblLook w:firstRow="0" w:lastRow="0" w:firstColumn="0" w:lastColumn="0" w:noHBand="0" w:noVBand="0" w:val="0000"/>
      </w:tblPr>
      <w:tblGrid>
        <w:gridCol w:w="7920"/>
      </w:tblGrid>
      <w:tr>
        <w:tc>
          <w:tcPr/>
          <w:bookmarkStart w:id="29" w:name="tbl-tc-univariate"/>
          <w:p>
            <w:pPr>
              <w:jc w:val="center"/>
            </w:pPr>
            <w:pPr>
              <w:jc w:val="left"/>
              <w:spacing w:before="200"/>
              <w:pStyle w:val="ImageCaption"/>
            </w:pPr>
            <w:r>
              <w:t xml:space="preserve">Table S7: Per-variable comparison of the three groups. GIUR, total scars and retouch generations were tested with Kruskal–Wallis and Dunn’s post-hoc comparisons, the effect size being epsilon-squared; thickness, retouched perimeter and edge angle with Welch’s ANOVA and Welch’s</w:t>
            </w:r>
            <w:r>
              <w:t xml:space="preserve"> </w:t>
            </w:r>
            <w:r>
              <w:rPr>
                <w:i/>
                <w:iCs/>
              </w:rPr>
              <w:t xml:space="preserve">t</w:t>
            </w:r>
            <w:r>
              <w:t xml:space="preserve"> </w:t>
            </w:r>
            <w:r>
              <w:t xml:space="preserve">post-hoc comparisons. All post-hoc</w:t>
            </w:r>
            <w:r>
              <w:t xml:space="preserve"> </w:t>
            </w:r>
            <w:r>
              <w:rPr>
                <w:i/>
                <w:iCs/>
              </w:rPr>
              <w:t xml:space="preserve">p</w:t>
            </w:r>
            <w:r>
              <w:t xml:space="preserve">-values carry a Bonferroni adjustment within each variable. ns, not significant.</w:t>
            </w:r>
          </w:p>
          <w:tbl>
            <w:tblPr>
              <w:tblStyle w:val="Table"/>
              <w:tblW w:type="pct" w:w="5000"/>
              <w:tblLayout w:type="fixed"/>
              <w:tblLook w:firstRow="1" w:lastRow="0" w:firstColumn="0" w:lastColumn="0" w:noHBand="0" w:noVBand="0" w:val="0020"/>
            </w:tblPr>
            <w:tblGrid>
              <w:gridCol w:w="3499"/>
              <w:gridCol w:w="1013"/>
              <w:gridCol w:w="1105"/>
              <w:gridCol w:w="736"/>
              <w:gridCol w:w="1105"/>
              <w:gridCol w:w="460"/>
            </w:tblGrid>
            <w:tr>
              <w:trPr>
                <w:tblHeader w:val="on"/>
              </w:trPr>
              <w:tc>
                <w:tcPr/>
                <w:p>
                  <w:pPr>
                    <w:pStyle w:val="Compact"/>
                    <w:jc w:val="left"/>
                    <w:jc w:val="center"/>
                  </w:pPr>
                  <w:r>
                    <w:t xml:space="preserve">Variable / comparison</w:t>
                  </w:r>
                </w:p>
              </w:tc>
              <w:tc>
                <w:tcPr/>
                <w:p>
                  <w:pPr>
                    <w:pStyle w:val="Compact"/>
                    <w:jc w:val="right"/>
                    <w:jc w:val="center"/>
                  </w:pPr>
                  <w:r>
                    <w:t xml:space="preserve">Statistic</w:t>
                  </w:r>
                </w:p>
              </w:tc>
              <w:tc>
                <w:tcPr/>
                <w:p>
                  <w:pPr>
                    <w:pStyle w:val="Compact"/>
                    <w:jc w:val="right"/>
                    <w:jc w:val="center"/>
                  </w:pPr>
                  <w:r>
                    <w:rPr>
                      <w:i/>
                      <w:iCs/>
                    </w:rPr>
                    <w:t xml:space="preserve">df</w:t>
                  </w:r>
                  <w:r>
                    <w:t xml:space="preserve"> </w:t>
                  </w:r>
                  <w:r>
                    <w:t xml:space="preserve">or</w:t>
                  </w:r>
                  <w:r>
                    <w:t xml:space="preserve"> </w:t>
                  </w:r>
                  <w:r>
                    <w:rPr>
                      <w:i/>
                      <w:iCs/>
                    </w:rPr>
                    <w:t xml:space="preserve">n</w:t>
                  </w:r>
                </w:p>
              </w:tc>
              <w:tc>
                <w:tcPr/>
                <w:p>
                  <w:pPr>
                    <w:pStyle w:val="Compact"/>
                    <w:jc w:val="right"/>
                    <w:jc w:val="center"/>
                  </w:pPr>
                  <w:r>
                    <w:rPr>
                      <w:i/>
                      <w:iCs/>
                    </w:rPr>
                    <w:t xml:space="preserve">p</w:t>
                  </w:r>
                </w:p>
              </w:tc>
              <w:tc>
                <w:tcPr/>
                <w:p>
                  <w:pPr>
                    <w:pStyle w:val="Compact"/>
                    <w:jc w:val="right"/>
                    <w:jc w:val="center"/>
                  </w:pPr>
                  <w:r>
                    <w:t xml:space="preserve">Effect size</w:t>
                  </w:r>
                </w:p>
              </w:tc>
              <w:tc>
                <w:tcPr/>
                <w:p>
                  <w:pPr>
                    <w:pStyle w:val="Compact"/>
                  </w:pPr>
                </w:p>
              </w:tc>
            </w:tr>
            <w:tr>
              <w:tc>
                <w:tcPr/>
                <w:p>
                  <w:pPr>
                    <w:pStyle w:val="Compact"/>
                    <w:jc w:val="left"/>
                    <w:jc w:val="center"/>
                  </w:pPr>
                  <w:r>
                    <w:rPr>
                      <w:b/>
                      <w:bCs/>
                    </w:rPr>
                    <w:t xml:space="preserve">Thickness (mm)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34.39</w:t>
                  </w:r>
                </w:p>
              </w:tc>
              <w:tc>
                <w:tcPr/>
                <w:p>
                  <w:pPr>
                    <w:pStyle w:val="Compact"/>
                    <w:jc w:val="right"/>
                    <w:jc w:val="center"/>
                  </w:pPr>
                  <w:r>
                    <w:t xml:space="preserve">2, 137.2</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1.09</w:t>
                  </w:r>
                </w:p>
              </w:tc>
              <w:tc>
                <w:tcPr/>
                <w:p>
                  <w:pPr>
                    <w:pStyle w:val="Compact"/>
                    <w:jc w:val="right"/>
                    <w:jc w:val="center"/>
                  </w:pPr>
                  <w:r>
                    <w:t xml:space="preserve">106.4</w:t>
                  </w:r>
                </w:p>
              </w:tc>
              <w:tc>
                <w:tcPr/>
                <w:p>
                  <w:pPr>
                    <w:pStyle w:val="Compact"/>
                    <w:jc w:val="right"/>
                    <w:jc w:val="center"/>
                  </w:pPr>
                  <w:r>
                    <w:t xml:space="preserve">0.831</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8.09</w:t>
                  </w:r>
                </w:p>
              </w:tc>
              <w:tc>
                <w:tcPr/>
                <w:p>
                  <w:pPr>
                    <w:pStyle w:val="Compact"/>
                    <w:jc w:val="right"/>
                    <w:jc w:val="center"/>
                  </w:pPr>
                  <w:r>
                    <w:t xml:space="preserve">176.1</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5.78</w:t>
                  </w:r>
                </w:p>
              </w:tc>
              <w:tc>
                <w:tcPr/>
                <w:p>
                  <w:pPr>
                    <w:pStyle w:val="Compact"/>
                    <w:jc w:val="right"/>
                    <w:jc w:val="center"/>
                  </w:pPr>
                  <w:r>
                    <w:t xml:space="preserve">115.7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Retouched perimeter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43.18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1.14</w:t>
                  </w:r>
                </w:p>
              </w:tc>
              <w:tc>
                <w:tcPr/>
                <w:p>
                  <w:pPr>
                    <w:pStyle w:val="Compact"/>
                    <w:jc w:val="right"/>
                    <w:jc w:val="center"/>
                  </w:pPr>
                  <w:r>
                    <w:t xml:space="preserve">83.9</w:t>
                  </w:r>
                </w:p>
              </w:tc>
              <w:tc>
                <w:tcPr/>
                <w:p>
                  <w:pPr>
                    <w:pStyle w:val="Compact"/>
                    <w:jc w:val="right"/>
                    <w:jc w:val="center"/>
                  </w:pPr>
                  <w:r>
                    <w:t xml:space="preserve">0.774</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9.03</w:t>
                  </w:r>
                </w:p>
              </w:tc>
              <w:tc>
                <w:tcPr/>
                <w:p>
                  <w:pPr>
                    <w:pStyle w:val="Compact"/>
                    <w:jc w:val="right"/>
                    <w:jc w:val="center"/>
                  </w:pPr>
                  <w:r>
                    <w:t xml:space="preserve">234.7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4.55</w:t>
                  </w:r>
                </w:p>
              </w:tc>
              <w:tc>
                <w:tcPr/>
                <w:p>
                  <w:pPr>
                    <w:pStyle w:val="Compact"/>
                    <w:jc w:val="right"/>
                    <w:jc w:val="center"/>
                  </w:pPr>
                  <w:r>
                    <w:t xml:space="preserve">72.4</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GIUR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119.03</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0.398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0.46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-10.33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-8.37</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Total scars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79.80</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0.265</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0.16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-8.53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-6.71</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 generations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116.16</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0.388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1.04</w:t>
                  </w:r>
                </w:p>
              </w:tc>
              <w:tc>
                <w:tcPr/>
                <w:p>
                  <w:pPr>
                    <w:pStyle w:val="Compact"/>
                    <w:jc w:val="right"/>
                    <w:jc w:val="center"/>
                  </w:pPr>
                  <w:r>
                    <w:t xml:space="preserve">165, 53</w:t>
                  </w:r>
                </w:p>
              </w:tc>
              <w:tc>
                <w:tcPr/>
                <w:p>
                  <w:pPr>
                    <w:pStyle w:val="Compact"/>
                    <w:jc w:val="right"/>
                    <w:jc w:val="center"/>
                  </w:pPr>
                  <w:r>
                    <w:t xml:space="preserve">0.897</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-10.01</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-8.63</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Edge angle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50.78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-0.11</w:t>
                  </w:r>
                </w:p>
              </w:tc>
              <w:tc>
                <w:tcPr/>
                <w:p>
                  <w:pPr>
                    <w:pStyle w:val="Compact"/>
                    <w:jc w:val="right"/>
                    <w:jc w:val="center"/>
                  </w:pPr>
                  <w:r>
                    <w:t xml:space="preserve">93.5</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9.64</w:t>
                  </w:r>
                </w:p>
              </w:tc>
              <w:tc>
                <w:tcPr/>
                <w:p>
                  <w:pPr>
                    <w:pStyle w:val="Compact"/>
                    <w:jc w:val="right"/>
                    <w:jc w:val="center"/>
                  </w:pPr>
                  <w:r>
                    <w:t xml:space="preserve">149.6</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7.89</w:t>
                  </w:r>
                </w:p>
              </w:tc>
              <w:tc>
                <w:tcPr/>
                <w:p>
                  <w:pPr>
                    <w:pStyle w:val="Compact"/>
                    <w:jc w:val="right"/>
                    <w:jc w:val="center"/>
                  </w:pPr>
                  <w:r>
                    <w:t xml:space="preserve">119.0</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bl>
          <w:bookmarkEnd w:id="29"/>
          <w:p/>
        </w:tc>
      </w:tr>
    </w:tbl>
    <w:p>
      <w:pPr>
        <w:pStyle w:val="BodyText"/>
      </w:pPr>
      <w:hyperlink w:anchor="tbl-tc-pca">
        <w:r>
          <w:rPr>
            <w:rStyle w:val="Hyperlink"/>
          </w:rPr>
          <w:t xml:space="preserve">Table S8</w:t>
        </w:r>
      </w:hyperlink>
      <w:r>
        <w:t xml:space="preserve"> </w:t>
      </w:r>
      <w:r>
        <w:t xml:space="preserve">gives the full eigenstructure of the ordination shown in the main text, which plots the first two components only. The first component carries 56.9% of the variance and loads in the same direction on all six variables, so it is a general axis of reduction intensity: specimens with a high score are thicker, more extensively retouched and carry more scars and more generations of them. The second, at 15.5%, separates the extent of retouch around the perimeter from the number of scars, and the remaining four components together account for less than a quarter of the variance.</w:t>
      </w:r>
    </w:p>
    <w:tbl>
      <w:tblPr>
        <w:tblStyle w:val="Table"/>
        <w:tblW w:type="pct" w:w="5000"/>
        <w:tblLayout w:type="fixed"/>
        <w:tblLook w:firstRow="0" w:lastRow="0" w:firstColumn="0" w:lastColumn="0" w:noHBand="0" w:noVBand="0" w:val="0000"/>
      </w:tblPr>
      <w:tblGrid>
        <w:gridCol w:w="7920"/>
      </w:tblGrid>
      <w:tr>
        <w:tc>
          <w:tcPr/>
          <w:bookmarkStart w:id="30" w:name="tbl-tc-pca"/>
          <w:p>
            <w:pPr>
              <w:jc w:val="center"/>
            </w:pPr>
            <w:pPr>
              <w:jc w:val="left"/>
              <w:spacing w:before="200"/>
              <w:pStyle w:val="ImageCaption"/>
            </w:pPr>
            <w:r>
              <w:t xml:space="preserve">Table S8: Loadings of all six principal components of the z-scored technical space, with the eigenvalue, the percentage of variance and the cumulative percentage for each. The ordination in the main text plots the first two components.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Variable</w:t>
                  </w:r>
                </w:p>
              </w:tc>
              <w:tc>
                <w:tcPr/>
                <w:p>
                  <w:pPr>
                    <w:pStyle w:val="Compact"/>
                    <w:jc w:val="right"/>
                    <w:jc w:val="center"/>
                  </w:pPr>
                  <w:r>
                    <w:t xml:space="preserve">PC1</w:t>
                  </w:r>
                </w:p>
              </w:tc>
              <w:tc>
                <w:tcPr/>
                <w:p>
                  <w:pPr>
                    <w:pStyle w:val="Compact"/>
                    <w:jc w:val="right"/>
                    <w:jc w:val="center"/>
                  </w:pPr>
                  <w:r>
                    <w:t xml:space="preserve">PC2</w:t>
                  </w:r>
                </w:p>
              </w:tc>
              <w:tc>
                <w:tcPr/>
                <w:p>
                  <w:pPr>
                    <w:pStyle w:val="Compact"/>
                    <w:jc w:val="right"/>
                    <w:jc w:val="center"/>
                  </w:pPr>
                  <w:r>
                    <w:t xml:space="preserve">PC3</w:t>
                  </w:r>
                </w:p>
              </w:tc>
              <w:tc>
                <w:tcPr/>
                <w:p>
                  <w:pPr>
                    <w:pStyle w:val="Compact"/>
                    <w:jc w:val="right"/>
                    <w:jc w:val="center"/>
                  </w:pPr>
                  <w:r>
                    <w:t xml:space="preserve">PC4</w:t>
                  </w:r>
                </w:p>
              </w:tc>
              <w:tc>
                <w:tcPr/>
                <w:p>
                  <w:pPr>
                    <w:pStyle w:val="Compact"/>
                    <w:jc w:val="right"/>
                    <w:jc w:val="center"/>
                  </w:pPr>
                  <w:r>
                    <w:t xml:space="preserve">PC5</w:t>
                  </w:r>
                </w:p>
              </w:tc>
              <w:tc>
                <w:tcPr/>
                <w:p>
                  <w:pPr>
                    <w:pStyle w:val="Compact"/>
                    <w:jc w:val="right"/>
                    <w:jc w:val="center"/>
                  </w:pPr>
                  <w:r>
                    <w:t xml:space="preserve">PC6</w:t>
                  </w:r>
                </w:p>
              </w:tc>
            </w:tr>
            <w:tr>
              <w:tc>
                <w:tcPr/>
                <w:p>
                  <w:pPr>
                    <w:pStyle w:val="Compact"/>
                    <w:jc w:val="left"/>
                    <w:jc w:val="center"/>
                  </w:pPr>
                  <w:r>
                    <w:t xml:space="preserve">Thickness (mm)</w:t>
                  </w:r>
                </w:p>
              </w:tc>
              <w:tc>
                <w:tcPr/>
                <w:p>
                  <w:pPr>
                    <w:pStyle w:val="Compact"/>
                    <w:jc w:val="right"/>
                    <w:jc w:val="center"/>
                  </w:pPr>
                  <w:r>
                    <w:t xml:space="preserve">-0.332</w:t>
                  </w:r>
                </w:p>
              </w:tc>
              <w:tc>
                <w:tcPr/>
                <w:p>
                  <w:pPr>
                    <w:pStyle w:val="Compact"/>
                    <w:jc w:val="right"/>
                    <w:jc w:val="center"/>
                  </w:pPr>
                  <w:r>
                    <w:t xml:space="preserve">0.255</w:t>
                  </w:r>
                </w:p>
              </w:tc>
              <w:tc>
                <w:tcPr/>
                <w:p>
                  <w:pPr>
                    <w:pStyle w:val="Compact"/>
                    <w:jc w:val="right"/>
                    <w:jc w:val="center"/>
                  </w:pPr>
                  <w:r>
                    <w:t xml:space="preserve">-0.762</w:t>
                  </w:r>
                </w:p>
              </w:tc>
              <w:tc>
                <w:tcPr/>
                <w:p>
                  <w:pPr>
                    <w:pStyle w:val="Compact"/>
                    <w:jc w:val="right"/>
                    <w:jc w:val="center"/>
                  </w:pPr>
                  <w:r>
                    <w:t xml:space="preserve">-0.376</w:t>
                  </w:r>
                </w:p>
              </w:tc>
              <w:tc>
                <w:tcPr/>
                <w:p>
                  <w:pPr>
                    <w:pStyle w:val="Compact"/>
                    <w:jc w:val="right"/>
                    <w:jc w:val="center"/>
                  </w:pPr>
                  <w:r>
                    <w:t xml:space="preserve">-0.311</w:t>
                  </w:r>
                </w:p>
              </w:tc>
              <w:tc>
                <w:tcPr/>
                <w:p>
                  <w:pPr>
                    <w:pStyle w:val="Compact"/>
                    <w:jc w:val="right"/>
                    <w:jc w:val="center"/>
                  </w:pPr>
                  <w:r>
                    <w:t xml:space="preserve">-0.076</w:t>
                  </w:r>
                </w:p>
              </w:tc>
            </w:tr>
            <w:tr>
              <w:tc>
                <w:tcPr/>
                <w:p>
                  <w:pPr>
                    <w:pStyle w:val="Compact"/>
                    <w:jc w:val="left"/>
                    <w:jc w:val="center"/>
                  </w:pPr>
                  <w:r>
                    <w:t xml:space="preserve">Retouched perimeter</w:t>
                  </w:r>
                </w:p>
              </w:tc>
              <w:tc>
                <w:tcPr/>
                <w:p>
                  <w:pPr>
                    <w:pStyle w:val="Compact"/>
                    <w:jc w:val="right"/>
                    <w:jc w:val="center"/>
                  </w:pPr>
                  <w:r>
                    <w:t xml:space="preserve">-0.383</w:t>
                  </w:r>
                </w:p>
              </w:tc>
              <w:tc>
                <w:tcPr/>
                <w:p>
                  <w:pPr>
                    <w:pStyle w:val="Compact"/>
                    <w:jc w:val="right"/>
                    <w:jc w:val="center"/>
                  </w:pPr>
                  <w:r>
                    <w:t xml:space="preserve">-0.669</w:t>
                  </w:r>
                </w:p>
              </w:tc>
              <w:tc>
                <w:tcPr/>
                <w:p>
                  <w:pPr>
                    <w:pStyle w:val="Compact"/>
                    <w:jc w:val="right"/>
                    <w:jc w:val="center"/>
                  </w:pPr>
                  <w:r>
                    <w:t xml:space="preserve">-0.022</w:t>
                  </w:r>
                </w:p>
              </w:tc>
              <w:tc>
                <w:tcPr/>
                <w:p>
                  <w:pPr>
                    <w:pStyle w:val="Compact"/>
                    <w:jc w:val="right"/>
                    <w:jc w:val="center"/>
                  </w:pPr>
                  <w:r>
                    <w:t xml:space="preserve">0.105</w:t>
                  </w:r>
                </w:p>
              </w:tc>
              <w:tc>
                <w:tcPr/>
                <w:p>
                  <w:pPr>
                    <w:pStyle w:val="Compact"/>
                    <w:jc w:val="right"/>
                    <w:jc w:val="center"/>
                  </w:pPr>
                  <w:r>
                    <w:t xml:space="preserve">-0.343</w:t>
                  </w:r>
                </w:p>
              </w:tc>
              <w:tc>
                <w:tcPr/>
                <w:p>
                  <w:pPr>
                    <w:pStyle w:val="Compact"/>
                    <w:jc w:val="right"/>
                    <w:jc w:val="center"/>
                  </w:pPr>
                  <w:r>
                    <w:t xml:space="preserve">0.526</w:t>
                  </w:r>
                </w:p>
              </w:tc>
            </w:tr>
            <w:tr>
              <w:tc>
                <w:tcPr/>
                <w:p>
                  <w:pPr>
                    <w:pStyle w:val="Compact"/>
                    <w:jc w:val="left"/>
                    <w:jc w:val="center"/>
                  </w:pPr>
                  <w:r>
                    <w:t xml:space="preserve">GIUR</w:t>
                  </w:r>
                </w:p>
              </w:tc>
              <w:tc>
                <w:tcPr/>
                <w:p>
                  <w:pPr>
                    <w:pStyle w:val="Compact"/>
                    <w:jc w:val="right"/>
                    <w:jc w:val="center"/>
                  </w:pPr>
                  <w:r>
                    <w:t xml:space="preserve">-0.391</w:t>
                  </w:r>
                </w:p>
              </w:tc>
              <w:tc>
                <w:tcPr/>
                <w:p>
                  <w:pPr>
                    <w:pStyle w:val="Compact"/>
                    <w:jc w:val="right"/>
                    <w:jc w:val="center"/>
                  </w:pPr>
                  <w:r>
                    <w:t xml:space="preserve">0.245</w:t>
                  </w:r>
                </w:p>
              </w:tc>
              <w:tc>
                <w:tcPr/>
                <w:p>
                  <w:pPr>
                    <w:pStyle w:val="Compact"/>
                    <w:jc w:val="right"/>
                    <w:jc w:val="center"/>
                  </w:pPr>
                  <w:r>
                    <w:t xml:space="preserve">0.603</w:t>
                  </w:r>
                </w:p>
              </w:tc>
              <w:tc>
                <w:tcPr/>
                <w:p>
                  <w:pPr>
                    <w:pStyle w:val="Compact"/>
                    <w:jc w:val="right"/>
                    <w:jc w:val="center"/>
                  </w:pPr>
                  <w:r>
                    <w:t xml:space="preserve">-0.195</w:t>
                  </w:r>
                </w:p>
              </w:tc>
              <w:tc>
                <w:tcPr/>
                <w:p>
                  <w:pPr>
                    <w:pStyle w:val="Compact"/>
                    <w:jc w:val="right"/>
                    <w:jc w:val="center"/>
                  </w:pPr>
                  <w:r>
                    <w:t xml:space="preserve">-0.558</w:t>
                  </w:r>
                </w:p>
              </w:tc>
              <w:tc>
                <w:tcPr/>
                <w:p>
                  <w:pPr>
                    <w:pStyle w:val="Compact"/>
                    <w:jc w:val="right"/>
                    <w:jc w:val="center"/>
                  </w:pPr>
                  <w:r>
                    <w:t xml:space="preserve">-0.273</w:t>
                  </w:r>
                </w:p>
              </w:tc>
            </w:tr>
            <w:tr>
              <w:tc>
                <w:tcPr/>
                <w:p>
                  <w:pPr>
                    <w:pStyle w:val="Compact"/>
                    <w:jc w:val="left"/>
                    <w:jc w:val="center"/>
                  </w:pPr>
                  <w:r>
                    <w:t xml:space="preserve">Total scars</w:t>
                  </w:r>
                </w:p>
              </w:tc>
              <w:tc>
                <w:tcPr/>
                <w:p>
                  <w:pPr>
                    <w:pStyle w:val="Compact"/>
                    <w:jc w:val="right"/>
                    <w:jc w:val="center"/>
                  </w:pPr>
                  <w:r>
                    <w:t xml:space="preserve">-0.449</w:t>
                  </w:r>
                </w:p>
              </w:tc>
              <w:tc>
                <w:tcPr/>
                <w:p>
                  <w:pPr>
                    <w:pStyle w:val="Compact"/>
                    <w:jc w:val="right"/>
                    <w:jc w:val="center"/>
                  </w:pPr>
                  <w:r>
                    <w:t xml:space="preserve">-0.460</w:t>
                  </w:r>
                </w:p>
              </w:tc>
              <w:tc>
                <w:tcPr/>
                <w:p>
                  <w:pPr>
                    <w:pStyle w:val="Compact"/>
                    <w:jc w:val="right"/>
                    <w:jc w:val="center"/>
                  </w:pPr>
                  <w:r>
                    <w:t xml:space="preserve">-0.046</w:t>
                  </w:r>
                </w:p>
              </w:tc>
              <w:tc>
                <w:tcPr/>
                <w:p>
                  <w:pPr>
                    <w:pStyle w:val="Compact"/>
                    <w:jc w:val="right"/>
                    <w:jc w:val="center"/>
                  </w:pPr>
                  <w:r>
                    <w:t xml:space="preserve">-0.013</w:t>
                  </w:r>
                </w:p>
              </w:tc>
              <w:tc>
                <w:tcPr/>
                <w:p>
                  <w:pPr>
                    <w:pStyle w:val="Compact"/>
                    <w:jc w:val="right"/>
                    <w:jc w:val="center"/>
                  </w:pPr>
                  <w:r>
                    <w:t xml:space="preserve">0.390</w:t>
                  </w:r>
                </w:p>
              </w:tc>
              <w:tc>
                <w:tcPr/>
                <w:p>
                  <w:pPr>
                    <w:pStyle w:val="Compact"/>
                    <w:jc w:val="right"/>
                    <w:jc w:val="center"/>
                  </w:pPr>
                  <w:r>
                    <w:t xml:space="preserve">-0.657</w:t>
                  </w:r>
                </w:p>
              </w:tc>
            </w:tr>
            <w:tr>
              <w:tc>
                <w:tcPr/>
                <w:p>
                  <w:pPr>
                    <w:pStyle w:val="Compact"/>
                    <w:jc w:val="left"/>
                    <w:jc w:val="center"/>
                  </w:pPr>
                  <w:r>
                    <w:t xml:space="preserve">Retouch generations</w:t>
                  </w:r>
                </w:p>
              </w:tc>
              <w:tc>
                <w:tcPr/>
                <w:p>
                  <w:pPr>
                    <w:pStyle w:val="Compact"/>
                    <w:jc w:val="right"/>
                    <w:jc w:val="center"/>
                  </w:pPr>
                  <w:r>
                    <w:t xml:space="preserve">-0.458</w:t>
                  </w:r>
                </w:p>
              </w:tc>
              <w:tc>
                <w:tcPr/>
                <w:p>
                  <w:pPr>
                    <w:pStyle w:val="Compact"/>
                    <w:jc w:val="right"/>
                    <w:jc w:val="center"/>
                  </w:pPr>
                  <w:r>
                    <w:t xml:space="preserve">0.265</w:t>
                  </w:r>
                </w:p>
              </w:tc>
              <w:tc>
                <w:tcPr/>
                <w:p>
                  <w:pPr>
                    <w:pStyle w:val="Compact"/>
                    <w:jc w:val="right"/>
                    <w:jc w:val="center"/>
                  </w:pPr>
                  <w:r>
                    <w:t xml:space="preserve">0.202</w:t>
                  </w:r>
                </w:p>
              </w:tc>
              <w:tc>
                <w:tcPr/>
                <w:p>
                  <w:pPr>
                    <w:pStyle w:val="Compact"/>
                    <w:jc w:val="right"/>
                    <w:jc w:val="center"/>
                  </w:pPr>
                  <w:r>
                    <w:t xml:space="preserve">-0.387</w:t>
                  </w:r>
                </w:p>
              </w:tc>
              <w:tc>
                <w:tcPr/>
                <w:p>
                  <w:pPr>
                    <w:pStyle w:val="Compact"/>
                    <w:jc w:val="right"/>
                    <w:jc w:val="center"/>
                  </w:pPr>
                  <w:r>
                    <w:t xml:space="preserve">0.566</w:t>
                  </w:r>
                </w:p>
              </w:tc>
              <w:tc>
                <w:tcPr/>
                <w:p>
                  <w:pPr>
                    <w:pStyle w:val="Compact"/>
                    <w:jc w:val="right"/>
                    <w:jc w:val="center"/>
                  </w:pPr>
                  <w:r>
                    <w:t xml:space="preserve">0.458</w:t>
                  </w:r>
                </w:p>
              </w:tc>
            </w:tr>
            <w:tr>
              <w:tc>
                <w:tcPr/>
                <w:p>
                  <w:pPr>
                    <w:pStyle w:val="Compact"/>
                    <w:jc w:val="left"/>
                    <w:jc w:val="center"/>
                  </w:pPr>
                  <w:r>
                    <w:t xml:space="preserve">Edge angle (°)</w:t>
                  </w:r>
                </w:p>
              </w:tc>
              <w:tc>
                <w:tcPr/>
                <w:p>
                  <w:pPr>
                    <w:pStyle w:val="Compact"/>
                    <w:jc w:val="right"/>
                    <w:jc w:val="center"/>
                  </w:pPr>
                  <w:r>
                    <w:t xml:space="preserve">-0.423</w:t>
                  </w:r>
                </w:p>
              </w:tc>
              <w:tc>
                <w:tcPr/>
                <w:p>
                  <w:pPr>
                    <w:pStyle w:val="Compact"/>
                    <w:jc w:val="right"/>
                    <w:jc w:val="center"/>
                  </w:pPr>
                  <w:r>
                    <w:t xml:space="preserve">0.382</w:t>
                  </w:r>
                </w:p>
              </w:tc>
              <w:tc>
                <w:tcPr/>
                <w:p>
                  <w:pPr>
                    <w:pStyle w:val="Compact"/>
                    <w:jc w:val="right"/>
                    <w:jc w:val="center"/>
                  </w:pPr>
                  <w:r>
                    <w:t xml:space="preserve">-0.110</w:t>
                  </w:r>
                </w:p>
              </w:tc>
              <w:tc>
                <w:tcPr/>
                <w:p>
                  <w:pPr>
                    <w:pStyle w:val="Compact"/>
                    <w:jc w:val="right"/>
                    <w:jc w:val="center"/>
                  </w:pPr>
                  <w:r>
                    <w:t xml:space="preserve">0.812</w:t>
                  </w:r>
                </w:p>
              </w:tc>
              <w:tc>
                <w:tcPr/>
                <w:p>
                  <w:pPr>
                    <w:pStyle w:val="Compact"/>
                    <w:jc w:val="right"/>
                    <w:jc w:val="center"/>
                  </w:pPr>
                  <w:r>
                    <w:t xml:space="preserve">0.042</w:t>
                  </w:r>
                </w:p>
              </w:tc>
              <w:tc>
                <w:tcPr/>
                <w:p>
                  <w:pPr>
                    <w:pStyle w:val="Compact"/>
                    <w:jc w:val="right"/>
                    <w:jc w:val="center"/>
                  </w:pPr>
                  <w:r>
                    <w:t xml:space="preserve">0.039</w:t>
                  </w:r>
                </w:p>
              </w:tc>
            </w:tr>
            <w:tr>
              <w:tc>
                <w:tcPr/>
                <w:p>
                  <w:pPr>
                    <w:pStyle w:val="Compact"/>
                    <w:jc w:val="left"/>
                    <w:jc w:val="center"/>
                  </w:pPr>
                  <w:r>
                    <w:rPr>
                      <w:b/>
                      <w:bCs/>
                    </w:rPr>
                    <w:t xml:space="preserve">Eigenvalue</w:t>
                  </w:r>
                </w:p>
              </w:tc>
              <w:tc>
                <w:tcPr/>
                <w:p>
                  <w:pPr>
                    <w:pStyle w:val="Compact"/>
                    <w:jc w:val="right"/>
                    <w:jc w:val="center"/>
                  </w:pPr>
                  <w:r>
                    <w:t xml:space="preserve">3.41</w:t>
                  </w:r>
                </w:p>
              </w:tc>
              <w:tc>
                <w:tcPr/>
                <w:p>
                  <w:pPr>
                    <w:pStyle w:val="Compact"/>
                    <w:jc w:val="right"/>
                    <w:jc w:val="center"/>
                  </w:pPr>
                  <w:r>
                    <w:t xml:space="preserve">0.93</w:t>
                  </w:r>
                </w:p>
              </w:tc>
              <w:tc>
                <w:tcPr/>
                <w:p>
                  <w:pPr>
                    <w:pStyle w:val="Compact"/>
                    <w:jc w:val="right"/>
                    <w:jc w:val="center"/>
                  </w:pPr>
                  <w:r>
                    <w:t xml:space="preserve">0.83</w:t>
                  </w:r>
                </w:p>
              </w:tc>
              <w:tc>
                <w:tcPr/>
                <w:p>
                  <w:pPr>
                    <w:pStyle w:val="Compact"/>
                    <w:jc w:val="right"/>
                    <w:jc w:val="center"/>
                  </w:pPr>
                  <w:r>
                    <w:t xml:space="preserve">0.37</w:t>
                  </w:r>
                </w:p>
              </w:tc>
              <w:tc>
                <w:tcPr/>
                <w:p>
                  <w:pPr>
                    <w:pStyle w:val="Compact"/>
                    <w:jc w:val="right"/>
                    <w:jc w:val="center"/>
                  </w:pPr>
                  <w:r>
                    <w:t xml:space="preserve">0.31</w:t>
                  </w:r>
                </w:p>
              </w:tc>
              <w:tc>
                <w:tcPr/>
                <w:p>
                  <w:pPr>
                    <w:pStyle w:val="Compact"/>
                    <w:jc w:val="right"/>
                    <w:jc w:val="center"/>
                  </w:pPr>
                  <w:r>
                    <w:t xml:space="preserve">0.15</w:t>
                  </w:r>
                </w:p>
              </w:tc>
            </w:tr>
            <w:tr>
              <w:tc>
                <w:tcPr/>
                <w:p>
                  <w:pPr>
                    <w:pStyle w:val="Compact"/>
                    <w:jc w:val="left"/>
                    <w:jc w:val="center"/>
                  </w:pPr>
                  <w:r>
                    <w:rPr>
                      <w:b/>
                      <w:bCs/>
                    </w:rPr>
                    <w:t xml:space="preserve">Variance (%)</w:t>
                  </w:r>
                </w:p>
              </w:tc>
              <w:tc>
                <w:tcPr/>
                <w:p>
                  <w:pPr>
                    <w:pStyle w:val="Compact"/>
                    <w:jc w:val="right"/>
                    <w:jc w:val="center"/>
                  </w:pPr>
                  <w:r>
                    <w:t xml:space="preserve">56.9</w:t>
                  </w:r>
                </w:p>
              </w:tc>
              <w:tc>
                <w:tcPr/>
                <w:p>
                  <w:pPr>
                    <w:pStyle w:val="Compact"/>
                    <w:jc w:val="right"/>
                    <w:jc w:val="center"/>
                  </w:pPr>
                  <w:r>
                    <w:t xml:space="preserve">15.5</w:t>
                  </w:r>
                </w:p>
              </w:tc>
              <w:tc>
                <w:tcPr/>
                <w:p>
                  <w:pPr>
                    <w:pStyle w:val="Compact"/>
                    <w:jc w:val="right"/>
                    <w:jc w:val="center"/>
                  </w:pPr>
                  <w:r>
                    <w:t xml:space="preserve">13.8</w:t>
                  </w:r>
                </w:p>
              </w:tc>
              <w:tc>
                <w:tcPr/>
                <w:p>
                  <w:pPr>
                    <w:pStyle w:val="Compact"/>
                    <w:jc w:val="right"/>
                    <w:jc w:val="center"/>
                  </w:pPr>
                  <w:r>
                    <w:t xml:space="preserve">6.1</w:t>
                  </w:r>
                </w:p>
              </w:tc>
              <w:tc>
                <w:tcPr/>
                <w:p>
                  <w:pPr>
                    <w:pStyle w:val="Compact"/>
                    <w:jc w:val="right"/>
                    <w:jc w:val="center"/>
                  </w:pPr>
                  <w:r>
                    <w:t xml:space="preserve">5.2</w:t>
                  </w:r>
                </w:p>
              </w:tc>
              <w:tc>
                <w:tcPr/>
                <w:p>
                  <w:pPr>
                    <w:pStyle w:val="Compact"/>
                    <w:jc w:val="right"/>
                    <w:jc w:val="center"/>
                  </w:pPr>
                  <w:r>
                    <w:t xml:space="preserve">2.5</w:t>
                  </w:r>
                </w:p>
              </w:tc>
            </w:tr>
            <w:tr>
              <w:tc>
                <w:tcPr/>
                <w:p>
                  <w:pPr>
                    <w:pStyle w:val="Compact"/>
                    <w:jc w:val="left"/>
                    <w:jc w:val="center"/>
                  </w:pPr>
                  <w:r>
                    <w:rPr>
                      <w:b/>
                      <w:bCs/>
                    </w:rPr>
                    <w:t xml:space="preserve">Cumulative (%)</w:t>
                  </w:r>
                </w:p>
              </w:tc>
              <w:tc>
                <w:tcPr/>
                <w:p>
                  <w:pPr>
                    <w:pStyle w:val="Compact"/>
                    <w:jc w:val="right"/>
                    <w:jc w:val="center"/>
                  </w:pPr>
                  <w:r>
                    <w:t xml:space="preserve">56.9</w:t>
                  </w:r>
                </w:p>
              </w:tc>
              <w:tc>
                <w:tcPr/>
                <w:p>
                  <w:pPr>
                    <w:pStyle w:val="Compact"/>
                    <w:jc w:val="right"/>
                    <w:jc w:val="center"/>
                  </w:pPr>
                  <w:r>
                    <w:t xml:space="preserve">72.4</w:t>
                  </w:r>
                </w:p>
              </w:tc>
              <w:tc>
                <w:tcPr/>
                <w:p>
                  <w:pPr>
                    <w:pStyle w:val="Compact"/>
                    <w:jc w:val="right"/>
                    <w:jc w:val="center"/>
                  </w:pPr>
                  <w:r>
                    <w:t xml:space="preserve">86.2</w:t>
                  </w:r>
                </w:p>
              </w:tc>
              <w:tc>
                <w:tcPr/>
                <w:p>
                  <w:pPr>
                    <w:pStyle w:val="Compact"/>
                    <w:jc w:val="right"/>
                    <w:jc w:val="center"/>
                  </w:pPr>
                  <w:r>
                    <w:t xml:space="preserve">92.3</w:t>
                  </w:r>
                </w:p>
              </w:tc>
              <w:tc>
                <w:tcPr/>
                <w:p>
                  <w:pPr>
                    <w:pStyle w:val="Compact"/>
                    <w:jc w:val="right"/>
                    <w:jc w:val="center"/>
                  </w:pPr>
                  <w:r>
                    <w:t xml:space="preserve">97.5</w:t>
                  </w:r>
                </w:p>
              </w:tc>
              <w:tc>
                <w:tcPr/>
                <w:p>
                  <w:pPr>
                    <w:pStyle w:val="Compact"/>
                    <w:jc w:val="right"/>
                    <w:jc w:val="center"/>
                  </w:pPr>
                  <w:r>
                    <w:t xml:space="preserve">100.0</w:t>
                  </w:r>
                </w:p>
              </w:tc>
            </w:tr>
          </w:tbl>
          <w:bookmarkEnd w:id="30"/>
          <w:p/>
        </w:tc>
      </w:tr>
    </w:tbl>
    <w:p>
      <w:pPr>
        <w:pStyle w:val="BodyText"/>
      </w:pPr>
      <w:r>
        <w:t xml:space="preserve">The surface collections include pieces recovered from within the area of the Longtan site itself, and their presence could in principle produce the agreement reported here on its own.</w:t>
      </w:r>
      <w:r>
        <w:t xml:space="preserve"> </w:t>
      </w:r>
      <w:hyperlink w:anchor="tbl-tc-sensitivity">
        <w:r>
          <w:rPr>
            <w:rStyle w:val="Hyperlink"/>
          </w:rPr>
          <w:t xml:space="preserve">Table S9</w:t>
        </w:r>
      </w:hyperlink>
      <w:r>
        <w:t xml:space="preserve"> </w:t>
      </w:r>
      <w:r>
        <w:t xml:space="preserve">repeats both halves of the comparison with those pieces removed. Removing them changes the number of surface specimens from 165 to 150 and leaves every conclusion in place: the two Quina groups remain indistinguishable in centroid position and in dispersion, and both remain separated from the control group on both.</w:t>
      </w:r>
      <w:r>
        <w:t xml:space="preserve"> </w:t>
      </w:r>
      <w:hyperlink w:anchor="fig-sensitivity-pca">
        <w:r>
          <w:rPr>
            <w:rStyle w:val="Hyperlink"/>
          </w:rPr>
          <w:t xml:space="preserve">Fig. S4</w:t>
        </w:r>
      </w:hyperlink>
      <w:r>
        <w:t xml:space="preserve"> </w:t>
      </w:r>
      <w:r>
        <w:t xml:space="preserve">shows the reduced ordination, which is not visibly different from the full one.</w:t>
      </w:r>
    </w:p>
    <w:tbl>
      <w:tblPr>
        <w:tblStyle w:val="Table"/>
        <w:tblW w:type="pct" w:w="5000"/>
        <w:tblLayout w:type="fixed"/>
        <w:tblLook w:firstRow="0" w:lastRow="0" w:firstColumn="0" w:lastColumn="0" w:noHBand="0" w:noVBand="0" w:val="0000"/>
      </w:tblPr>
      <w:tblGrid>
        <w:gridCol w:w="7920"/>
      </w:tblGrid>
      <w:tr>
        <w:tc>
          <w:tcPr/>
          <w:bookmarkStart w:id="31" w:name="tbl-tc-sensitivity"/>
          <w:p>
            <w:pPr>
              <w:jc w:val="center"/>
            </w:pPr>
            <w:pPr>
              <w:jc w:val="left"/>
              <w:spacing w:before="200"/>
              <w:pStyle w:val="ImageCaption"/>
            </w:pPr>
            <w:r>
              <w:t xml:space="preserve">Table S9: Sensitivity of the technological consistency result to the surface specimens collected from within the area of the Longtan site. The full set is the analysis reported in the main text; the reduced set excludes those specimens and is z-scored on its own. PERMANOVA</w:t>
            </w:r>
            <w:r>
              <w:t xml:space="preserve"> </w:t>
            </w:r>
            <w:r>
              <w:rPr>
                <w:i/>
                <w:iCs/>
              </w:rPr>
              <w:t xml:space="preserve">p</w:t>
            </w:r>
            <w:r>
              <w:t xml:space="preserve">-values carry the Bonferroni adjustment across the three comparisons; PERMDISP rows have no</w:t>
            </w:r>
            <w:r>
              <w:t xml:space="preserve"> </w:t>
            </w:r>
            <w:r>
              <w:rPr>
                <w:i/>
                <w:iCs/>
              </w:rPr>
              <w:t xml:space="preserve">R</w:t>
            </w:r>
            <w:r>
              <w:t xml:space="preserve">², the test being one of dispersion rather than of explained variance.</w:t>
            </w:r>
          </w:p>
          <w:tbl>
            <w:tblPr>
              <w:tblStyle w:val="Table"/>
              <w:tblW w:type="pct" w:w="5000"/>
              <w:tblLayout w:type="fixed"/>
              <w:tblLook w:firstRow="1" w:lastRow="0" w:firstColumn="0" w:lastColumn="0" w:noHBand="0" w:noVBand="0" w:val="0020"/>
            </w:tblPr>
            <w:tblGrid>
              <w:gridCol w:w="3151"/>
              <w:gridCol w:w="1454"/>
              <w:gridCol w:w="484"/>
              <w:gridCol w:w="484"/>
              <w:gridCol w:w="646"/>
              <w:gridCol w:w="484"/>
              <w:gridCol w:w="565"/>
              <w:gridCol w:w="646"/>
            </w:tblGrid>
            <w:tr>
              <w:trPr>
                <w:tblHeader w:val="on"/>
              </w:trPr>
              <w:tc>
                <w:tcPr/>
                <w:p>
                  <w:pPr>
                    <w:pStyle w:val="Compact"/>
                    <w:jc w:val="left"/>
                    <w:jc w:val="center"/>
                  </w:pPr>
                  <w:r>
                    <w:t xml:space="preserve">Comparison</w:t>
                  </w:r>
                </w:p>
              </w:tc>
              <w:tc>
                <w:tcPr/>
                <w:p>
                  <w:pPr>
                    <w:pStyle w:val="Compact"/>
                    <w:jc w:val="left"/>
                    <w:jc w:val="center"/>
                  </w:pPr>
                  <w:r>
                    <w:t xml:space="preserve">Tests</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Surface Quina vs Longtan 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1.000</w:t>
                  </w:r>
                </w:p>
              </w:tc>
              <w:tc>
                <w:tcPr/>
                <w:p>
                  <w:pPr>
                    <w:pStyle w:val="Compact"/>
                    <w:jc w:val="right"/>
                    <w:jc w:val="center"/>
                  </w:pPr>
                  <w:r>
                    <w:t xml:space="preserve">0.005</w:t>
                  </w:r>
                </w:p>
              </w:tc>
              <w:tc>
                <w:tcPr/>
                <w:p>
                  <w:pPr>
                    <w:pStyle w:val="Compact"/>
                    <w:jc w:val="right"/>
                    <w:jc w:val="center"/>
                  </w:pPr>
                  <w:r>
                    <w:t xml:space="preserve">1.11</w:t>
                  </w:r>
                </w:p>
              </w:tc>
              <w:tc>
                <w:tcPr/>
                <w:p>
                  <w:pPr>
                    <w:pStyle w:val="Compact"/>
                    <w:jc w:val="right"/>
                    <w:jc w:val="center"/>
                  </w:pPr>
                  <w:r>
                    <w:t xml:space="preserve">0.976</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0.35</w:t>
                  </w:r>
                </w:p>
              </w:tc>
              <w:tc>
                <w:tcPr/>
                <w:p>
                  <w:pPr>
                    <w:pStyle w:val="Compact"/>
                    <w:jc w:val="right"/>
                    <w:jc w:val="center"/>
                  </w:pPr>
                  <w:r>
                    <w:t xml:space="preserve">0.558</w:t>
                  </w:r>
                </w:p>
              </w:tc>
              <w:tc>
                <w:tcPr/>
                <w:p>
                  <w:pPr>
                    <w:pStyle w:val="Compact"/>
                  </w:pPr>
                </w:p>
              </w:tc>
              <w:tc>
                <w:tcPr/>
                <w:p>
                  <w:pPr>
                    <w:pStyle w:val="Compact"/>
                    <w:jc w:val="right"/>
                    <w:jc w:val="center"/>
                  </w:pPr>
                  <w:r>
                    <w:t xml:space="preserve">0.23</w:t>
                  </w:r>
                </w:p>
              </w:tc>
              <w:tc>
                <w:tcPr/>
                <w:p>
                  <w:pPr>
                    <w:pStyle w:val="Compact"/>
                    <w:jc w:val="right"/>
                    <w:jc w:val="center"/>
                  </w:pPr>
                  <w:r>
                    <w:t xml:space="preserve">0.624</w:t>
                  </w:r>
                </w:p>
              </w:tc>
            </w:tr>
            <w:tr>
              <w:tc>
                <w:tcPr/>
                <w:p>
                  <w:pPr>
                    <w:pStyle w:val="Compact"/>
                    <w:jc w:val="left"/>
                    <w:jc w:val="center"/>
                  </w:pPr>
                  <w:r>
                    <w:rPr>
                      <w:b/>
                      <w:bCs/>
                    </w:rPr>
                    <w:t xml:space="preserve">Surface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0.319</w:t>
                  </w:r>
                </w:p>
              </w:tc>
              <w:tc>
                <w:tcPr/>
                <w:p>
                  <w:pPr>
                    <w:pStyle w:val="Compact"/>
                    <w:jc w:val="right"/>
                    <w:jc w:val="center"/>
                  </w:pPr>
                  <w:r>
                    <w:t xml:space="preserve">106.15</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25.92</w:t>
                  </w:r>
                </w:p>
              </w:tc>
              <w:tc>
                <w:tcPr/>
                <w:p>
                  <w:pPr>
                    <w:pStyle w:val="Compact"/>
                    <w:jc w:val="right"/>
                    <w:jc w:val="center"/>
                  </w:pPr>
                  <w:r>
                    <w:t xml:space="preserve">&lt; 0.001</w:t>
                  </w:r>
                </w:p>
              </w:tc>
              <w:tc>
                <w:tcPr/>
                <w:p>
                  <w:pPr>
                    <w:pStyle w:val="Compact"/>
                  </w:pPr>
                </w:p>
              </w:tc>
              <w:tc>
                <w:tcPr/>
                <w:p>
                  <w:pPr>
                    <w:pStyle w:val="Compact"/>
                    <w:jc w:val="right"/>
                    <w:jc w:val="center"/>
                  </w:pPr>
                  <w:r>
                    <w:t xml:space="preserve">24.60</w:t>
                  </w:r>
                </w:p>
              </w:tc>
              <w:tc>
                <w:tcPr/>
                <w:p>
                  <w:pPr>
                    <w:pStyle w:val="Compact"/>
                    <w:jc w:val="right"/>
                    <w:jc w:val="center"/>
                  </w:pPr>
                  <w:r>
                    <w:t xml:space="preserve">&lt; 0.001</w:t>
                  </w:r>
                </w:p>
              </w:tc>
            </w:tr>
            <w:tr>
              <w:tc>
                <w:tcPr/>
                <w:p>
                  <w:pPr>
                    <w:pStyle w:val="Compact"/>
                    <w:jc w:val="left"/>
                    <w:jc w:val="center"/>
                  </w:pPr>
                  <w:r>
                    <w:rPr>
                      <w:b/>
                      <w:bCs/>
                    </w:rPr>
                    <w:t xml:space="preserve">Longtan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0.360</w:t>
                  </w:r>
                </w:p>
              </w:tc>
              <w:tc>
                <w:tcPr/>
                <w:p>
                  <w:pPr>
                    <w:pStyle w:val="Compact"/>
                    <w:jc w:val="right"/>
                    <w:jc w:val="center"/>
                  </w:pPr>
                  <w:r>
                    <w:t xml:space="preserve">73.28</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16.99</w:t>
                  </w:r>
                </w:p>
              </w:tc>
              <w:tc>
                <w:tcPr/>
                <w:p>
                  <w:pPr>
                    <w:pStyle w:val="Compact"/>
                    <w:jc w:val="right"/>
                    <w:jc w:val="center"/>
                  </w:pPr>
                  <w:r>
                    <w:t xml:space="preserve">&lt; 0.001</w:t>
                  </w:r>
                </w:p>
              </w:tc>
              <w:tc>
                <w:tcPr/>
                <w:p>
                  <w:pPr>
                    <w:pStyle w:val="Compact"/>
                  </w:pPr>
                </w:p>
              </w:tc>
              <w:tc>
                <w:tcPr/>
                <w:p>
                  <w:pPr>
                    <w:pStyle w:val="Compact"/>
                    <w:jc w:val="right"/>
                    <w:jc w:val="center"/>
                  </w:pPr>
                  <w:r>
                    <w:t xml:space="preserve">16.88</w:t>
                  </w:r>
                </w:p>
              </w:tc>
              <w:tc>
                <w:tcPr/>
                <w:p>
                  <w:pPr>
                    <w:pStyle w:val="Compact"/>
                    <w:jc w:val="right"/>
                    <w:jc w:val="center"/>
                  </w:pPr>
                  <w:r>
                    <w:t xml:space="preserve">&lt; 0.001</w:t>
                  </w:r>
                </w:p>
              </w:tc>
            </w:tr>
          </w:tbl>
          <w:bookmarkEnd w:id="31"/>
          <w:p/>
        </w:tc>
      </w:tr>
    </w:tbl>
    <w:tbl>
      <w:tblPr>
        <w:tblStyle w:val="Table"/>
        <w:tblW w:type="pct" w:w="5000"/>
        <w:tblLayout w:type="fixed"/>
        <w:tblLook w:firstRow="0" w:lastRow="0" w:firstColumn="0" w:lastColumn="0" w:noHBand="0" w:noVBand="0" w:val="0000"/>
      </w:tblPr>
      <w:tblGrid>
        <w:gridCol w:w="7920"/>
      </w:tblGrid>
      <w:tr>
        <w:tc>
          <w:tcPr/>
          <w:bookmarkStart w:id="35" w:name="fig-sensitivity-pca"/>
          <w:p>
            <w:pPr>
              <w:pStyle w:val="Compact"/>
              <w:jc w:val="center"/>
            </w:pPr>
            <w:r>
              <w:drawing>
                <wp:inline>
                  <wp:extent cx="5403966" cy="4030076"/>
                  <wp:effectExtent b="0" l="0" r="0" t="0"/>
                  <wp:docPr descr="" title="" id="33" name="Picture"/>
                  <a:graphic>
                    <a:graphicData uri="http://schemas.openxmlformats.org/drawingml/2006/picture">
                      <pic:pic>
                        <pic:nvPicPr>
                          <pic:cNvPr descr="supplementary_files/figure-docx/fig-sensitivity-pca-1.png" id="34" name="Picture"/>
                          <pic:cNvPicPr>
                            <a:picLocks noChangeArrowheads="1" noChangeAspect="1"/>
                          </pic:cNvPicPr>
                        </pic:nvPicPr>
                        <pic:blipFill>
                          <a:blip r:embed="rId32"/>
                          <a:stretch>
                            <a:fillRect/>
                          </a:stretch>
                        </pic:blipFill>
                        <pic:spPr bwMode="auto">
                          <a:xfrm>
                            <a:off x="0" y="0"/>
                            <a:ext cx="5403966" cy="4030076"/>
                          </a:xfrm>
                          <a:prstGeom prst="rect">
                            <a:avLst/>
                          </a:prstGeom>
                          <a:noFill/>
                          <a:ln w="9525">
                            <a:noFill/>
                            <a:headEnd/>
                            <a:tailEnd/>
                          </a:ln>
                        </pic:spPr>
                      </pic:pic>
                    </a:graphicData>
                  </a:graphic>
                </wp:inline>
              </w:drawing>
            </w:r>
          </w:p>
          <w:p>
            <w:pPr>
              <w:jc w:val="center"/>
            </w:pPr>
            <w:pPr>
              <w:jc w:val="left"/>
              <w:spacing w:before="200"/>
              <w:pStyle w:val="ImageCaption"/>
            </w:pPr>
            <w:r>
              <w:t xml:space="preserve">Fig. S4: Ordination of the technical space with the surface specimens from within the area of the Longtan site removed, to be compared with panel A of the corresponding figure in the main text. Convex hulls enclose each group, filled points mark group centroids, and arrows give the variable loadings.</w:t>
            </w:r>
          </w:p>
          <w:bookmarkEnd w:id="35"/>
        </w:tc>
      </w:tr>
    </w:tbl>
    <w:p>
      <w:r>
        <w:br w:type="page"/>
      </w:r>
    </w:p>
    <w:bookmarkEnd w:id="36"/>
    <w:bookmarkStart w:id="51" w:name="X4f006bb22ede617b8e10fe750bdfb689cd87c9e"/>
    <w:p>
      <w:pPr>
        <w:pStyle w:val="Heading1"/>
      </w:pPr>
      <w:r>
        <w:t xml:space="preserve">S4. Landscape structure of technological variation</w:t>
      </w:r>
    </w:p>
    <w:p>
      <w:pPr>
        <w:pStyle w:val="FirstParagraph"/>
      </w:pPr>
      <w:hyperlink w:anchor="tbl-locality-matrix">
        <w:r>
          <w:rPr>
            <w:rStyle w:val="Hyperlink"/>
          </w:rPr>
          <w:t xml:space="preserve">Table S10</w:t>
        </w:r>
      </w:hyperlink>
      <w:r>
        <w:t xml:space="preserve"> </w:t>
      </w:r>
      <w:r>
        <w:t xml:space="preserve">is the analysis frame for this section. Each locality enters once, represented by the median of its Quina scrapers on the six technical variables, and the number of specimens behind each median is given in the second column. That column is the main qualification on everything that follows: 10 of the 26 localities are represented by a single specimen, so their medians are single observations, and the locality-level results are correspondingly imprecise. This is the reason the main text reads these analyses from the size of the effects rather than from the significance of the tests.</w:t>
      </w:r>
    </w:p>
    <w:tbl>
      <w:tblPr>
        <w:tblStyle w:val="Table"/>
        <w:tblW w:type="pct" w:w="5000"/>
        <w:tblLayout w:type="fixed"/>
        <w:tblLook w:firstRow="0" w:lastRow="0" w:firstColumn="0" w:lastColumn="0" w:noHBand="0" w:noVBand="0" w:val="0000"/>
      </w:tblPr>
      <w:tblGrid>
        <w:gridCol w:w="7920"/>
      </w:tblGrid>
      <w:tr>
        <w:tc>
          <w:tcPr/>
          <w:bookmarkStart w:id="37" w:name="tbl-locality-matrix"/>
          <w:p>
            <w:pPr>
              <w:jc w:val="center"/>
            </w:pPr>
            <w:pPr>
              <w:jc w:val="left"/>
              <w:spacing w:before="200"/>
              <w:pStyle w:val="ImageCaption"/>
            </w:pPr>
            <w:r>
              <w:t xml:space="preserve">Table S10: Locality-level analysis frame. Each row is one locality, with the number of Quina scrapers complete on all six variables and the median of those specimens on each. Distance and height are measured to and above the nearest present-day channel.</w:t>
            </w:r>
          </w:p>
          <w:tbl>
            <w:tblPr>
              <w:tblStyle w:val="Table"/>
              <w:tblW w:type="pct" w:w="5000"/>
              <w:tblLayout w:type="fixed"/>
              <w:tblLook w:firstRow="1" w:lastRow="0" w:firstColumn="0" w:lastColumn="0" w:noHBand="0" w:noVBand="0" w:val="0020"/>
            </w:tblPr>
            <w:tblGrid>
              <w:gridCol w:w="1003"/>
              <w:gridCol w:w="501"/>
              <w:gridCol w:w="223"/>
              <w:gridCol w:w="725"/>
              <w:gridCol w:w="613"/>
              <w:gridCol w:w="836"/>
              <w:gridCol w:w="1115"/>
              <w:gridCol w:w="278"/>
              <w:gridCol w:w="669"/>
              <w:gridCol w:w="1115"/>
              <w:gridCol w:w="836"/>
            </w:tblGrid>
            <w:tr>
              <w:trPr>
                <w:tblHeader w:val="on"/>
              </w:trPr>
              <w:tc>
                <w:tcPr/>
                <w:p>
                  <w:pPr>
                    <w:pStyle w:val="Compact"/>
                    <w:jc w:val="left"/>
                    <w:jc w:val="center"/>
                  </w:pPr>
                  <w:r>
                    <w:t xml:space="preserve">Locality</w:t>
                  </w:r>
                </w:p>
              </w:tc>
              <w:tc>
                <w:tcPr/>
                <w:p>
                  <w:pPr>
                    <w:pStyle w:val="Compact"/>
                    <w:jc w:val="left"/>
                    <w:jc w:val="center"/>
                  </w:pPr>
                  <w:r>
                    <w:t xml:space="preserve">Basin</w:t>
                  </w:r>
                </w:p>
              </w:tc>
              <w:tc>
                <w:tcPr/>
                <w:p>
                  <w:pPr>
                    <w:pStyle w:val="Compact"/>
                    <w:jc w:val="right"/>
                    <w:jc w:val="center"/>
                  </w:pPr>
                  <w:r>
                    <w:rPr>
                      <w:i/>
                      <w:iCs/>
                    </w:rPr>
                    <w:t xml:space="preserve">n</w:t>
                  </w:r>
                </w:p>
              </w:tc>
              <w:tc>
                <w:tcPr/>
                <w:p>
                  <w:pPr>
                    <w:pStyle w:val="Compact"/>
                    <w:jc w:val="right"/>
                    <w:jc w:val="center"/>
                  </w:pPr>
                  <w:r>
                    <w:t xml:space="preserve">Distance (m)</w:t>
                  </w:r>
                </w:p>
              </w:tc>
              <w:tc>
                <w:tcPr/>
                <w:p>
                  <w:pPr>
                    <w:pStyle w:val="Compact"/>
                    <w:jc w:val="right"/>
                    <w:jc w:val="center"/>
                  </w:pPr>
                  <w:r>
                    <w:t xml:space="preserve">Height (m)</w:t>
                  </w:r>
                </w:p>
              </w:tc>
              <w:tc>
                <w:tcPr/>
                <w:p>
                  <w:pPr>
                    <w:pStyle w:val="Compact"/>
                    <w:jc w:val="right"/>
                    <w:jc w:val="center"/>
                  </w:pPr>
                  <w:r>
                    <w:t xml:space="preserve">Thickness (mm)</w:t>
                  </w:r>
                </w:p>
              </w:tc>
              <w:tc>
                <w:tcPr/>
                <w:p>
                  <w:pPr>
                    <w:pStyle w:val="Compact"/>
                    <w:jc w:val="right"/>
                    <w:jc w:val="center"/>
                  </w:pPr>
                  <w:r>
                    <w:t xml:space="preserve">Retouched perimeter</w:t>
                  </w:r>
                </w:p>
              </w:tc>
              <w:tc>
                <w:tcPr/>
                <w:p>
                  <w:pPr>
                    <w:pStyle w:val="Compact"/>
                    <w:jc w:val="right"/>
                    <w:jc w:val="center"/>
                  </w:pPr>
                  <w:r>
                    <w:t xml:space="preserve">GIUR</w:t>
                  </w:r>
                </w:p>
              </w:tc>
              <w:tc>
                <w:tcPr/>
                <w:p>
                  <w:pPr>
                    <w:pStyle w:val="Compact"/>
                    <w:jc w:val="right"/>
                    <w:jc w:val="center"/>
                  </w:pPr>
                  <w:r>
                    <w:t xml:space="preserve">Total scars</w:t>
                  </w:r>
                </w:p>
              </w:tc>
              <w:tc>
                <w:tcPr/>
                <w:p>
                  <w:pPr>
                    <w:pStyle w:val="Compact"/>
                    <w:jc w:val="right"/>
                    <w:jc w:val="center"/>
                  </w:pPr>
                  <w:r>
                    <w:t xml:space="preserve">Retouch generations</w:t>
                  </w:r>
                </w:p>
              </w:tc>
              <w:tc>
                <w:tcPr/>
                <w:p>
                  <w:pPr>
                    <w:pStyle w:val="Compact"/>
                    <w:jc w:val="right"/>
                    <w:jc w:val="center"/>
                  </w:pPr>
                  <w:r>
                    <w:t xml:space="preserve">Edge angle (°)</w:t>
                  </w:r>
                </w:p>
              </w:tc>
            </w:tr>
            <w:tr>
              <w:tc>
                <w:tcPr/>
                <w:p>
                  <w:pPr>
                    <w:pStyle w:val="Compact"/>
                    <w:jc w:val="left"/>
                    <w:jc w:val="center"/>
                  </w:pPr>
                  <w:r>
                    <w:t xml:space="preserve">Wayaowan</w:t>
                  </w:r>
                </w:p>
              </w:tc>
              <w:tc>
                <w:tcPr/>
                <w:p>
                  <w:pPr>
                    <w:pStyle w:val="Compact"/>
                    <w:jc w:val="left"/>
                    <w:jc w:val="center"/>
                  </w:pPr>
                  <w:r>
                    <w:t xml:space="preserve">Binchuan</w:t>
                  </w:r>
                </w:p>
              </w:tc>
              <w:tc>
                <w:tcPr/>
                <w:p>
                  <w:pPr>
                    <w:pStyle w:val="Compact"/>
                    <w:jc w:val="right"/>
                    <w:jc w:val="center"/>
                  </w:pPr>
                  <w:r>
                    <w:t xml:space="preserve">10</w:t>
                  </w:r>
                </w:p>
              </w:tc>
              <w:tc>
                <w:tcPr/>
                <w:p>
                  <w:pPr>
                    <w:pStyle w:val="Compact"/>
                    <w:jc w:val="right"/>
                    <w:jc w:val="center"/>
                  </w:pPr>
                  <w:r>
                    <w:t xml:space="preserve">663</w:t>
                  </w:r>
                </w:p>
              </w:tc>
              <w:tc>
                <w:tcPr/>
                <w:p>
                  <w:pPr>
                    <w:pStyle w:val="Compact"/>
                    <w:jc w:val="right"/>
                    <w:jc w:val="center"/>
                  </w:pPr>
                  <w:r>
                    <w:t xml:space="preserve">150</w:t>
                  </w:r>
                </w:p>
              </w:tc>
              <w:tc>
                <w:tcPr/>
                <w:p>
                  <w:pPr>
                    <w:pStyle w:val="Compact"/>
                    <w:jc w:val="right"/>
                    <w:jc w:val="center"/>
                  </w:pPr>
                  <w:r>
                    <w:t xml:space="preserve">21.5</w:t>
                  </w:r>
                </w:p>
              </w:tc>
              <w:tc>
                <w:tcPr/>
                <w:p>
                  <w:pPr>
                    <w:pStyle w:val="Compact"/>
                    <w:jc w:val="right"/>
                    <w:jc w:val="center"/>
                  </w:pPr>
                  <w:r>
                    <w:t xml:space="preserve">0.40</w:t>
                  </w:r>
                </w:p>
              </w:tc>
              <w:tc>
                <w:tcPr/>
                <w:p>
                  <w:pPr>
                    <w:pStyle w:val="Compact"/>
                    <w:jc w:val="right"/>
                    <w:jc w:val="center"/>
                  </w:pPr>
                  <w:r>
                    <w:t xml:space="preserve">0.75</w:t>
                  </w:r>
                </w:p>
              </w:tc>
              <w:tc>
                <w:tcPr/>
                <w:p>
                  <w:pPr>
                    <w:pStyle w:val="Compact"/>
                    <w:jc w:val="right"/>
                    <w:jc w:val="center"/>
                  </w:pPr>
                  <w:r>
                    <w:t xml:space="preserve">15</w:t>
                  </w:r>
                </w:p>
              </w:tc>
              <w:tc>
                <w:tcPr/>
                <w:p>
                  <w:pPr>
                    <w:pStyle w:val="Compact"/>
                    <w:jc w:val="right"/>
                    <w:jc w:val="center"/>
                  </w:pPr>
                  <w:r>
                    <w:t xml:space="preserve">3.00</w:t>
                  </w:r>
                </w:p>
              </w:tc>
              <w:tc>
                <w:tcPr/>
                <w:p>
                  <w:pPr>
                    <w:pStyle w:val="Compact"/>
                    <w:jc w:val="right"/>
                    <w:jc w:val="center"/>
                  </w:pPr>
                  <w:r>
                    <w:t xml:space="preserve">69.2</w:t>
                  </w:r>
                </w:p>
              </w:tc>
            </w:tr>
            <w:tr>
              <w:tc>
                <w:tcPr/>
                <w:p>
                  <w:pPr>
                    <w:pStyle w:val="Compact"/>
                    <w:jc w:val="left"/>
                    <w:jc w:val="center"/>
                  </w:pPr>
                  <w:r>
                    <w:t xml:space="preserve">Caifengcun</w:t>
                  </w:r>
                </w:p>
              </w:tc>
              <w:tc>
                <w:tcPr/>
                <w:p>
                  <w:pPr>
                    <w:pStyle w:val="Compact"/>
                    <w:jc w:val="left"/>
                    <w:jc w:val="center"/>
                  </w:pPr>
                  <w:r>
                    <w:t xml:space="preserve">Binchuan</w:t>
                  </w:r>
                </w:p>
              </w:tc>
              <w:tc>
                <w:tcPr/>
                <w:p>
                  <w:pPr>
                    <w:pStyle w:val="Compact"/>
                    <w:jc w:val="right"/>
                    <w:jc w:val="center"/>
                  </w:pPr>
                  <w:r>
                    <w:t xml:space="preserve">6</w:t>
                  </w:r>
                </w:p>
              </w:tc>
              <w:tc>
                <w:tcPr/>
                <w:p>
                  <w:pPr>
                    <w:pStyle w:val="Compact"/>
                    <w:jc w:val="right"/>
                    <w:jc w:val="center"/>
                  </w:pPr>
                  <w:r>
                    <w:t xml:space="preserve">721</w:t>
                  </w:r>
                </w:p>
              </w:tc>
              <w:tc>
                <w:tcPr/>
                <w:p>
                  <w:pPr>
                    <w:pStyle w:val="Compact"/>
                    <w:jc w:val="right"/>
                    <w:jc w:val="center"/>
                  </w:pPr>
                  <w:r>
                    <w:t xml:space="preserve">51</w:t>
                  </w:r>
                </w:p>
              </w:tc>
              <w:tc>
                <w:tcPr/>
                <w:p>
                  <w:pPr>
                    <w:pStyle w:val="Compact"/>
                    <w:jc w:val="right"/>
                    <w:jc w:val="center"/>
                  </w:pPr>
                  <w:r>
                    <w:t xml:space="preserve">18.7</w:t>
                  </w:r>
                </w:p>
              </w:tc>
              <w:tc>
                <w:tcPr/>
                <w:p>
                  <w:pPr>
                    <w:pStyle w:val="Compact"/>
                    <w:jc w:val="right"/>
                    <w:jc w:val="center"/>
                  </w:pPr>
                  <w:r>
                    <w:t xml:space="preserve">0.39</w:t>
                  </w:r>
                </w:p>
              </w:tc>
              <w:tc>
                <w:tcPr/>
                <w:p>
                  <w:pPr>
                    <w:pStyle w:val="Compact"/>
                    <w:jc w:val="right"/>
                    <w:jc w:val="center"/>
                  </w:pPr>
                  <w:r>
                    <w:t xml:space="preserve">0.91</w:t>
                  </w:r>
                </w:p>
              </w:tc>
              <w:tc>
                <w:tcPr/>
                <w:p>
                  <w:pPr>
                    <w:pStyle w:val="Compact"/>
                    <w:jc w:val="right"/>
                    <w:jc w:val="center"/>
                  </w:pPr>
                  <w:r>
                    <w:t xml:space="preserve">13</w:t>
                  </w:r>
                </w:p>
              </w:tc>
              <w:tc>
                <w:tcPr/>
                <w:p>
                  <w:pPr>
                    <w:pStyle w:val="Compact"/>
                    <w:jc w:val="right"/>
                    <w:jc w:val="center"/>
                  </w:pPr>
                  <w:r>
                    <w:t xml:space="preserve">2.50</w:t>
                  </w:r>
                </w:p>
              </w:tc>
              <w:tc>
                <w:tcPr/>
                <w:p>
                  <w:pPr>
                    <w:pStyle w:val="Compact"/>
                    <w:jc w:val="right"/>
                    <w:jc w:val="center"/>
                  </w:pPr>
                  <w:r>
                    <w:t xml:space="preserve">67.4</w:t>
                  </w:r>
                </w:p>
              </w:tc>
            </w:tr>
            <w:tr>
              <w:tc>
                <w:tcPr/>
                <w:p>
                  <w:pPr>
                    <w:pStyle w:val="Compact"/>
                    <w:jc w:val="left"/>
                    <w:jc w:val="center"/>
                  </w:pPr>
                  <w:r>
                    <w:t xml:space="preserve">Mianhualiangzi</w:t>
                  </w:r>
                </w:p>
              </w:tc>
              <w:tc>
                <w:tcPr/>
                <w:p>
                  <w:pPr>
                    <w:pStyle w:val="Compact"/>
                    <w:jc w:val="left"/>
                    <w:jc w:val="center"/>
                  </w:pPr>
                  <w:r>
                    <w:t xml:space="preserve">Binchuan</w:t>
                  </w:r>
                </w:p>
              </w:tc>
              <w:tc>
                <w:tcPr/>
                <w:p>
                  <w:pPr>
                    <w:pStyle w:val="Compact"/>
                    <w:jc w:val="right"/>
                    <w:jc w:val="center"/>
                  </w:pPr>
                  <w:r>
                    <w:t xml:space="preserve">4</w:t>
                  </w:r>
                </w:p>
              </w:tc>
              <w:tc>
                <w:tcPr/>
                <w:p>
                  <w:pPr>
                    <w:pStyle w:val="Compact"/>
                    <w:jc w:val="right"/>
                    <w:jc w:val="center"/>
                  </w:pPr>
                  <w:r>
                    <w:t xml:space="preserve">468</w:t>
                  </w:r>
                </w:p>
              </w:tc>
              <w:tc>
                <w:tcPr/>
                <w:p>
                  <w:pPr>
                    <w:pStyle w:val="Compact"/>
                    <w:jc w:val="right"/>
                    <w:jc w:val="center"/>
                  </w:pPr>
                  <w:r>
                    <w:t xml:space="preserve">55</w:t>
                  </w:r>
                </w:p>
              </w:tc>
              <w:tc>
                <w:tcPr/>
                <w:p>
                  <w:pPr>
                    <w:pStyle w:val="Compact"/>
                    <w:jc w:val="right"/>
                    <w:jc w:val="center"/>
                  </w:pPr>
                  <w:r>
                    <w:t xml:space="preserve">36.2</w:t>
                  </w:r>
                </w:p>
              </w:tc>
              <w:tc>
                <w:tcPr/>
                <w:p>
                  <w:pPr>
                    <w:pStyle w:val="Compact"/>
                    <w:jc w:val="right"/>
                    <w:jc w:val="center"/>
                  </w:pPr>
                  <w:r>
                    <w:t xml:space="preserve">0.45</w:t>
                  </w:r>
                </w:p>
              </w:tc>
              <w:tc>
                <w:tcPr/>
                <w:p>
                  <w:pPr>
                    <w:pStyle w:val="Compact"/>
                    <w:jc w:val="right"/>
                    <w:jc w:val="center"/>
                  </w:pPr>
                  <w:r>
                    <w:t xml:space="preserve">0.60</w:t>
                  </w:r>
                </w:p>
              </w:tc>
              <w:tc>
                <w:tcPr/>
                <w:p>
                  <w:pPr>
                    <w:pStyle w:val="Compact"/>
                    <w:jc w:val="right"/>
                    <w:jc w:val="center"/>
                  </w:pPr>
                  <w:r>
                    <w:t xml:space="preserve">26</w:t>
                  </w:r>
                </w:p>
              </w:tc>
              <w:tc>
                <w:tcPr/>
                <w:p>
                  <w:pPr>
                    <w:pStyle w:val="Compact"/>
                    <w:jc w:val="right"/>
                    <w:jc w:val="center"/>
                  </w:pPr>
                  <w:r>
                    <w:t xml:space="preserve">3.00</w:t>
                  </w:r>
                </w:p>
              </w:tc>
              <w:tc>
                <w:tcPr/>
                <w:p>
                  <w:pPr>
                    <w:pStyle w:val="Compact"/>
                    <w:jc w:val="right"/>
                    <w:jc w:val="center"/>
                  </w:pPr>
                  <w:r>
                    <w:t xml:space="preserve">73.8</w:t>
                  </w:r>
                </w:p>
              </w:tc>
            </w:tr>
            <w:tr>
              <w:tc>
                <w:tcPr/>
                <w:p>
                  <w:pPr>
                    <w:pStyle w:val="Compact"/>
                    <w:jc w:val="left"/>
                    <w:jc w:val="center"/>
                  </w:pPr>
                  <w:r>
                    <w:t xml:space="preserve">Laojianshan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721</w:t>
                  </w:r>
                </w:p>
              </w:tc>
              <w:tc>
                <w:tcPr/>
                <w:p>
                  <w:pPr>
                    <w:pStyle w:val="Compact"/>
                    <w:jc w:val="right"/>
                    <w:jc w:val="center"/>
                  </w:pPr>
                  <w:r>
                    <w:t xml:space="preserve">60</w:t>
                  </w:r>
                </w:p>
              </w:tc>
              <w:tc>
                <w:tcPr/>
                <w:p>
                  <w:pPr>
                    <w:pStyle w:val="Compact"/>
                    <w:jc w:val="right"/>
                    <w:jc w:val="center"/>
                  </w:pPr>
                  <w:r>
                    <w:t xml:space="preserve">27.5</w:t>
                  </w:r>
                </w:p>
              </w:tc>
              <w:tc>
                <w:tcPr/>
                <w:p>
                  <w:pPr>
                    <w:pStyle w:val="Compact"/>
                    <w:jc w:val="right"/>
                    <w:jc w:val="center"/>
                  </w:pPr>
                  <w:r>
                    <w:t xml:space="preserve">0.60</w:t>
                  </w:r>
                </w:p>
              </w:tc>
              <w:tc>
                <w:tcPr/>
                <w:p>
                  <w:pPr>
                    <w:pStyle w:val="Compact"/>
                    <w:jc w:val="right"/>
                    <w:jc w:val="center"/>
                  </w:pPr>
                  <w:r>
                    <w:t xml:space="preserve">0.94</w:t>
                  </w:r>
                </w:p>
              </w:tc>
              <w:tc>
                <w:tcPr/>
                <w:p>
                  <w:pPr>
                    <w:pStyle w:val="Compact"/>
                    <w:jc w:val="right"/>
                    <w:jc w:val="center"/>
                  </w:pPr>
                  <w:r>
                    <w:t xml:space="preserve">30</w:t>
                  </w:r>
                </w:p>
              </w:tc>
              <w:tc>
                <w:tcPr/>
                <w:p>
                  <w:pPr>
                    <w:pStyle w:val="Compact"/>
                    <w:jc w:val="right"/>
                    <w:jc w:val="center"/>
                  </w:pPr>
                  <w:r>
                    <w:t xml:space="preserve">3.17</w:t>
                  </w:r>
                </w:p>
              </w:tc>
              <w:tc>
                <w:tcPr/>
                <w:p>
                  <w:pPr>
                    <w:pStyle w:val="Compact"/>
                    <w:jc w:val="right"/>
                    <w:jc w:val="center"/>
                  </w:pPr>
                  <w:r>
                    <w:t xml:space="preserve">75.3</w:t>
                  </w:r>
                </w:p>
              </w:tc>
            </w:tr>
            <w:tr>
              <w:tc>
                <w:tcPr/>
                <w:p>
                  <w:pPr>
                    <w:pStyle w:val="Compact"/>
                    <w:jc w:val="left"/>
                    <w:jc w:val="center"/>
                  </w:pPr>
                  <w:r>
                    <w:t xml:space="preserve">Mianhuadi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593</w:t>
                  </w:r>
                </w:p>
              </w:tc>
              <w:tc>
                <w:tcPr/>
                <w:p>
                  <w:pPr>
                    <w:pStyle w:val="Compact"/>
                    <w:jc w:val="right"/>
                    <w:jc w:val="center"/>
                  </w:pPr>
                  <w:r>
                    <w:t xml:space="preserve">46</w:t>
                  </w:r>
                </w:p>
              </w:tc>
              <w:tc>
                <w:tcPr/>
                <w:p>
                  <w:pPr>
                    <w:pStyle w:val="Compact"/>
                    <w:jc w:val="right"/>
                    <w:jc w:val="center"/>
                  </w:pPr>
                  <w:r>
                    <w:t xml:space="preserve">30.9</w:t>
                  </w:r>
                </w:p>
              </w:tc>
              <w:tc>
                <w:tcPr/>
                <w:p>
                  <w:pPr>
                    <w:pStyle w:val="Compact"/>
                    <w:jc w:val="right"/>
                    <w:jc w:val="center"/>
                  </w:pPr>
                  <w:r>
                    <w:t xml:space="preserve">0.46</w:t>
                  </w:r>
                </w:p>
              </w:tc>
              <w:tc>
                <w:tcPr/>
                <w:p>
                  <w:pPr>
                    <w:pStyle w:val="Compact"/>
                    <w:jc w:val="right"/>
                    <w:jc w:val="center"/>
                  </w:pPr>
                  <w:r>
                    <w:t xml:space="preserve">0.83</w:t>
                  </w:r>
                </w:p>
              </w:tc>
              <w:tc>
                <w:tcPr/>
                <w:p>
                  <w:pPr>
                    <w:pStyle w:val="Compact"/>
                    <w:jc w:val="right"/>
                    <w:jc w:val="center"/>
                  </w:pPr>
                  <w:r>
                    <w:t xml:space="preserve">26</w:t>
                  </w:r>
                </w:p>
              </w:tc>
              <w:tc>
                <w:tcPr/>
                <w:p>
                  <w:pPr>
                    <w:pStyle w:val="Compact"/>
                    <w:jc w:val="right"/>
                    <w:jc w:val="center"/>
                  </w:pPr>
                  <w:r>
                    <w:t xml:space="preserve">3.25</w:t>
                  </w:r>
                </w:p>
              </w:tc>
              <w:tc>
                <w:tcPr/>
                <w:p>
                  <w:pPr>
                    <w:pStyle w:val="Compact"/>
                    <w:jc w:val="right"/>
                    <w:jc w:val="center"/>
                  </w:pPr>
                  <w:r>
                    <w:t xml:space="preserve">77.3</w:t>
                  </w:r>
                </w:p>
              </w:tc>
            </w:tr>
            <w:tr>
              <w:tc>
                <w:tcPr/>
                <w:p>
                  <w:pPr>
                    <w:pStyle w:val="Compact"/>
                    <w:jc w:val="left"/>
                    <w:jc w:val="center"/>
                  </w:pPr>
                  <w:r>
                    <w:t xml:space="preserve">Nanjingzhuang</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944</w:t>
                  </w:r>
                </w:p>
              </w:tc>
              <w:tc>
                <w:tcPr/>
                <w:p>
                  <w:pPr>
                    <w:pStyle w:val="Compact"/>
                    <w:jc w:val="right"/>
                    <w:jc w:val="center"/>
                  </w:pPr>
                  <w:r>
                    <w:t xml:space="preserve">30</w:t>
                  </w:r>
                </w:p>
              </w:tc>
              <w:tc>
                <w:tcPr/>
                <w:p>
                  <w:pPr>
                    <w:pStyle w:val="Compact"/>
                    <w:jc w:val="right"/>
                    <w:jc w:val="center"/>
                  </w:pPr>
                  <w:r>
                    <w:t xml:space="preserve">25.9</w:t>
                  </w:r>
                </w:p>
              </w:tc>
              <w:tc>
                <w:tcPr/>
                <w:p>
                  <w:pPr>
                    <w:pStyle w:val="Compact"/>
                    <w:jc w:val="right"/>
                    <w:jc w:val="center"/>
                  </w:pPr>
                  <w:r>
                    <w:t xml:space="preserve">0.79</w:t>
                  </w:r>
                </w:p>
              </w:tc>
              <w:tc>
                <w:tcPr/>
                <w:p>
                  <w:pPr>
                    <w:pStyle w:val="Compact"/>
                    <w:jc w:val="right"/>
                    <w:jc w:val="center"/>
                  </w:pPr>
                  <w:r>
                    <w:t xml:space="preserve">0.73</w:t>
                  </w:r>
                </w:p>
              </w:tc>
              <w:tc>
                <w:tcPr/>
                <w:p>
                  <w:pPr>
                    <w:pStyle w:val="Compact"/>
                    <w:jc w:val="right"/>
                    <w:jc w:val="center"/>
                  </w:pPr>
                  <w:r>
                    <w:t xml:space="preserve">48</w:t>
                  </w:r>
                </w:p>
              </w:tc>
              <w:tc>
                <w:tcPr/>
                <w:p>
                  <w:pPr>
                    <w:pStyle w:val="Compact"/>
                    <w:jc w:val="right"/>
                    <w:jc w:val="center"/>
                  </w:pPr>
                  <w:r>
                    <w:t xml:space="preserve">3.17</w:t>
                  </w:r>
                </w:p>
              </w:tc>
              <w:tc>
                <w:tcPr/>
                <w:p>
                  <w:pPr>
                    <w:pStyle w:val="Compact"/>
                    <w:jc w:val="right"/>
                    <w:jc w:val="center"/>
                  </w:pPr>
                  <w:r>
                    <w:t xml:space="preserve">69.4</w:t>
                  </w:r>
                </w:p>
              </w:tc>
            </w:tr>
            <w:tr>
              <w:tc>
                <w:tcPr/>
                <w:p>
                  <w:pPr>
                    <w:pStyle w:val="Compact"/>
                    <w:jc w:val="left"/>
                    <w:jc w:val="center"/>
                  </w:pPr>
                  <w:r>
                    <w:t xml:space="preserve">Pengjiadadi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1110</w:t>
                  </w:r>
                </w:p>
              </w:tc>
              <w:tc>
                <w:tcPr/>
                <w:p>
                  <w:pPr>
                    <w:pStyle w:val="Compact"/>
                    <w:jc w:val="right"/>
                    <w:jc w:val="center"/>
                  </w:pPr>
                  <w:r>
                    <w:t xml:space="preserve">46</w:t>
                  </w:r>
                </w:p>
              </w:tc>
              <w:tc>
                <w:tcPr/>
                <w:p>
                  <w:pPr>
                    <w:pStyle w:val="Compact"/>
                    <w:jc w:val="right"/>
                    <w:jc w:val="center"/>
                  </w:pPr>
                  <w:r>
                    <w:t xml:space="preserve">32.0</w:t>
                  </w:r>
                </w:p>
              </w:tc>
              <w:tc>
                <w:tcPr/>
                <w:p>
                  <w:pPr>
                    <w:pStyle w:val="Compact"/>
                    <w:jc w:val="right"/>
                    <w:jc w:val="center"/>
                  </w:pPr>
                  <w:r>
                    <w:t xml:space="preserve">0.66</w:t>
                  </w:r>
                </w:p>
              </w:tc>
              <w:tc>
                <w:tcPr/>
                <w:p>
                  <w:pPr>
                    <w:pStyle w:val="Compact"/>
                    <w:jc w:val="right"/>
                    <w:jc w:val="center"/>
                  </w:pPr>
                  <w:r>
                    <w:t xml:space="preserve">0.57</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68.1</w:t>
                  </w:r>
                </w:p>
              </w:tc>
            </w:tr>
            <w:tr>
              <w:tc>
                <w:tcPr/>
                <w:p>
                  <w:pPr>
                    <w:pStyle w:val="Compact"/>
                    <w:jc w:val="left"/>
                    <w:jc w:val="center"/>
                  </w:pPr>
                  <w:r>
                    <w:t xml:space="preserve">Shitouwan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523</w:t>
                  </w:r>
                </w:p>
              </w:tc>
              <w:tc>
                <w:tcPr/>
                <w:p>
                  <w:pPr>
                    <w:pStyle w:val="Compact"/>
                    <w:jc w:val="right"/>
                    <w:jc w:val="center"/>
                  </w:pPr>
                  <w:r>
                    <w:t xml:space="preserve">37</w:t>
                  </w:r>
                </w:p>
              </w:tc>
              <w:tc>
                <w:tcPr/>
                <w:p>
                  <w:pPr>
                    <w:pStyle w:val="Compact"/>
                    <w:jc w:val="right"/>
                    <w:jc w:val="center"/>
                  </w:pPr>
                  <w:r>
                    <w:t xml:space="preserve">24.2</w:t>
                  </w:r>
                </w:p>
              </w:tc>
              <w:tc>
                <w:tcPr/>
                <w:p>
                  <w:pPr>
                    <w:pStyle w:val="Compact"/>
                    <w:jc w:val="right"/>
                    <w:jc w:val="center"/>
                  </w:pPr>
                  <w:r>
                    <w:t xml:space="preserve">0.41</w:t>
                  </w:r>
                </w:p>
              </w:tc>
              <w:tc>
                <w:tcPr/>
                <w:p>
                  <w:pPr>
                    <w:pStyle w:val="Compact"/>
                    <w:jc w:val="right"/>
                    <w:jc w:val="center"/>
                  </w:pPr>
                  <w:r>
                    <w:t xml:space="preserve">0.85</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68.7</w:t>
                  </w:r>
                </w:p>
              </w:tc>
            </w:tr>
            <w:tr>
              <w:tc>
                <w:tcPr/>
                <w:p>
                  <w:pPr>
                    <w:pStyle w:val="Compact"/>
                    <w:jc w:val="left"/>
                    <w:jc w:val="center"/>
                  </w:pPr>
                  <w:r>
                    <w:t xml:space="preserve">Yanjianqiao</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204</w:t>
                  </w:r>
                </w:p>
              </w:tc>
              <w:tc>
                <w:tcPr/>
                <w:p>
                  <w:pPr>
                    <w:pStyle w:val="Compact"/>
                    <w:jc w:val="right"/>
                    <w:jc w:val="center"/>
                  </w:pPr>
                  <w:r>
                    <w:t xml:space="preserve">48</w:t>
                  </w:r>
                </w:p>
              </w:tc>
              <w:tc>
                <w:tcPr/>
                <w:p>
                  <w:pPr>
                    <w:pStyle w:val="Compact"/>
                    <w:jc w:val="right"/>
                    <w:jc w:val="center"/>
                  </w:pPr>
                  <w:r>
                    <w:t xml:space="preserve">19.8</w:t>
                  </w:r>
                </w:p>
              </w:tc>
              <w:tc>
                <w:tcPr/>
                <w:p>
                  <w:pPr>
                    <w:pStyle w:val="Compact"/>
                    <w:jc w:val="right"/>
                    <w:jc w:val="center"/>
                  </w:pPr>
                  <w:r>
                    <w:t xml:space="preserve">0.51</w:t>
                  </w:r>
                </w:p>
              </w:tc>
              <w:tc>
                <w:tcPr/>
                <w:p>
                  <w:pPr>
                    <w:pStyle w:val="Compact"/>
                    <w:jc w:val="right"/>
                    <w:jc w:val="center"/>
                  </w:pPr>
                  <w:r>
                    <w:t xml:space="preserve">0.64</w:t>
                  </w:r>
                </w:p>
              </w:tc>
              <w:tc>
                <w:tcPr/>
                <w:p>
                  <w:pPr>
                    <w:pStyle w:val="Compact"/>
                    <w:jc w:val="right"/>
                    <w:jc w:val="center"/>
                  </w:pPr>
                  <w:r>
                    <w:t xml:space="preserve">20</w:t>
                  </w:r>
                </w:p>
              </w:tc>
              <w:tc>
                <w:tcPr/>
                <w:p>
                  <w:pPr>
                    <w:pStyle w:val="Compact"/>
                    <w:jc w:val="right"/>
                    <w:jc w:val="center"/>
                  </w:pPr>
                  <w:r>
                    <w:t xml:space="preserve">2.25</w:t>
                  </w:r>
                </w:p>
              </w:tc>
              <w:tc>
                <w:tcPr/>
                <w:p>
                  <w:pPr>
                    <w:pStyle w:val="Compact"/>
                    <w:jc w:val="right"/>
                    <w:jc w:val="center"/>
                  </w:pPr>
                  <w:r>
                    <w:t xml:space="preserve">69.1</w:t>
                  </w:r>
                </w:p>
              </w:tc>
            </w:tr>
            <w:tr>
              <w:tc>
                <w:tcPr/>
                <w:p>
                  <w:pPr>
                    <w:pStyle w:val="Compact"/>
                    <w:jc w:val="left"/>
                    <w:jc w:val="center"/>
                  </w:pPr>
                  <w:r>
                    <w:t xml:space="preserve">Zhongjialiangzi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908</w:t>
                  </w:r>
                </w:p>
              </w:tc>
              <w:tc>
                <w:tcPr/>
                <w:p>
                  <w:pPr>
                    <w:pStyle w:val="Compact"/>
                    <w:jc w:val="right"/>
                    <w:jc w:val="center"/>
                  </w:pPr>
                  <w:r>
                    <w:t xml:space="preserve">30</w:t>
                  </w:r>
                </w:p>
              </w:tc>
              <w:tc>
                <w:tcPr/>
                <w:p>
                  <w:pPr>
                    <w:pStyle w:val="Compact"/>
                    <w:jc w:val="right"/>
                    <w:jc w:val="center"/>
                  </w:pPr>
                  <w:r>
                    <w:t xml:space="preserve">23.3</w:t>
                  </w:r>
                </w:p>
              </w:tc>
              <w:tc>
                <w:tcPr/>
                <w:p>
                  <w:pPr>
                    <w:pStyle w:val="Compact"/>
                    <w:jc w:val="right"/>
                    <w:jc w:val="center"/>
                  </w:pPr>
                  <w:r>
                    <w:t xml:space="preserve">0.62</w:t>
                  </w:r>
                </w:p>
              </w:tc>
              <w:tc>
                <w:tcPr/>
                <w:p>
                  <w:pPr>
                    <w:pStyle w:val="Compact"/>
                    <w:jc w:val="right"/>
                    <w:jc w:val="center"/>
                  </w:pPr>
                  <w:r>
                    <w:t xml:space="preserve">0.98</w:t>
                  </w:r>
                </w:p>
              </w:tc>
              <w:tc>
                <w:tcPr/>
                <w:p>
                  <w:pPr>
                    <w:pStyle w:val="Compact"/>
                    <w:jc w:val="right"/>
                    <w:jc w:val="center"/>
                  </w:pPr>
                  <w:r>
                    <w:t xml:space="preserve">24</w:t>
                  </w:r>
                </w:p>
              </w:tc>
              <w:tc>
                <w:tcPr/>
                <w:p>
                  <w:pPr>
                    <w:pStyle w:val="Compact"/>
                    <w:jc w:val="right"/>
                    <w:jc w:val="center"/>
                  </w:pPr>
                  <w:r>
                    <w:t xml:space="preserve">3.25</w:t>
                  </w:r>
                </w:p>
              </w:tc>
              <w:tc>
                <w:tcPr/>
                <w:p>
                  <w:pPr>
                    <w:pStyle w:val="Compact"/>
                    <w:jc w:val="right"/>
                    <w:jc w:val="center"/>
                  </w:pPr>
                  <w:r>
                    <w:t xml:space="preserve">73.5</w:t>
                  </w:r>
                </w:p>
              </w:tc>
            </w:tr>
            <w:tr>
              <w:tc>
                <w:tcPr/>
                <w:p>
                  <w:pPr>
                    <w:pStyle w:val="Compact"/>
                    <w:jc w:val="left"/>
                    <w:jc w:val="center"/>
                  </w:pPr>
                  <w:r>
                    <w:t xml:space="preserve">Zhouxiyingliangzi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210</w:t>
                  </w:r>
                </w:p>
              </w:tc>
              <w:tc>
                <w:tcPr/>
                <w:p>
                  <w:pPr>
                    <w:pStyle w:val="Compact"/>
                    <w:jc w:val="right"/>
                    <w:jc w:val="center"/>
                  </w:pPr>
                  <w:r>
                    <w:t xml:space="preserve">40</w:t>
                  </w:r>
                </w:p>
              </w:tc>
              <w:tc>
                <w:tcPr/>
                <w:p>
                  <w:pPr>
                    <w:pStyle w:val="Compact"/>
                    <w:jc w:val="right"/>
                    <w:jc w:val="center"/>
                  </w:pPr>
                  <w:r>
                    <w:t xml:space="preserve">24.2</w:t>
                  </w:r>
                </w:p>
              </w:tc>
              <w:tc>
                <w:tcPr/>
                <w:p>
                  <w:pPr>
                    <w:pStyle w:val="Compact"/>
                    <w:jc w:val="right"/>
                    <w:jc w:val="center"/>
                  </w:pPr>
                  <w:r>
                    <w:t xml:space="preserve">0.37</w:t>
                  </w:r>
                </w:p>
              </w:tc>
              <w:tc>
                <w:tcPr/>
                <w:p>
                  <w:pPr>
                    <w:pStyle w:val="Compact"/>
                    <w:jc w:val="right"/>
                    <w:jc w:val="center"/>
                  </w:pPr>
                  <w:r>
                    <w:t xml:space="preserve">0.88</w:t>
                  </w:r>
                </w:p>
              </w:tc>
              <w:tc>
                <w:tcPr/>
                <w:p>
                  <w:pPr>
                    <w:pStyle w:val="Compact"/>
                    <w:jc w:val="right"/>
                    <w:jc w:val="center"/>
                  </w:pPr>
                  <w:r>
                    <w:t xml:space="preserve">18</w:t>
                  </w:r>
                </w:p>
              </w:tc>
              <w:tc>
                <w:tcPr/>
                <w:p>
                  <w:pPr>
                    <w:pStyle w:val="Compact"/>
                    <w:jc w:val="right"/>
                    <w:jc w:val="center"/>
                  </w:pPr>
                  <w:r>
                    <w:t xml:space="preserve">2.50</w:t>
                  </w:r>
                </w:p>
              </w:tc>
              <w:tc>
                <w:tcPr/>
                <w:p>
                  <w:pPr>
                    <w:pStyle w:val="Compact"/>
                    <w:jc w:val="right"/>
                    <w:jc w:val="center"/>
                  </w:pPr>
                  <w:r>
                    <w:t xml:space="preserve">62.6</w:t>
                  </w:r>
                </w:p>
              </w:tc>
            </w:tr>
            <w:tr>
              <w:tc>
                <w:tcPr/>
                <w:p>
                  <w:pPr>
                    <w:pStyle w:val="Compact"/>
                    <w:jc w:val="left"/>
                    <w:jc w:val="center"/>
                  </w:pPr>
                  <w:r>
                    <w:t xml:space="preserve">Baifen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716</w:t>
                  </w:r>
                </w:p>
              </w:tc>
              <w:tc>
                <w:tcPr/>
                <w:p>
                  <w:pPr>
                    <w:pStyle w:val="Compact"/>
                    <w:jc w:val="right"/>
                    <w:jc w:val="center"/>
                  </w:pPr>
                  <w:r>
                    <w:t xml:space="preserve">40</w:t>
                  </w:r>
                </w:p>
              </w:tc>
              <w:tc>
                <w:tcPr/>
                <w:p>
                  <w:pPr>
                    <w:pStyle w:val="Compact"/>
                    <w:jc w:val="right"/>
                    <w:jc w:val="center"/>
                  </w:pPr>
                  <w:r>
                    <w:t xml:space="preserve">17.5</w:t>
                  </w:r>
                </w:p>
              </w:tc>
              <w:tc>
                <w:tcPr/>
                <w:p>
                  <w:pPr>
                    <w:pStyle w:val="Compact"/>
                    <w:jc w:val="right"/>
                    <w:jc w:val="center"/>
                  </w:pPr>
                  <w:r>
                    <w:t xml:space="preserve">0.36</w:t>
                  </w:r>
                </w:p>
              </w:tc>
              <w:tc>
                <w:tcPr/>
                <w:p>
                  <w:pPr>
                    <w:pStyle w:val="Compact"/>
                    <w:jc w:val="right"/>
                    <w:jc w:val="center"/>
                  </w:pPr>
                  <w:r>
                    <w:t xml:space="preserve">0.97</w:t>
                  </w:r>
                </w:p>
              </w:tc>
              <w:tc>
                <w:tcPr/>
                <w:p>
                  <w:pPr>
                    <w:pStyle w:val="Compact"/>
                    <w:jc w:val="right"/>
                    <w:jc w:val="center"/>
                  </w:pPr>
                  <w:r>
                    <w:t xml:space="preserve">9</w:t>
                  </w:r>
                </w:p>
              </w:tc>
              <w:tc>
                <w:tcPr/>
                <w:p>
                  <w:pPr>
                    <w:pStyle w:val="Compact"/>
                    <w:jc w:val="right"/>
                    <w:jc w:val="center"/>
                  </w:pPr>
                  <w:r>
                    <w:t xml:space="preserve">2.00</w:t>
                  </w:r>
                </w:p>
              </w:tc>
              <w:tc>
                <w:tcPr/>
                <w:p>
                  <w:pPr>
                    <w:pStyle w:val="Compact"/>
                    <w:jc w:val="right"/>
                    <w:jc w:val="center"/>
                  </w:pPr>
                  <w:r>
                    <w:t xml:space="preserve">62.0</w:t>
                  </w:r>
                </w:p>
              </w:tc>
            </w:tr>
            <w:tr>
              <w:tc>
                <w:tcPr/>
                <w:p>
                  <w:pPr>
                    <w:pStyle w:val="Compact"/>
                    <w:jc w:val="left"/>
                    <w:jc w:val="center"/>
                  </w:pPr>
                  <w:r>
                    <w:t xml:space="preserve">Dapingdi 1</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1390</w:t>
                  </w:r>
                </w:p>
              </w:tc>
              <w:tc>
                <w:tcPr/>
                <w:p>
                  <w:pPr>
                    <w:pStyle w:val="Compact"/>
                    <w:jc w:val="right"/>
                    <w:jc w:val="center"/>
                  </w:pPr>
                  <w:r>
                    <w:t xml:space="preserve">25</w:t>
                  </w:r>
                </w:p>
              </w:tc>
              <w:tc>
                <w:tcPr/>
                <w:p>
                  <w:pPr>
                    <w:pStyle w:val="Compact"/>
                    <w:jc w:val="right"/>
                    <w:jc w:val="center"/>
                  </w:pPr>
                  <w:r>
                    <w:t xml:space="preserve">38.6</w:t>
                  </w:r>
                </w:p>
              </w:tc>
              <w:tc>
                <w:tcPr/>
                <w:p>
                  <w:pPr>
                    <w:pStyle w:val="Compact"/>
                    <w:jc w:val="right"/>
                    <w:jc w:val="center"/>
                  </w:pPr>
                  <w:r>
                    <w:t xml:space="preserve">0.33</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87.7</w:t>
                  </w:r>
                </w:p>
              </w:tc>
            </w:tr>
            <w:tr>
              <w:tc>
                <w:tcPr/>
                <w:p>
                  <w:pPr>
                    <w:pStyle w:val="Compact"/>
                    <w:jc w:val="left"/>
                    <w:jc w:val="center"/>
                  </w:pPr>
                  <w:r>
                    <w:t xml:space="preserve">Dapingdi 2</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268</w:t>
                  </w:r>
                </w:p>
              </w:tc>
              <w:tc>
                <w:tcPr/>
                <w:p>
                  <w:pPr>
                    <w:pStyle w:val="Compact"/>
                    <w:jc w:val="right"/>
                    <w:jc w:val="center"/>
                  </w:pPr>
                  <w:r>
                    <w:t xml:space="preserve">38</w:t>
                  </w:r>
                </w:p>
              </w:tc>
              <w:tc>
                <w:tcPr/>
                <w:p>
                  <w:pPr>
                    <w:pStyle w:val="Compact"/>
                    <w:jc w:val="right"/>
                    <w:jc w:val="center"/>
                  </w:pPr>
                  <w:r>
                    <w:t xml:space="preserve">22.9</w:t>
                  </w:r>
                </w:p>
              </w:tc>
              <w:tc>
                <w:tcPr/>
                <w:p>
                  <w:pPr>
                    <w:pStyle w:val="Compact"/>
                    <w:jc w:val="right"/>
                    <w:jc w:val="center"/>
                  </w:pPr>
                  <w:r>
                    <w:t xml:space="preserve">0.36</w:t>
                  </w:r>
                </w:p>
              </w:tc>
              <w:tc>
                <w:tcPr/>
                <w:p>
                  <w:pPr>
                    <w:pStyle w:val="Compact"/>
                    <w:jc w:val="right"/>
                    <w:jc w:val="center"/>
                  </w:pPr>
                  <w:r>
                    <w:t xml:space="preserve">0.21</w:t>
                  </w:r>
                </w:p>
              </w:tc>
              <w:tc>
                <w:tcPr/>
                <w:p>
                  <w:pPr>
                    <w:pStyle w:val="Compact"/>
                    <w:jc w:val="right"/>
                    <w:jc w:val="center"/>
                  </w:pPr>
                  <w:r>
                    <w:t xml:space="preserve">9</w:t>
                  </w:r>
                </w:p>
              </w:tc>
              <w:tc>
                <w:tcPr/>
                <w:p>
                  <w:pPr>
                    <w:pStyle w:val="Compact"/>
                    <w:jc w:val="right"/>
                    <w:jc w:val="center"/>
                  </w:pPr>
                  <w:r>
                    <w:t xml:space="preserve">1.00</w:t>
                  </w:r>
                </w:p>
              </w:tc>
              <w:tc>
                <w:tcPr/>
                <w:p>
                  <w:pPr>
                    <w:pStyle w:val="Compact"/>
                    <w:jc w:val="right"/>
                    <w:jc w:val="center"/>
                  </w:pPr>
                  <w:r>
                    <w:t xml:space="preserve">55.0</w:t>
                  </w:r>
                </w:p>
              </w:tc>
            </w:tr>
            <w:tr>
              <w:tc>
                <w:tcPr/>
                <w:p>
                  <w:pPr>
                    <w:pStyle w:val="Compact"/>
                    <w:jc w:val="left"/>
                    <w:jc w:val="center"/>
                  </w:pPr>
                  <w:r>
                    <w:t xml:space="preserve">Futianzhuang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459</w:t>
                  </w:r>
                </w:p>
              </w:tc>
              <w:tc>
                <w:tcPr/>
                <w:p>
                  <w:pPr>
                    <w:pStyle w:val="Compact"/>
                    <w:jc w:val="right"/>
                    <w:jc w:val="center"/>
                  </w:pPr>
                  <w:r>
                    <w:t xml:space="preserve">73</w:t>
                  </w:r>
                </w:p>
              </w:tc>
              <w:tc>
                <w:tcPr/>
                <w:p>
                  <w:pPr>
                    <w:pStyle w:val="Compact"/>
                    <w:jc w:val="right"/>
                    <w:jc w:val="center"/>
                  </w:pPr>
                  <w:r>
                    <w:t xml:space="preserve">13.7</w:t>
                  </w:r>
                </w:p>
              </w:tc>
              <w:tc>
                <w:tcPr/>
                <w:p>
                  <w:pPr>
                    <w:pStyle w:val="Compact"/>
                    <w:jc w:val="right"/>
                    <w:jc w:val="center"/>
                  </w:pPr>
                  <w:r>
                    <w:t xml:space="preserve">0.22</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65.7</w:t>
                  </w:r>
                </w:p>
              </w:tc>
            </w:tr>
            <w:tr>
              <w:tc>
                <w:tcPr/>
                <w:p>
                  <w:pPr>
                    <w:pStyle w:val="Compact"/>
                    <w:jc w:val="left"/>
                    <w:jc w:val="center"/>
                  </w:pPr>
                  <w:r>
                    <w:t xml:space="preserve">Haibacun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550</w:t>
                  </w:r>
                </w:p>
              </w:tc>
              <w:tc>
                <w:tcPr/>
                <w:p>
                  <w:pPr>
                    <w:pStyle w:val="Compact"/>
                    <w:jc w:val="right"/>
                    <w:jc w:val="center"/>
                  </w:pPr>
                  <w:r>
                    <w:t xml:space="preserve">158</w:t>
                  </w:r>
                </w:p>
              </w:tc>
              <w:tc>
                <w:tcPr/>
                <w:p>
                  <w:pPr>
                    <w:pStyle w:val="Compact"/>
                    <w:jc w:val="right"/>
                    <w:jc w:val="center"/>
                  </w:pPr>
                  <w:r>
                    <w:t xml:space="preserve">31.8</w:t>
                  </w:r>
                </w:p>
              </w:tc>
              <w:tc>
                <w:tcPr/>
                <w:p>
                  <w:pPr>
                    <w:pStyle w:val="Compact"/>
                    <w:jc w:val="right"/>
                    <w:jc w:val="center"/>
                  </w:pPr>
                  <w:r>
                    <w:t xml:space="preserve">0.62</w:t>
                  </w:r>
                </w:p>
              </w:tc>
              <w:tc>
                <w:tcPr/>
                <w:p>
                  <w:pPr>
                    <w:pStyle w:val="Compact"/>
                    <w:jc w:val="right"/>
                    <w:jc w:val="center"/>
                  </w:pPr>
                  <w:r>
                    <w:t xml:space="preserve">0.88</w:t>
                  </w:r>
                </w:p>
              </w:tc>
              <w:tc>
                <w:tcPr/>
                <w:p>
                  <w:pPr>
                    <w:pStyle w:val="Compact"/>
                    <w:jc w:val="right"/>
                    <w:jc w:val="center"/>
                  </w:pPr>
                  <w:r>
                    <w:t xml:space="preserve">32</w:t>
                  </w:r>
                </w:p>
              </w:tc>
              <w:tc>
                <w:tcPr/>
                <w:p>
                  <w:pPr>
                    <w:pStyle w:val="Compact"/>
                    <w:jc w:val="right"/>
                    <w:jc w:val="center"/>
                  </w:pPr>
                  <w:r>
                    <w:t xml:space="preserve">3.50</w:t>
                  </w:r>
                </w:p>
              </w:tc>
              <w:tc>
                <w:tcPr/>
                <w:p>
                  <w:pPr>
                    <w:pStyle w:val="Compact"/>
                    <w:jc w:val="right"/>
                    <w:jc w:val="center"/>
                  </w:pPr>
                  <w:r>
                    <w:t xml:space="preserve">87.0</w:t>
                  </w:r>
                </w:p>
              </w:tc>
            </w:tr>
            <w:tr>
              <w:tc>
                <w:tcPr/>
                <w:p>
                  <w:pPr>
                    <w:pStyle w:val="Compact"/>
                    <w:jc w:val="left"/>
                    <w:jc w:val="center"/>
                  </w:pPr>
                  <w:r>
                    <w:t xml:space="preserve">Jiancaowan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596</w:t>
                  </w:r>
                </w:p>
              </w:tc>
              <w:tc>
                <w:tcPr/>
                <w:p>
                  <w:pPr>
                    <w:pStyle w:val="Compact"/>
                    <w:jc w:val="right"/>
                    <w:jc w:val="center"/>
                  </w:pPr>
                  <w:r>
                    <w:t xml:space="preserve">55</w:t>
                  </w:r>
                </w:p>
              </w:tc>
              <w:tc>
                <w:tcPr/>
                <w:p>
                  <w:pPr>
                    <w:pStyle w:val="Compact"/>
                    <w:jc w:val="right"/>
                    <w:jc w:val="center"/>
                  </w:pPr>
                  <w:r>
                    <w:t xml:space="preserve">28.4</w:t>
                  </w:r>
                </w:p>
              </w:tc>
              <w:tc>
                <w:tcPr/>
                <w:p>
                  <w:pPr>
                    <w:pStyle w:val="Compact"/>
                    <w:jc w:val="right"/>
                    <w:jc w:val="center"/>
                  </w:pPr>
                  <w:r>
                    <w:t xml:space="preserve">0.40</w:t>
                  </w:r>
                </w:p>
              </w:tc>
              <w:tc>
                <w:tcPr/>
                <w:p>
                  <w:pPr>
                    <w:pStyle w:val="Compact"/>
                    <w:jc w:val="right"/>
                    <w:jc w:val="center"/>
                  </w:pPr>
                  <w:r>
                    <w:t xml:space="preserve">0.65</w:t>
                  </w:r>
                </w:p>
              </w:tc>
              <w:tc>
                <w:tcPr/>
                <w:p>
                  <w:pPr>
                    <w:pStyle w:val="Compact"/>
                    <w:jc w:val="right"/>
                    <w:jc w:val="center"/>
                  </w:pPr>
                  <w:r>
                    <w:t xml:space="preserve">31</w:t>
                  </w:r>
                </w:p>
              </w:tc>
              <w:tc>
                <w:tcPr/>
                <w:p>
                  <w:pPr>
                    <w:pStyle w:val="Compact"/>
                    <w:jc w:val="right"/>
                    <w:jc w:val="center"/>
                  </w:pPr>
                  <w:r>
                    <w:t xml:space="preserve">3.00</w:t>
                  </w:r>
                </w:p>
              </w:tc>
              <w:tc>
                <w:tcPr/>
                <w:p>
                  <w:pPr>
                    <w:pStyle w:val="Compact"/>
                    <w:jc w:val="right"/>
                    <w:jc w:val="center"/>
                  </w:pPr>
                  <w:r>
                    <w:t xml:space="preserve">69.0</w:t>
                  </w:r>
                </w:p>
              </w:tc>
            </w:tr>
            <w:tr>
              <w:tc>
                <w:tcPr/>
                <w:p>
                  <w:pPr>
                    <w:pStyle w:val="Compact"/>
                    <w:jc w:val="left"/>
                    <w:jc w:val="center"/>
                  </w:pPr>
                  <w:r>
                    <w:t xml:space="preserve">Niunitang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480</w:t>
                  </w:r>
                </w:p>
              </w:tc>
              <w:tc>
                <w:tcPr/>
                <w:p>
                  <w:pPr>
                    <w:pStyle w:val="Compact"/>
                    <w:jc w:val="right"/>
                    <w:jc w:val="center"/>
                  </w:pPr>
                  <w:r>
                    <w:t xml:space="preserve">58</w:t>
                  </w:r>
                </w:p>
              </w:tc>
              <w:tc>
                <w:tcPr/>
                <w:p>
                  <w:pPr>
                    <w:pStyle w:val="Compact"/>
                    <w:jc w:val="right"/>
                    <w:jc w:val="center"/>
                  </w:pPr>
                  <w:r>
                    <w:t xml:space="preserve">20.9</w:t>
                  </w:r>
                </w:p>
              </w:tc>
              <w:tc>
                <w:tcPr/>
                <w:p>
                  <w:pPr>
                    <w:pStyle w:val="Compact"/>
                    <w:jc w:val="right"/>
                    <w:jc w:val="center"/>
                  </w:pPr>
                  <w:r>
                    <w:t xml:space="preserve">0.27</w:t>
                  </w:r>
                </w:p>
              </w:tc>
              <w:tc>
                <w:tcPr/>
                <w:p>
                  <w:pPr>
                    <w:pStyle w:val="Compact"/>
                    <w:jc w:val="right"/>
                    <w:jc w:val="center"/>
                  </w:pPr>
                  <w:r>
                    <w:t xml:space="preserve">0.37</w:t>
                  </w:r>
                </w:p>
              </w:tc>
              <w:tc>
                <w:tcPr/>
                <w:p>
                  <w:pPr>
                    <w:pStyle w:val="Compact"/>
                    <w:jc w:val="right"/>
                    <w:jc w:val="center"/>
                  </w:pPr>
                  <w:r>
                    <w:t xml:space="preserve">15</w:t>
                  </w:r>
                </w:p>
              </w:tc>
              <w:tc>
                <w:tcPr/>
                <w:p>
                  <w:pPr>
                    <w:pStyle w:val="Compact"/>
                    <w:jc w:val="right"/>
                    <w:jc w:val="center"/>
                  </w:pPr>
                  <w:r>
                    <w:t xml:space="preserve">2.00</w:t>
                  </w:r>
                </w:p>
              </w:tc>
              <w:tc>
                <w:tcPr/>
                <w:p>
                  <w:pPr>
                    <w:pStyle w:val="Compact"/>
                    <w:jc w:val="right"/>
                    <w:jc w:val="center"/>
                  </w:pPr>
                  <w:r>
                    <w:t xml:space="preserve">78.3</w:t>
                  </w:r>
                </w:p>
              </w:tc>
            </w:tr>
            <w:tr>
              <w:tc>
                <w:tcPr/>
                <w:p>
                  <w:pPr>
                    <w:pStyle w:val="Compact"/>
                    <w:jc w:val="left"/>
                    <w:jc w:val="center"/>
                  </w:pPr>
                  <w:r>
                    <w:t xml:space="preserve">Qingguangshan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768</w:t>
                  </w:r>
                </w:p>
              </w:tc>
              <w:tc>
                <w:tcPr/>
                <w:p>
                  <w:pPr>
                    <w:pStyle w:val="Compact"/>
                    <w:jc w:val="right"/>
                    <w:jc w:val="center"/>
                  </w:pPr>
                  <w:r>
                    <w:t xml:space="preserve">46</w:t>
                  </w:r>
                </w:p>
              </w:tc>
              <w:tc>
                <w:tcPr/>
                <w:p>
                  <w:pPr>
                    <w:pStyle w:val="Compact"/>
                    <w:jc w:val="right"/>
                    <w:jc w:val="center"/>
                  </w:pPr>
                  <w:r>
                    <w:t xml:space="preserve">17.5</w:t>
                  </w:r>
                </w:p>
              </w:tc>
              <w:tc>
                <w:tcPr/>
                <w:p>
                  <w:pPr>
                    <w:pStyle w:val="Compact"/>
                    <w:jc w:val="right"/>
                    <w:jc w:val="center"/>
                  </w:pPr>
                  <w:r>
                    <w:t xml:space="preserve">0.52</w:t>
                  </w:r>
                </w:p>
              </w:tc>
              <w:tc>
                <w:tcPr/>
                <w:p>
                  <w:pPr>
                    <w:pStyle w:val="Compact"/>
                    <w:jc w:val="right"/>
                    <w:jc w:val="center"/>
                  </w:pPr>
                  <w:r>
                    <w:t xml:space="preserve">0.83</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66.2</w:t>
                  </w:r>
                </w:p>
              </w:tc>
            </w:tr>
            <w:tr>
              <w:tc>
                <w:tcPr/>
                <w:p>
                  <w:pPr>
                    <w:pStyle w:val="Compact"/>
                    <w:jc w:val="left"/>
                    <w:jc w:val="center"/>
                  </w:pPr>
                  <w:r>
                    <w:t xml:space="preserve">Wuguiqing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305</w:t>
                  </w:r>
                </w:p>
              </w:tc>
              <w:tc>
                <w:tcPr/>
                <w:p>
                  <w:pPr>
                    <w:pStyle w:val="Compact"/>
                    <w:jc w:val="right"/>
                    <w:jc w:val="center"/>
                  </w:pPr>
                  <w:r>
                    <w:t xml:space="preserve">187</w:t>
                  </w:r>
                </w:p>
              </w:tc>
              <w:tc>
                <w:tcPr/>
                <w:p>
                  <w:pPr>
                    <w:pStyle w:val="Compact"/>
                    <w:jc w:val="right"/>
                    <w:jc w:val="center"/>
                  </w:pPr>
                  <w:r>
                    <w:t xml:space="preserve">16.9</w:t>
                  </w:r>
                </w:p>
              </w:tc>
              <w:tc>
                <w:tcPr/>
                <w:p>
                  <w:pPr>
                    <w:pStyle w:val="Compact"/>
                    <w:jc w:val="right"/>
                    <w:jc w:val="center"/>
                  </w:pPr>
                  <w:r>
                    <w:t xml:space="preserve">0.35</w:t>
                  </w:r>
                </w:p>
              </w:tc>
              <w:tc>
                <w:tcPr/>
                <w:p>
                  <w:pPr>
                    <w:pStyle w:val="Compact"/>
                    <w:jc w:val="right"/>
                    <w:jc w:val="center"/>
                  </w:pPr>
                  <w:r>
                    <w:t xml:space="preserve">0.52</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73.7</w:t>
                  </w:r>
                </w:p>
              </w:tc>
            </w:tr>
            <w:tr>
              <w:tc>
                <w:tcPr/>
                <w:p>
                  <w:pPr>
                    <w:pStyle w:val="Compact"/>
                    <w:jc w:val="left"/>
                    <w:jc w:val="center"/>
                  </w:pPr>
                  <w:r>
                    <w:t xml:space="preserve">Zhaokanzhuang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2540</w:t>
                  </w:r>
                </w:p>
              </w:tc>
              <w:tc>
                <w:tcPr/>
                <w:p>
                  <w:pPr>
                    <w:pStyle w:val="Compact"/>
                    <w:jc w:val="right"/>
                    <w:jc w:val="center"/>
                  </w:pPr>
                  <w:r>
                    <w:t xml:space="preserve">45</w:t>
                  </w:r>
                </w:p>
              </w:tc>
              <w:tc>
                <w:tcPr/>
                <w:p>
                  <w:pPr>
                    <w:pStyle w:val="Compact"/>
                    <w:jc w:val="right"/>
                    <w:jc w:val="center"/>
                  </w:pPr>
                  <w:r>
                    <w:t xml:space="preserve">31.5</w:t>
                  </w:r>
                </w:p>
              </w:tc>
              <w:tc>
                <w:tcPr/>
                <w:p>
                  <w:pPr>
                    <w:pStyle w:val="Compact"/>
                    <w:jc w:val="right"/>
                    <w:jc w:val="center"/>
                  </w:pPr>
                  <w:r>
                    <w:t xml:space="preserve">0.39</w:t>
                  </w:r>
                </w:p>
              </w:tc>
              <w:tc>
                <w:tcPr/>
                <w:p>
                  <w:pPr>
                    <w:pStyle w:val="Compact"/>
                    <w:jc w:val="right"/>
                    <w:jc w:val="center"/>
                  </w:pPr>
                  <w:r>
                    <w:t xml:space="preserve">0.31</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68.7</w:t>
                  </w:r>
                </w:p>
              </w:tc>
            </w:tr>
            <w:tr>
              <w:tc>
                <w:tcPr/>
                <w:p>
                  <w:pPr>
                    <w:pStyle w:val="Compact"/>
                    <w:jc w:val="left"/>
                    <w:jc w:val="center"/>
                  </w:pPr>
                  <w:r>
                    <w:t xml:space="preserve">Tianhua Cave</w:t>
                  </w:r>
                </w:p>
              </w:tc>
              <w:tc>
                <w:tcPr/>
                <w:p>
                  <w:pPr>
                    <w:pStyle w:val="Compact"/>
                    <w:jc w:val="left"/>
                    <w:jc w:val="center"/>
                  </w:pPr>
                  <w:r>
                    <w:t xml:space="preserve">Heqing</w:t>
                  </w:r>
                </w:p>
              </w:tc>
              <w:tc>
                <w:tcPr/>
                <w:p>
                  <w:pPr>
                    <w:pStyle w:val="Compact"/>
                    <w:jc w:val="right"/>
                    <w:jc w:val="center"/>
                  </w:pPr>
                  <w:r>
                    <w:t xml:space="preserve">49</w:t>
                  </w:r>
                </w:p>
              </w:tc>
              <w:tc>
                <w:tcPr/>
                <w:p>
                  <w:pPr>
                    <w:pStyle w:val="Compact"/>
                    <w:jc w:val="right"/>
                    <w:jc w:val="center"/>
                  </w:pPr>
                  <w:r>
                    <w:t xml:space="preserve">2690</w:t>
                  </w:r>
                </w:p>
              </w:tc>
              <w:tc>
                <w:tcPr/>
                <w:p>
                  <w:pPr>
                    <w:pStyle w:val="Compact"/>
                    <w:jc w:val="right"/>
                    <w:jc w:val="center"/>
                  </w:pPr>
                  <w:r>
                    <w:t xml:space="preserve">35</w:t>
                  </w:r>
                </w:p>
              </w:tc>
              <w:tc>
                <w:tcPr/>
                <w:p>
                  <w:pPr>
                    <w:pStyle w:val="Compact"/>
                    <w:jc w:val="right"/>
                    <w:jc w:val="center"/>
                  </w:pPr>
                  <w:r>
                    <w:t xml:space="preserve">26.1</w:t>
                  </w:r>
                </w:p>
              </w:tc>
              <w:tc>
                <w:tcPr/>
                <w:p>
                  <w:pPr>
                    <w:pStyle w:val="Compact"/>
                    <w:jc w:val="right"/>
                    <w:jc w:val="center"/>
                  </w:pPr>
                  <w:r>
                    <w:t xml:space="preserve">0.50</w:t>
                  </w:r>
                </w:p>
              </w:tc>
              <w:tc>
                <w:tcPr/>
                <w:p>
                  <w:pPr>
                    <w:pStyle w:val="Compact"/>
                    <w:jc w:val="right"/>
                    <w:jc w:val="center"/>
                  </w:pPr>
                  <w:r>
                    <w:t xml:space="preserve">0.78</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73.0</w:t>
                  </w:r>
                </w:p>
              </w:tc>
            </w:tr>
            <w:tr>
              <w:tc>
                <w:tcPr/>
                <w:p>
                  <w:pPr>
                    <w:pStyle w:val="Compact"/>
                    <w:jc w:val="left"/>
                    <w:jc w:val="center"/>
                  </w:pPr>
                  <w:r>
                    <w:t xml:space="preserve">Guanshan</w:t>
                  </w:r>
                </w:p>
              </w:tc>
              <w:tc>
                <w:tcPr/>
                <w:p>
                  <w:pPr>
                    <w:pStyle w:val="Compact"/>
                    <w:jc w:val="left"/>
                    <w:jc w:val="center"/>
                  </w:pPr>
                  <w:r>
                    <w:t xml:space="preserve">Heqing</w:t>
                  </w:r>
                </w:p>
              </w:tc>
              <w:tc>
                <w:tcPr/>
                <w:p>
                  <w:pPr>
                    <w:pStyle w:val="Compact"/>
                    <w:jc w:val="right"/>
                    <w:jc w:val="center"/>
                  </w:pPr>
                  <w:r>
                    <w:t xml:space="preserve">31</w:t>
                  </w:r>
                </w:p>
              </w:tc>
              <w:tc>
                <w:tcPr/>
                <w:p>
                  <w:pPr>
                    <w:pStyle w:val="Compact"/>
                    <w:jc w:val="right"/>
                    <w:jc w:val="center"/>
                  </w:pPr>
                  <w:r>
                    <w:t xml:space="preserve">917</w:t>
                  </w:r>
                </w:p>
              </w:tc>
              <w:tc>
                <w:tcPr/>
                <w:p>
                  <w:pPr>
                    <w:pStyle w:val="Compact"/>
                    <w:jc w:val="right"/>
                    <w:jc w:val="center"/>
                  </w:pPr>
                  <w:r>
                    <w:t xml:space="preserve">68</w:t>
                  </w:r>
                </w:p>
              </w:tc>
              <w:tc>
                <w:tcPr/>
                <w:p>
                  <w:pPr>
                    <w:pStyle w:val="Compact"/>
                    <w:jc w:val="right"/>
                    <w:jc w:val="center"/>
                  </w:pPr>
                  <w:r>
                    <w:t xml:space="preserve">24.9</w:t>
                  </w:r>
                </w:p>
              </w:tc>
              <w:tc>
                <w:tcPr/>
                <w:p>
                  <w:pPr>
                    <w:pStyle w:val="Compact"/>
                    <w:jc w:val="right"/>
                    <w:jc w:val="center"/>
                  </w:pPr>
                  <w:r>
                    <w:t xml:space="preserve">0.54</w:t>
                  </w:r>
                </w:p>
              </w:tc>
              <w:tc>
                <w:tcPr/>
                <w:p>
                  <w:pPr>
                    <w:pStyle w:val="Compact"/>
                    <w:jc w:val="right"/>
                    <w:jc w:val="center"/>
                  </w:pPr>
                  <w:r>
                    <w:t xml:space="preserve">0.81</w:t>
                  </w:r>
                </w:p>
              </w:tc>
              <w:tc>
                <w:tcPr/>
                <w:p>
                  <w:pPr>
                    <w:pStyle w:val="Compact"/>
                    <w:jc w:val="right"/>
                    <w:jc w:val="center"/>
                  </w:pPr>
                  <w:r>
                    <w:t xml:space="preserve">23</w:t>
                  </w:r>
                </w:p>
              </w:tc>
              <w:tc>
                <w:tcPr/>
                <w:p>
                  <w:pPr>
                    <w:pStyle w:val="Compact"/>
                    <w:jc w:val="right"/>
                    <w:jc w:val="center"/>
                  </w:pPr>
                  <w:r>
                    <w:t xml:space="preserve">3.00</w:t>
                  </w:r>
                </w:p>
              </w:tc>
              <w:tc>
                <w:tcPr/>
                <w:p>
                  <w:pPr>
                    <w:pStyle w:val="Compact"/>
                    <w:jc w:val="right"/>
                    <w:jc w:val="center"/>
                  </w:pPr>
                  <w:r>
                    <w:t xml:space="preserve">72.3</w:t>
                  </w:r>
                </w:p>
              </w:tc>
            </w:tr>
            <w:tr>
              <w:tc>
                <w:tcPr/>
                <w:p>
                  <w:pPr>
                    <w:pStyle w:val="Compact"/>
                    <w:jc w:val="left"/>
                    <w:jc w:val="center"/>
                  </w:pPr>
                  <w:r>
                    <w:t xml:space="preserve">Songping</w:t>
                  </w:r>
                </w:p>
              </w:tc>
              <w:tc>
                <w:tcPr/>
                <w:p>
                  <w:pPr>
                    <w:pStyle w:val="Compact"/>
                    <w:jc w:val="left"/>
                    <w:jc w:val="center"/>
                  </w:pPr>
                  <w:r>
                    <w:t xml:space="preserve">Heqing</w:t>
                  </w:r>
                </w:p>
              </w:tc>
              <w:tc>
                <w:tcPr/>
                <w:p>
                  <w:pPr>
                    <w:pStyle w:val="Compact"/>
                    <w:jc w:val="right"/>
                    <w:jc w:val="center"/>
                  </w:pPr>
                  <w:r>
                    <w:t xml:space="preserve">18</w:t>
                  </w:r>
                </w:p>
              </w:tc>
              <w:tc>
                <w:tcPr/>
                <w:p>
                  <w:pPr>
                    <w:pStyle w:val="Compact"/>
                    <w:jc w:val="right"/>
                    <w:jc w:val="center"/>
                  </w:pPr>
                  <w:r>
                    <w:t xml:space="preserve">612</w:t>
                  </w:r>
                </w:p>
              </w:tc>
              <w:tc>
                <w:tcPr/>
                <w:p>
                  <w:pPr>
                    <w:pStyle w:val="Compact"/>
                    <w:jc w:val="right"/>
                    <w:jc w:val="center"/>
                  </w:pPr>
                  <w:r>
                    <w:t xml:space="preserve">69</w:t>
                  </w:r>
                </w:p>
              </w:tc>
              <w:tc>
                <w:tcPr/>
                <w:p>
                  <w:pPr>
                    <w:pStyle w:val="Compact"/>
                    <w:jc w:val="right"/>
                    <w:jc w:val="center"/>
                  </w:pPr>
                  <w:r>
                    <w:t xml:space="preserve">24.5</w:t>
                  </w:r>
                </w:p>
              </w:tc>
              <w:tc>
                <w:tcPr/>
                <w:p>
                  <w:pPr>
                    <w:pStyle w:val="Compact"/>
                    <w:jc w:val="right"/>
                    <w:jc w:val="center"/>
                  </w:pPr>
                  <w:r>
                    <w:t xml:space="preserve">0.51</w:t>
                  </w:r>
                </w:p>
              </w:tc>
              <w:tc>
                <w:tcPr/>
                <w:p>
                  <w:pPr>
                    <w:pStyle w:val="Compact"/>
                    <w:jc w:val="right"/>
                    <w:jc w:val="center"/>
                  </w:pPr>
                  <w:r>
                    <w:t xml:space="preserve">0.77</w:t>
                  </w:r>
                </w:p>
              </w:tc>
              <w:tc>
                <w:tcPr/>
                <w:p>
                  <w:pPr>
                    <w:pStyle w:val="Compact"/>
                    <w:jc w:val="right"/>
                    <w:jc w:val="center"/>
                  </w:pPr>
                  <w:r>
                    <w:t xml:space="preserve">18</w:t>
                  </w:r>
                </w:p>
              </w:tc>
              <w:tc>
                <w:tcPr/>
                <w:p>
                  <w:pPr>
                    <w:pStyle w:val="Compact"/>
                    <w:jc w:val="right"/>
                    <w:jc w:val="center"/>
                  </w:pPr>
                  <w:r>
                    <w:t xml:space="preserve">3.00</w:t>
                  </w:r>
                </w:p>
              </w:tc>
              <w:tc>
                <w:tcPr/>
                <w:p>
                  <w:pPr>
                    <w:pStyle w:val="Compact"/>
                    <w:jc w:val="right"/>
                    <w:jc w:val="center"/>
                  </w:pPr>
                  <w:r>
                    <w:t xml:space="preserve">67.8</w:t>
                  </w:r>
                </w:p>
              </w:tc>
            </w:tr>
            <w:tr>
              <w:tc>
                <w:tcPr/>
                <w:p>
                  <w:pPr>
                    <w:pStyle w:val="Compact"/>
                    <w:jc w:val="left"/>
                    <w:jc w:val="center"/>
                  </w:pPr>
                  <w:r>
                    <w:t xml:space="preserve">Longtan</w:t>
                  </w:r>
                </w:p>
              </w:tc>
              <w:tc>
                <w:tcPr/>
                <w:p>
                  <w:pPr>
                    <w:pStyle w:val="Compact"/>
                    <w:jc w:val="left"/>
                    <w:jc w:val="center"/>
                  </w:pPr>
                  <w:r>
                    <w:t xml:space="preserve">Heqing</w:t>
                  </w:r>
                </w:p>
              </w:tc>
              <w:tc>
                <w:tcPr/>
                <w:p>
                  <w:pPr>
                    <w:pStyle w:val="Compact"/>
                    <w:jc w:val="right"/>
                    <w:jc w:val="center"/>
                  </w:pPr>
                  <w:r>
                    <w:t xml:space="preserve">15</w:t>
                  </w:r>
                </w:p>
              </w:tc>
              <w:tc>
                <w:tcPr/>
                <w:p>
                  <w:pPr>
                    <w:pStyle w:val="Compact"/>
                    <w:jc w:val="right"/>
                    <w:jc w:val="center"/>
                  </w:pPr>
                  <w:r>
                    <w:t xml:space="preserve">617</w:t>
                  </w:r>
                </w:p>
              </w:tc>
              <w:tc>
                <w:tcPr/>
                <w:p>
                  <w:pPr>
                    <w:pStyle w:val="Compact"/>
                    <w:jc w:val="right"/>
                    <w:jc w:val="center"/>
                  </w:pPr>
                  <w:r>
                    <w:t xml:space="preserve">40</w:t>
                  </w:r>
                </w:p>
              </w:tc>
              <w:tc>
                <w:tcPr/>
                <w:p>
                  <w:pPr>
                    <w:pStyle w:val="Compact"/>
                    <w:jc w:val="right"/>
                    <w:jc w:val="center"/>
                  </w:pPr>
                  <w:r>
                    <w:t xml:space="preserve">18.4</w:t>
                  </w:r>
                </w:p>
              </w:tc>
              <w:tc>
                <w:tcPr/>
                <w:p>
                  <w:pPr>
                    <w:pStyle w:val="Compact"/>
                    <w:jc w:val="right"/>
                    <w:jc w:val="center"/>
                  </w:pPr>
                  <w:r>
                    <w:t xml:space="preserve">0.37</w:t>
                  </w:r>
                </w:p>
              </w:tc>
              <w:tc>
                <w:tcPr/>
                <w:p>
                  <w:pPr>
                    <w:pStyle w:val="Compact"/>
                    <w:jc w:val="right"/>
                    <w:jc w:val="center"/>
                  </w:pPr>
                  <w:r>
                    <w:t xml:space="preserve">0.69</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63.0</w:t>
                  </w:r>
                </w:p>
              </w:tc>
            </w:tr>
            <w:tr>
              <w:tc>
                <w:tcPr/>
                <w:p>
                  <w:pPr>
                    <w:pStyle w:val="Compact"/>
                    <w:jc w:val="left"/>
                    <w:jc w:val="center"/>
                  </w:pPr>
                  <w:r>
                    <w:t xml:space="preserve">Dazhuang</w:t>
                  </w:r>
                </w:p>
              </w:tc>
              <w:tc>
                <w:tcPr/>
                <w:p>
                  <w:pPr>
                    <w:pStyle w:val="Compact"/>
                    <w:jc w:val="left"/>
                    <w:jc w:val="center"/>
                  </w:pPr>
                  <w:r>
                    <w:t xml:space="preserve">Heqing</w:t>
                  </w:r>
                </w:p>
              </w:tc>
              <w:tc>
                <w:tcPr/>
                <w:p>
                  <w:pPr>
                    <w:pStyle w:val="Compact"/>
                    <w:jc w:val="right"/>
                    <w:jc w:val="center"/>
                  </w:pPr>
                  <w:r>
                    <w:t xml:space="preserve">6</w:t>
                  </w:r>
                </w:p>
              </w:tc>
              <w:tc>
                <w:tcPr/>
                <w:p>
                  <w:pPr>
                    <w:pStyle w:val="Compact"/>
                    <w:jc w:val="right"/>
                    <w:jc w:val="center"/>
                  </w:pPr>
                  <w:r>
                    <w:t xml:space="preserve">339</w:t>
                  </w:r>
                </w:p>
              </w:tc>
              <w:tc>
                <w:tcPr/>
                <w:p>
                  <w:pPr>
                    <w:pStyle w:val="Compact"/>
                    <w:jc w:val="right"/>
                    <w:jc w:val="center"/>
                  </w:pPr>
                  <w:r>
                    <w:t xml:space="preserve">43</w:t>
                  </w:r>
                </w:p>
              </w:tc>
              <w:tc>
                <w:tcPr/>
                <w:p>
                  <w:pPr>
                    <w:pStyle w:val="Compact"/>
                    <w:jc w:val="right"/>
                    <w:jc w:val="center"/>
                  </w:pPr>
                  <w:r>
                    <w:t xml:space="preserve">28.0</w:t>
                  </w:r>
                </w:p>
              </w:tc>
              <w:tc>
                <w:tcPr/>
                <w:p>
                  <w:pPr>
                    <w:pStyle w:val="Compact"/>
                    <w:jc w:val="right"/>
                    <w:jc w:val="center"/>
                  </w:pPr>
                  <w:r>
                    <w:t xml:space="preserve">0.45</w:t>
                  </w:r>
                </w:p>
              </w:tc>
              <w:tc>
                <w:tcPr/>
                <w:p>
                  <w:pPr>
                    <w:pStyle w:val="Compact"/>
                    <w:jc w:val="right"/>
                    <w:jc w:val="center"/>
                  </w:pPr>
                  <w:r>
                    <w:t xml:space="preserve">0.70</w:t>
                  </w:r>
                </w:p>
              </w:tc>
              <w:tc>
                <w:tcPr/>
                <w:p>
                  <w:pPr>
                    <w:pStyle w:val="Compact"/>
                    <w:jc w:val="right"/>
                    <w:jc w:val="center"/>
                  </w:pPr>
                  <w:r>
                    <w:t xml:space="preserve">12</w:t>
                  </w:r>
                </w:p>
              </w:tc>
              <w:tc>
                <w:tcPr/>
                <w:p>
                  <w:pPr>
                    <w:pStyle w:val="Compact"/>
                    <w:jc w:val="right"/>
                    <w:jc w:val="center"/>
                  </w:pPr>
                  <w:r>
                    <w:t xml:space="preserve">2.00</w:t>
                  </w:r>
                </w:p>
              </w:tc>
              <w:tc>
                <w:tcPr/>
                <w:p>
                  <w:pPr>
                    <w:pStyle w:val="Compact"/>
                    <w:jc w:val="right"/>
                    <w:jc w:val="center"/>
                  </w:pPr>
                  <w:r>
                    <w:t xml:space="preserve">70.0</w:t>
                  </w:r>
                </w:p>
              </w:tc>
            </w:tr>
          </w:tbl>
          <w:bookmarkEnd w:id="37"/>
          <w:p/>
        </w:tc>
      </w:tr>
    </w:tbl>
    <w:p>
      <w:pPr>
        <w:pStyle w:val="BodyText"/>
      </w:pPr>
      <w:hyperlink w:anchor="tbl-landscape-permanova">
        <w:r>
          <w:rPr>
            <w:rStyle w:val="Hyperlink"/>
          </w:rPr>
          <w:t xml:space="preserve">Table S11</w:t>
        </w:r>
      </w:hyperlink>
      <w:r>
        <w:t xml:space="preserve"> </w:t>
      </w:r>
      <w:r>
        <w:t xml:space="preserve">gives the landscape models in full. None of the four variables accounts for an appreciable share of the variation in the six technical measures, and the two continuous gradients behave the same way when they are coarsened into bands, which is the check on whether a monotone trend has been obscured by treating a skewed variable linearly. Height above the channel is strongly right-skewed, the three hilltop localities standing far above the terrace sequence, and the banded result confirms that this is not what is suppressing a trend.</w:t>
      </w:r>
    </w:p>
    <w:p>
      <w:pPr>
        <w:pStyle w:val="BodyText"/>
      </w:pPr>
      <w:r>
        <w:t xml:space="preserve">One result in this table deserves comment. The two basins do not differ in the position of their centroids (</w:t>
      </w:r>
      <w:r>
        <w:rPr>
          <w:i/>
          <w:iCs/>
        </w:rPr>
        <w:t xml:space="preserve">R</w:t>
      </w:r>
      <w:r>
        <w:t xml:space="preserve">² = 0.011,</w:t>
      </w:r>
      <w:r>
        <w:t xml:space="preserve"> </w:t>
      </w:r>
      <w:r>
        <w:rPr>
          <w:i/>
          <w:iCs/>
        </w:rPr>
        <w:t xml:space="preserve">p</w:t>
      </w:r>
      <w:r>
        <w:t xml:space="preserve"> </w:t>
      </w:r>
      <w:r>
        <w:t xml:space="preserve">= 0.909) but do differ in dispersion (</w:t>
      </w:r>
      <w:r>
        <w:rPr>
          <w:i/>
          <w:iCs/>
        </w:rPr>
        <w:t xml:space="preserve">F</w:t>
      </w:r>
      <w:r>
        <w:t xml:space="preserve"> </w:t>
      </w:r>
      <w:r>
        <w:t xml:space="preserve">= 4.88,</w:t>
      </w:r>
      <w:r>
        <w:t xml:space="preserve"> </w:t>
      </w:r>
      <w:r>
        <w:rPr>
          <w:i/>
          <w:iCs/>
        </w:rPr>
        <w:t xml:space="preserve">p</w:t>
      </w:r>
      <w:r>
        <w:t xml:space="preserve"> </w:t>
      </w:r>
      <w:r>
        <w:t xml:space="preserve">= 0.035), the Binchuan localities being the more variable of the two. Given that Heqing contributes only 5 localities against 21, and that a dispersion estimate from five points is unstable, we do not read this as evidence of a difference in technological variability between the basins. It is recorded here rather than in the main text because it bears on how the basin</w:t>
      </w:r>
      <w:r>
        <w:t xml:space="preserve"> </w:t>
      </w:r>
      <w:r>
        <w:rPr>
          <w:i/>
          <w:iCs/>
        </w:rPr>
        <w:t xml:space="preserve">R</w:t>
      </w:r>
      <w:r>
        <w:t xml:space="preserve">² should be read: a small</w:t>
      </w:r>
      <w:r>
        <w:t xml:space="preserve"> </w:t>
      </w:r>
      <w:r>
        <w:rPr>
          <w:i/>
          <w:iCs/>
        </w:rPr>
        <w:t xml:space="preserve">R</w:t>
      </w:r>
      <w:r>
        <w:t xml:space="preserve">² with unequal dispersion means overlapping groups, not two tight clusters that happen to coincide.</w:t>
      </w:r>
    </w:p>
    <w:tbl>
      <w:tblPr>
        <w:tblStyle w:val="Table"/>
        <w:tblW w:type="pct" w:w="5000"/>
        <w:tblLayout w:type="fixed"/>
        <w:tblLook w:firstRow="0" w:lastRow="0" w:firstColumn="0" w:lastColumn="0" w:noHBand="0" w:noVBand="0" w:val="0000"/>
      </w:tblPr>
      <w:tblGrid>
        <w:gridCol w:w="7920"/>
      </w:tblGrid>
      <w:tr>
        <w:tc>
          <w:tcPr/>
          <w:bookmarkStart w:id="38" w:name="tbl-landscape-permanova"/>
          <w:p>
            <w:pPr>
              <w:jc w:val="center"/>
            </w:pPr>
            <w:pPr>
              <w:jc w:val="left"/>
              <w:spacing w:before="200"/>
              <w:pStyle w:val="ImageCaption"/>
            </w:pPr>
            <w:r>
              <w:t xml:space="preserve">Table S11: Locality-level PERMANOVA for each landscape variable, on Euclidean distances in the z-scored six-variable space with 9,999 permutations, together with the test of dispersion for the one categorical variable. The banded rows repeat the two continuous gradients as ordered categories, as a check on whether a monotone trend has been missed.</w:t>
            </w:r>
          </w:p>
          <w:tbl>
            <w:tblPr>
              <w:tblStyle w:val="Table"/>
              <w:tblW w:type="pct" w:w="5000"/>
              <w:tblLayout w:type="fixed"/>
              <w:tblLook w:firstRow="1" w:lastRow="0" w:firstColumn="0" w:lastColumn="0" w:noHBand="0" w:noVBand="0" w:val="0020"/>
            </w:tblPr>
            <w:tblGrid>
              <w:gridCol w:w="4320"/>
              <w:gridCol w:w="617"/>
              <w:gridCol w:w="617"/>
              <w:gridCol w:w="617"/>
              <w:gridCol w:w="1131"/>
              <w:gridCol w:w="617"/>
            </w:tblGrid>
            <w:tr>
              <w:trPr>
                <w:tblHeader w:val="on"/>
              </w:trPr>
              <w:tc>
                <w:tcPr/>
                <w:p>
                  <w:pPr>
                    <w:pStyle w:val="Compact"/>
                    <w:jc w:val="left"/>
                    <w:jc w:val="center"/>
                  </w:pPr>
                  <w:r>
                    <w:t xml:space="preserve">Landscape variable</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Basin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 (Binchuan 21, Heqing 5)</w:t>
                  </w:r>
                </w:p>
              </w:tc>
              <w:tc>
                <w:tcPr/>
                <w:p>
                  <w:pPr>
                    <w:pStyle w:val="Compact"/>
                    <w:jc w:val="right"/>
                    <w:jc w:val="center"/>
                  </w:pPr>
                  <w:r>
                    <w:t xml:space="preserve">1, 24</w:t>
                  </w:r>
                </w:p>
              </w:tc>
              <w:tc>
                <w:tcPr/>
                <w:p>
                  <w:pPr>
                    <w:pStyle w:val="Compact"/>
                    <w:jc w:val="right"/>
                    <w:jc w:val="center"/>
                  </w:pPr>
                  <w:r>
                    <w:t xml:space="preserve">1.64</w:t>
                  </w:r>
                </w:p>
              </w:tc>
              <w:tc>
                <w:tcPr/>
                <w:p>
                  <w:pPr>
                    <w:pStyle w:val="Compact"/>
                    <w:jc w:val="right"/>
                    <w:jc w:val="center"/>
                  </w:pPr>
                  <w:r>
                    <w:t xml:space="preserve">0.011</w:t>
                  </w:r>
                </w:p>
              </w:tc>
              <w:tc>
                <w:tcPr/>
                <w:p>
                  <w:pPr>
                    <w:pStyle w:val="Compact"/>
                    <w:jc w:val="right"/>
                    <w:jc w:val="center"/>
                  </w:pPr>
                  <w:r>
                    <w:t xml:space="preserve">0.265</w:t>
                  </w:r>
                </w:p>
              </w:tc>
              <w:tc>
                <w:tcPr/>
                <w:p>
                  <w:pPr>
                    <w:pStyle w:val="Compact"/>
                    <w:jc w:val="right"/>
                    <w:jc w:val="center"/>
                  </w:pPr>
                  <w:r>
                    <w:t xml:space="preserve">0.909</w:t>
                  </w:r>
                </w:p>
              </w:tc>
            </w:tr>
            <w:tr>
              <w:tc>
                <w:tcPr/>
                <w:p>
                  <w:pPr>
                    <w:pStyle w:val="Compact"/>
                    <w:jc w:val="left"/>
                    <w:jc w:val="center"/>
                  </w:pPr>
                  <w:r>
                    <w:t xml:space="preserve">   PERMDISP</w:t>
                  </w:r>
                </w:p>
              </w:tc>
              <w:tc>
                <w:tcPr/>
                <w:p>
                  <w:pPr>
                    <w:pStyle w:val="Compact"/>
                  </w:pPr>
                </w:p>
              </w:tc>
              <w:tc>
                <w:tcPr/>
                <w:p>
                  <w:pPr>
                    <w:pStyle w:val="Compact"/>
                  </w:pPr>
                </w:p>
              </w:tc>
              <w:tc>
                <w:tcPr/>
                <w:p>
                  <w:pPr>
                    <w:pStyle w:val="Compact"/>
                  </w:pPr>
                </w:p>
              </w:tc>
              <w:tc>
                <w:tcPr/>
                <w:p>
                  <w:pPr>
                    <w:pStyle w:val="Compact"/>
                    <w:jc w:val="right"/>
                    <w:jc w:val="center"/>
                  </w:pPr>
                  <w:r>
                    <w:t xml:space="preserve">4.880</w:t>
                  </w:r>
                </w:p>
              </w:tc>
              <w:tc>
                <w:tcPr/>
                <w:p>
                  <w:pPr>
                    <w:pStyle w:val="Compact"/>
                    <w:jc w:val="right"/>
                    <w:jc w:val="center"/>
                  </w:pPr>
                  <w:r>
                    <w:t xml:space="preserve">0.035</w:t>
                  </w:r>
                </w:p>
              </w:tc>
            </w:tr>
            <w:tr>
              <w:tc>
                <w:tcPr/>
                <w:p>
                  <w:pPr>
                    <w:pStyle w:val="Compact"/>
                    <w:jc w:val="left"/>
                    <w:jc w:val="center"/>
                  </w:pPr>
                  <w:r>
                    <w:rPr>
                      <w:b/>
                      <w:bCs/>
                    </w:rPr>
                    <w:t xml:space="preserve">Height above channel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continuous (m)</w:t>
                  </w:r>
                </w:p>
              </w:tc>
              <w:tc>
                <w:tcPr/>
                <w:p>
                  <w:pPr>
                    <w:pStyle w:val="Compact"/>
                    <w:jc w:val="right"/>
                    <w:jc w:val="center"/>
                  </w:pPr>
                  <w:r>
                    <w:t xml:space="preserve">1, 24</w:t>
                  </w:r>
                </w:p>
              </w:tc>
              <w:tc>
                <w:tcPr/>
                <w:p>
                  <w:pPr>
                    <w:pStyle w:val="Compact"/>
                    <w:jc w:val="right"/>
                    <w:jc w:val="center"/>
                  </w:pPr>
                  <w:r>
                    <w:t xml:space="preserve">5.46</w:t>
                  </w:r>
                </w:p>
              </w:tc>
              <w:tc>
                <w:tcPr/>
                <w:p>
                  <w:pPr>
                    <w:pStyle w:val="Compact"/>
                    <w:jc w:val="right"/>
                    <w:jc w:val="center"/>
                  </w:pPr>
                  <w:r>
                    <w:t xml:space="preserve">0.036</w:t>
                  </w:r>
                </w:p>
              </w:tc>
              <w:tc>
                <w:tcPr/>
                <w:p>
                  <w:pPr>
                    <w:pStyle w:val="Compact"/>
                    <w:jc w:val="right"/>
                    <w:jc w:val="center"/>
                  </w:pPr>
                  <w:r>
                    <w:t xml:space="preserve">0.906</w:t>
                  </w:r>
                </w:p>
              </w:tc>
              <w:tc>
                <w:tcPr/>
                <w:p>
                  <w:pPr>
                    <w:pStyle w:val="Compact"/>
                    <w:jc w:val="right"/>
                    <w:jc w:val="center"/>
                  </w:pPr>
                  <w:r>
                    <w:t xml:space="preserve">0.443</w:t>
                  </w:r>
                </w:p>
              </w:tc>
            </w:tr>
            <w:tr>
              <w:tc>
                <w:tcPr/>
                <w:p>
                  <w:pPr>
                    <w:pStyle w:val="Compact"/>
                    <w:jc w:val="left"/>
                    <w:jc w:val="center"/>
                  </w:pPr>
                  <w:r>
                    <w:t xml:space="preserve">   bands ≤40 / 40–60 / &gt;60 m (n = 9/11/6)</w:t>
                  </w:r>
                </w:p>
              </w:tc>
              <w:tc>
                <w:tcPr/>
                <w:p>
                  <w:pPr>
                    <w:pStyle w:val="Compact"/>
                    <w:jc w:val="right"/>
                    <w:jc w:val="center"/>
                  </w:pPr>
                  <w:r>
                    <w:t xml:space="preserve">2, 23</w:t>
                  </w:r>
                </w:p>
              </w:tc>
              <w:tc>
                <w:tcPr/>
                <w:p>
                  <w:pPr>
                    <w:pStyle w:val="Compact"/>
                    <w:jc w:val="right"/>
                    <w:jc w:val="center"/>
                  </w:pPr>
                  <w:r>
                    <w:t xml:space="preserve">9.12</w:t>
                  </w:r>
                </w:p>
              </w:tc>
              <w:tc>
                <w:tcPr/>
                <w:p>
                  <w:pPr>
                    <w:pStyle w:val="Compact"/>
                    <w:jc w:val="right"/>
                    <w:jc w:val="center"/>
                  </w:pPr>
                  <w:r>
                    <w:t xml:space="preserve">0.061</w:t>
                  </w:r>
                </w:p>
              </w:tc>
              <w:tc>
                <w:tcPr/>
                <w:p>
                  <w:pPr>
                    <w:pStyle w:val="Compact"/>
                    <w:jc w:val="right"/>
                    <w:jc w:val="center"/>
                  </w:pPr>
                  <w:r>
                    <w:t xml:space="preserve">0.745</w:t>
                  </w:r>
                </w:p>
              </w:tc>
              <w:tc>
                <w:tcPr/>
                <w:p>
                  <w:pPr>
                    <w:pStyle w:val="Compact"/>
                    <w:jc w:val="right"/>
                    <w:jc w:val="center"/>
                  </w:pPr>
                  <w:r>
                    <w:t xml:space="preserve">0.646</w:t>
                  </w:r>
                </w:p>
              </w:tc>
            </w:tr>
            <w:tr>
              <w:tc>
                <w:tcPr/>
                <w:p>
                  <w:pPr>
                    <w:pStyle w:val="Compact"/>
                    <w:jc w:val="left"/>
                    <w:jc w:val="center"/>
                  </w:pPr>
                  <w:r>
                    <w:rPr>
                      <w:b/>
                      <w:bCs/>
                    </w:rPr>
                    <w:t xml:space="preserve">Distance to channel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continuous (m)</w:t>
                  </w:r>
                </w:p>
              </w:tc>
              <w:tc>
                <w:tcPr/>
                <w:p>
                  <w:pPr>
                    <w:pStyle w:val="Compact"/>
                    <w:jc w:val="right"/>
                    <w:jc w:val="center"/>
                  </w:pPr>
                  <w:r>
                    <w:t xml:space="preserve">1, 24</w:t>
                  </w:r>
                </w:p>
              </w:tc>
              <w:tc>
                <w:tcPr/>
                <w:p>
                  <w:pPr>
                    <w:pStyle w:val="Compact"/>
                    <w:jc w:val="right"/>
                    <w:jc w:val="center"/>
                  </w:pPr>
                  <w:r>
                    <w:t xml:space="preserve">4.61</w:t>
                  </w:r>
                </w:p>
              </w:tc>
              <w:tc>
                <w:tcPr/>
                <w:p>
                  <w:pPr>
                    <w:pStyle w:val="Compact"/>
                    <w:jc w:val="right"/>
                    <w:jc w:val="center"/>
                  </w:pPr>
                  <w:r>
                    <w:t xml:space="preserve">0.031</w:t>
                  </w:r>
                </w:p>
              </w:tc>
              <w:tc>
                <w:tcPr/>
                <w:p>
                  <w:pPr>
                    <w:pStyle w:val="Compact"/>
                    <w:jc w:val="right"/>
                    <w:jc w:val="center"/>
                  </w:pPr>
                  <w:r>
                    <w:t xml:space="preserve">0.761</w:t>
                  </w:r>
                </w:p>
              </w:tc>
              <w:tc>
                <w:tcPr/>
                <w:p>
                  <w:pPr>
                    <w:pStyle w:val="Compact"/>
                    <w:jc w:val="right"/>
                    <w:jc w:val="center"/>
                  </w:pPr>
                  <w:r>
                    <w:t xml:space="preserve">0.513</w:t>
                  </w:r>
                </w:p>
              </w:tc>
            </w:tr>
            <w:tr>
              <w:tc>
                <w:tcPr/>
                <w:p>
                  <w:pPr>
                    <w:pStyle w:val="Compact"/>
                    <w:jc w:val="left"/>
                    <w:jc w:val="center"/>
                  </w:pPr>
                  <w:r>
                    <w:rPr>
                      <w:b/>
                      <w:bCs/>
                    </w:rPr>
                    <w:t xml:space="preserve">Assemblage size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continuous (n specimens)</w:t>
                  </w:r>
                </w:p>
              </w:tc>
              <w:tc>
                <w:tcPr/>
                <w:p>
                  <w:pPr>
                    <w:pStyle w:val="Compact"/>
                    <w:jc w:val="right"/>
                    <w:jc w:val="center"/>
                  </w:pPr>
                  <w:r>
                    <w:t xml:space="preserve">1, 24</w:t>
                  </w:r>
                </w:p>
              </w:tc>
              <w:tc>
                <w:tcPr/>
                <w:p>
                  <w:pPr>
                    <w:pStyle w:val="Compact"/>
                    <w:jc w:val="right"/>
                    <w:jc w:val="center"/>
                  </w:pPr>
                  <w:r>
                    <w:t xml:space="preserve">0.87</w:t>
                  </w:r>
                </w:p>
              </w:tc>
              <w:tc>
                <w:tcPr/>
                <w:p>
                  <w:pPr>
                    <w:pStyle w:val="Compact"/>
                    <w:jc w:val="right"/>
                    <w:jc w:val="center"/>
                  </w:pPr>
                  <w:r>
                    <w:t xml:space="preserve">0.006</w:t>
                  </w:r>
                </w:p>
              </w:tc>
              <w:tc>
                <w:tcPr/>
                <w:p>
                  <w:pPr>
                    <w:pStyle w:val="Compact"/>
                    <w:jc w:val="right"/>
                    <w:jc w:val="center"/>
                  </w:pPr>
                  <w:r>
                    <w:t xml:space="preserve">0.140</w:t>
                  </w:r>
                </w:p>
              </w:tc>
              <w:tc>
                <w:tcPr/>
                <w:p>
                  <w:pPr>
                    <w:pStyle w:val="Compact"/>
                    <w:jc w:val="right"/>
                    <w:jc w:val="center"/>
                  </w:pPr>
                  <w:r>
                    <w:t xml:space="preserve">0.970</w:t>
                  </w:r>
                </w:p>
              </w:tc>
            </w:tr>
            <w:tr>
              <w:tc>
                <w:tcPr/>
                <w:p>
                  <w:pPr>
                    <w:pStyle w:val="Compact"/>
                    <w:jc w:val="left"/>
                    <w:jc w:val="center"/>
                  </w:pPr>
                  <w:r>
                    <w:t xml:space="preserve">   classes 1 / 2–3 / 4+ (n = 10/8/8)</w:t>
                  </w:r>
                </w:p>
              </w:tc>
              <w:tc>
                <w:tcPr/>
                <w:p>
                  <w:pPr>
                    <w:pStyle w:val="Compact"/>
                    <w:jc w:val="right"/>
                    <w:jc w:val="center"/>
                  </w:pPr>
                  <w:r>
                    <w:t xml:space="preserve">2, 23</w:t>
                  </w:r>
                </w:p>
              </w:tc>
              <w:tc>
                <w:tcPr/>
                <w:p>
                  <w:pPr>
                    <w:pStyle w:val="Compact"/>
                    <w:jc w:val="right"/>
                    <w:jc w:val="center"/>
                  </w:pPr>
                  <w:r>
                    <w:t xml:space="preserve">18.05</w:t>
                  </w:r>
                </w:p>
              </w:tc>
              <w:tc>
                <w:tcPr/>
                <w:p>
                  <w:pPr>
                    <w:pStyle w:val="Compact"/>
                    <w:jc w:val="right"/>
                    <w:jc w:val="center"/>
                  </w:pPr>
                  <w:r>
                    <w:t xml:space="preserve">0.120</w:t>
                  </w:r>
                </w:p>
              </w:tc>
              <w:tc>
                <w:tcPr/>
                <w:p>
                  <w:pPr>
                    <w:pStyle w:val="Compact"/>
                    <w:jc w:val="right"/>
                    <w:jc w:val="center"/>
                  </w:pPr>
                  <w:r>
                    <w:t xml:space="preserve">1.573</w:t>
                  </w:r>
                </w:p>
              </w:tc>
              <w:tc>
                <w:tcPr/>
                <w:p>
                  <w:pPr>
                    <w:pStyle w:val="Compact"/>
                    <w:jc w:val="right"/>
                    <w:jc w:val="center"/>
                  </w:pPr>
                  <w:r>
                    <w:t xml:space="preserve">0.146</w:t>
                  </w:r>
                </w:p>
              </w:tc>
            </w:tr>
          </w:tbl>
          <w:bookmarkEnd w:id="38"/>
          <w:p/>
        </w:tc>
      </w:tr>
    </w:tbl>
    <w:p>
      <w:pPr>
        <w:pStyle w:val="BodyText"/>
      </w:pPr>
      <w:hyperlink w:anchor="fig-site-pca">
        <w:r>
          <w:rPr>
            <w:rStyle w:val="Hyperlink"/>
          </w:rPr>
          <w:t xml:space="preserve">Fig. S5</w:t>
        </w:r>
      </w:hyperlink>
      <w:r>
        <w:t xml:space="preserve"> </w:t>
      </w:r>
      <w:r>
        <w:t xml:space="preserve">and</w:t>
      </w:r>
      <w:r>
        <w:t xml:space="preserve"> </w:t>
      </w:r>
      <w:hyperlink w:anchor="fig-site-boxplots">
        <w:r>
          <w:rPr>
            <w:rStyle w:val="Hyperlink"/>
          </w:rPr>
          <w:t xml:space="preserve">Fig. S6</w:t>
        </w:r>
      </w:hyperlink>
      <w:r>
        <w:t xml:space="preserve"> </w:t>
      </w:r>
      <w:r>
        <w:t xml:space="preserve">show what those</w:t>
      </w:r>
      <w:r>
        <w:t xml:space="preserve"> </w:t>
      </w:r>
      <w:r>
        <w:rPr>
          <w:i/>
          <w:iCs/>
        </w:rPr>
        <w:t xml:space="preserve">R</w:t>
      </w:r>
      <w:r>
        <w:t xml:space="preserve">² values look like. In the ordination the localities of the two basins, of the three height bands and of the three size classes are thoroughly interleaved, with no separation by any of the three schemes; in the boxplots the distributions overlap on every variable under every scheme. The technological character of a locality’s Quina scrapers is, on this evidence, largely independent of where in the landscape the locality sits.</w:t>
      </w:r>
    </w:p>
    <w:tbl>
      <w:tblPr>
        <w:tblStyle w:val="Table"/>
        <w:tblW w:type="pct" w:w="5000"/>
        <w:tblLayout w:type="fixed"/>
        <w:tblLook w:firstRow="0" w:lastRow="0" w:firstColumn="0" w:lastColumn="0" w:noHBand="0" w:noVBand="0" w:val="0000"/>
      </w:tblPr>
      <w:tblGrid>
        <w:gridCol w:w="7920"/>
      </w:tblGrid>
      <w:tr>
        <w:tc>
          <w:tcPr/>
          <w:bookmarkStart w:id="42" w:name="fig-site-pca"/>
          <w:p>
            <w:pPr>
              <w:pStyle w:val="Compact"/>
              <w:jc w:val="center"/>
            </w:pPr>
            <w:r>
              <w:drawing>
                <wp:inline>
                  <wp:extent cx="5403966" cy="2289816"/>
                  <wp:effectExtent b="0" l="0" r="0" t="0"/>
                  <wp:docPr descr="" title="" id="40" name="Picture"/>
                  <a:graphic>
                    <a:graphicData uri="http://schemas.openxmlformats.org/drawingml/2006/picture">
                      <pic:pic>
                        <pic:nvPicPr>
                          <pic:cNvPr descr="supplementary_files/figure-docx/fig-site-pca-1.png" id="41" name="Picture"/>
                          <pic:cNvPicPr>
                            <a:picLocks noChangeArrowheads="1" noChangeAspect="1"/>
                          </pic:cNvPicPr>
                        </pic:nvPicPr>
                        <pic:blipFill>
                          <a:blip r:embed="rId39"/>
                          <a:stretch>
                            <a:fillRect/>
                          </a:stretch>
                        </pic:blipFill>
                        <pic:spPr bwMode="auto">
                          <a:xfrm>
                            <a:off x="0" y="0"/>
                            <a:ext cx="5403966" cy="2289816"/>
                          </a:xfrm>
                          <a:prstGeom prst="rect">
                            <a:avLst/>
                          </a:prstGeom>
                          <a:noFill/>
                          <a:ln w="9525">
                            <a:noFill/>
                            <a:headEnd/>
                            <a:tailEnd/>
                          </a:ln>
                        </pic:spPr>
                      </pic:pic>
                    </a:graphicData>
                  </a:graphic>
                </wp:inline>
              </w:drawing>
            </w:r>
          </w:p>
          <w:p>
            <w:pPr>
              <w:jc w:val="center"/>
            </w:pPr>
            <w:pPr>
              <w:jc w:val="left"/>
              <w:spacing w:before="200"/>
              <w:pStyle w:val="ImageCaption"/>
            </w:pPr>
            <w:r>
              <w:t xml:space="preserve">Fig. S5: Locality-level ordination of the six technical measures, each locality entered as the median of its Quina scrapers, coloured by (A) basin, (B) height above the channel and (C) assemblage size. The three panels are the same ordination and differ only in the grouping shown. Hulls enclose each group and filled points mark group centroids.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site-boxplots"/>
          <w:p>
            <w:pPr>
              <w:pStyle w:val="Compact"/>
              <w:jc w:val="center"/>
            </w:pPr>
            <w:r>
              <w:drawing>
                <wp:inline>
                  <wp:extent cx="5403966" cy="6961041"/>
                  <wp:effectExtent b="0" l="0" r="0" t="0"/>
                  <wp:docPr descr="" title="" id="44" name="Picture"/>
                  <a:graphic>
                    <a:graphicData uri="http://schemas.openxmlformats.org/drawingml/2006/picture">
                      <pic:pic>
                        <pic:nvPicPr>
                          <pic:cNvPr descr="supplementary_files/figure-docx/fig-site-boxplots-1.png" id="45" name="Picture"/>
                          <pic:cNvPicPr>
                            <a:picLocks noChangeArrowheads="1" noChangeAspect="1"/>
                          </pic:cNvPicPr>
                        </pic:nvPicPr>
                        <pic:blipFill>
                          <a:blip r:embed="rId43"/>
                          <a:stretch>
                            <a:fillRect/>
                          </a:stretch>
                        </pic:blipFill>
                        <pic:spPr bwMode="auto">
                          <a:xfrm>
                            <a:off x="0" y="0"/>
                            <a:ext cx="5403966" cy="6961041"/>
                          </a:xfrm>
                          <a:prstGeom prst="rect">
                            <a:avLst/>
                          </a:prstGeom>
                          <a:noFill/>
                          <a:ln w="9525">
                            <a:noFill/>
                            <a:headEnd/>
                            <a:tailEnd/>
                          </a:ln>
                        </pic:spPr>
                      </pic:pic>
                    </a:graphicData>
                  </a:graphic>
                </wp:inline>
              </w:drawing>
            </w:r>
          </w:p>
          <w:p>
            <w:pPr>
              <w:jc w:val="center"/>
            </w:pPr>
            <w:pPr>
              <w:jc w:val="left"/>
              <w:spacing w:before="200"/>
              <w:pStyle w:val="ImageCaption"/>
            </w:pPr>
            <w:r>
              <w:t xml:space="preserve">Fig. S6: Locality medians on each of the six technical measures, under each of the three grouping schemes. Points are individual localities, boxes give the median and quartiles of the locality medians, and the black point marks the group mean.</w:t>
            </w:r>
          </w:p>
          <w:bookmarkEnd w:id="46"/>
        </w:tc>
      </w:tr>
    </w:tbl>
    <w:p>
      <w:pPr>
        <w:pStyle w:val="BodyText"/>
      </w:pPr>
      <w:hyperlink w:anchor="fig-distance-scatter">
        <w:r>
          <w:rPr>
            <w:rStyle w:val="Hyperlink"/>
          </w:rPr>
          <w:t xml:space="preserve">Fig. S7</w:t>
        </w:r>
      </w:hyperlink>
      <w:r>
        <w:t xml:space="preserve"> </w:t>
      </w:r>
      <w:r>
        <w:t xml:space="preserve">shows the one pattern in this section that runs in a consistent direction. All six measures increase with distance to the nearest channel, and although no individual correlation reaches significance after adjustment, the concordance of the six is the observation the main text records as a hypothesis for landscape-scale work. The scatter also shows why it can be no more than that: the localities are few, several of the medians rest on a single specimen, and the range of distances is dominated by a small number of localities lying well beyond the rest.</w:t>
      </w:r>
    </w:p>
    <w:tbl>
      <w:tblPr>
        <w:tblStyle w:val="Table"/>
        <w:tblW w:type="pct" w:w="5000"/>
        <w:tblLayout w:type="fixed"/>
        <w:tblLook w:firstRow="0" w:lastRow="0" w:firstColumn="0" w:lastColumn="0" w:noHBand="0" w:noVBand="0" w:val="0000"/>
      </w:tblPr>
      <w:tblGrid>
        <w:gridCol w:w="7920"/>
      </w:tblGrid>
      <w:tr>
        <w:tc>
          <w:tcPr/>
          <w:bookmarkStart w:id="50" w:name="fig-distance-scatter"/>
          <w:p>
            <w:pPr>
              <w:pStyle w:val="Compact"/>
              <w:jc w:val="center"/>
            </w:pPr>
            <w:r>
              <w:drawing>
                <wp:inline>
                  <wp:extent cx="5403966" cy="3846891"/>
                  <wp:effectExtent b="0" l="0" r="0" t="0"/>
                  <wp:docPr descr="" title="" id="48" name="Picture"/>
                  <a:graphic>
                    <a:graphicData uri="http://schemas.openxmlformats.org/drawingml/2006/picture">
                      <pic:pic>
                        <pic:nvPicPr>
                          <pic:cNvPr descr="supplementary_files/figure-docx/fig-distance-scatter-1.png" id="49" name="Picture"/>
                          <pic:cNvPicPr>
                            <a:picLocks noChangeArrowheads="1" noChangeAspect="1"/>
                          </pic:cNvPicPr>
                        </pic:nvPicPr>
                        <pic:blipFill>
                          <a:blip r:embed="rId47"/>
                          <a:stretch>
                            <a:fillRect/>
                          </a:stretch>
                        </pic:blipFill>
                        <pic:spPr bwMode="auto">
                          <a:xfrm>
                            <a:off x="0" y="0"/>
                            <a:ext cx="5403966" cy="3846891"/>
                          </a:xfrm>
                          <a:prstGeom prst="rect">
                            <a:avLst/>
                          </a:prstGeom>
                          <a:noFill/>
                          <a:ln w="9525">
                            <a:noFill/>
                            <a:headEnd/>
                            <a:tailEnd/>
                          </a:ln>
                        </pic:spPr>
                      </pic:pic>
                    </a:graphicData>
                  </a:graphic>
                </wp:inline>
              </w:drawing>
            </w:r>
          </w:p>
          <w:p>
            <w:pPr>
              <w:jc w:val="center"/>
            </w:pPr>
            <w:pPr>
              <w:jc w:val="left"/>
              <w:spacing w:before="200"/>
              <w:pStyle w:val="ImageCaption"/>
            </w:pPr>
            <w:r>
              <w:t xml:space="preserve">Fig. S7: Each technological measure against distance to the nearest present-day channel, at the scale of the locality. Each panel gives Spearman’s ρ with the Bonferroni-adjusted</w:t>
            </w:r>
            <w:r>
              <w:t xml:space="preserve"> </w:t>
            </w:r>
            <w:r>
              <w:rPr>
                <w:i/>
                <w:iCs/>
              </w:rPr>
              <w:t xml:space="preserve">p</w:t>
            </w:r>
            <w:r>
              <w:t xml:space="preserve">-value across the six tests. The dashed line is an ordinary least-squares fit, shown only as a guide to the direction of the relationship.</w:t>
            </w:r>
          </w:p>
          <w:bookmarkEnd w:id="50"/>
        </w:tc>
      </w:tr>
    </w:tbl>
    <w:bookmarkEnd w:id="5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7" Target="media/rId47.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2026-07-23T00:38:05Z</dcterms:created>
  <dcterms:modified xsi:type="dcterms:W3CDTF">2026-07-23T00:38:05Z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July 22, 2026</vt:lpwstr>
  </property>
  <property fmtid="{D5CDD505-2E9C-101B-9397-08002B2CF9AE}" pid="5" name="date-format">
    <vt:lpwstr>long</vt:lpwstr>
  </property>
  <property fmtid="{D5CDD505-2E9C-101B-9397-08002B2CF9AE}" pid="6" name="editor_options">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Quina Valley: a regional Middle Palaeolithic technological system on the southeastern margin of the Tibetan Plateau</vt:lpwstr>
  </property>
  <property fmtid="{D5CDD505-2E9C-101B-9397-08002B2CF9AE}" pid="14" name="toc-title">
    <vt:lpwstr>Table of contents</vt:lpwstr>
  </property>
</Properties>
</file>