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4.png" ContentType="image/png"/>
  <Override PartName="/word/media/rId53.png" ContentType="image/png"/>
  <Override PartName="/word/media/rId15.png" ContentType="image/png"/>
  <Override PartName="/word/media/rId49.png" ContentType="image/png"/>
  <Override PartName="/word/media/rId20.png" ContentType="image/png"/>
  <Override PartName="/word/media/rId2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The Quina Valley: a regional Middle Palaeolithic technological system on the southeastern margin of the Tibetan Plateau</w:t>
      </w:r>
    </w:p>
    <w:p>
      <w:pPr>
        <w:pStyle w:val="Author"/>
      </w:pPr>
      <w:r>
        <w:t xml:space="preserve">Peiyuan Xiao</w:t>
      </w:r>
      <w:r>
        <w:rPr>
          <w:vertAlign w:val="superscript"/>
        </w:rPr>
        <w:t xml:space="preserve">a,b,c</w:t>
      </w:r>
      <w:r>
        <w:t xml:space="preserve">, Qijun Ruan</w:t>
      </w:r>
      <w:r>
        <w:rPr>
          <w:vertAlign w:val="superscript"/>
        </w:rPr>
        <w:t xml:space="preserve">d</w:t>
      </w:r>
      <w:r>
        <w:t xml:space="preserve">, Zhenxiu Jia</w:t>
      </w:r>
      <w:r>
        <w:rPr>
          <w:vertAlign w:val="superscript"/>
        </w:rPr>
        <w:t xml:space="preserve">a</w:t>
      </w:r>
      <w:r>
        <w:t xml:space="preserve">, Marco Peresani</w:t>
      </w:r>
      <w:r>
        <w:rPr>
          <w:vertAlign w:val="superscript"/>
        </w:rPr>
        <w:t xml:space="preserve">e,f</w:t>
      </w:r>
      <w:r>
        <w:t xml:space="preserve">, Davide Delpiano</w:t>
      </w:r>
      <w:r>
        <w:rPr>
          <w:vertAlign w:val="superscript"/>
        </w:rPr>
        <w:t xml:space="preserve">e</w:t>
      </w:r>
      <w:r>
        <w:t xml:space="preserve">, and Ben Marwick</w:t>
      </w:r>
      <w:r>
        <w:rPr>
          <w:vertAlign w:val="superscript"/>
        </w:rPr>
        <w:t xml:space="preserve">c,✉</w:t>
      </w:r>
    </w:p>
    <w:p>
      <w:pPr>
        <w:pStyle w:val="Date"/>
      </w:pPr>
      <w:r>
        <w:t xml:space="preserve">August 14, 2026</w:t>
      </w:r>
    </w:p>
    <w:p>
      <w:pPr>
        <w:pStyle w:val="FirstParagraph"/>
      </w:pPr>
      <w:r>
        <w:rPr>
          <w:vertAlign w:val="superscript"/>
        </w:rPr>
        <w:t xml:space="preserve">a</w:t>
      </w:r>
      <w:r>
        <w:t xml:space="preserve"> </w:t>
      </w:r>
      <w:r>
        <w:t xml:space="preserve">Alpine Paleoecology and Human Adaptation Group (ALPHA Group), State Key Laboratory of Tibetan Plateau Earth System, Environment and Resources, Institute of Tibetan Plateau Research, Chinese Academy of Sciences, Beijing, China</w:t>
      </w:r>
      <w:r>
        <w:br/>
      </w:r>
      <w:r>
        <w:rPr>
          <w:vertAlign w:val="superscript"/>
        </w:rPr>
        <w:t xml:space="preserve">b</w:t>
      </w:r>
      <w:r>
        <w:t xml:space="preserve"> </w:t>
      </w:r>
      <w:r>
        <w:t xml:space="preserve">University of Chinese Academy of Sciences, Beijing, China</w:t>
      </w:r>
      <w:r>
        <w:br/>
      </w:r>
      <w:r>
        <w:rPr>
          <w:vertAlign w:val="superscript"/>
        </w:rPr>
        <w:t xml:space="preserve">c</w:t>
      </w:r>
      <w:r>
        <w:t xml:space="preserve"> </w:t>
      </w:r>
      <w:r>
        <w:t xml:space="preserve">Department of Anthropology, University of Washington, Seattle, WA, USA</w:t>
      </w:r>
      <w:r>
        <w:br/>
      </w:r>
      <w:r>
        <w:rPr>
          <w:vertAlign w:val="superscript"/>
        </w:rPr>
        <w:t xml:space="preserve">d</w:t>
      </w:r>
      <w:r>
        <w:t xml:space="preserve"> </w:t>
      </w:r>
      <w:r>
        <w:t xml:space="preserve">Yunnan Provincial Institute of Cultural Relics and Archaeology, Kunming, China</w:t>
      </w:r>
      <w:r>
        <w:br/>
      </w:r>
      <w:r>
        <w:rPr>
          <w:vertAlign w:val="superscript"/>
        </w:rPr>
        <w:t xml:space="preserve">e</w:t>
      </w:r>
      <w:r>
        <w:t xml:space="preserve"> </w:t>
      </w:r>
      <w:r>
        <w:t xml:space="preserve">Department of Human Studies, Prehistoric and Anthropological Science Unit, University of Ferrara, Ferrara, Italy</w:t>
      </w:r>
      <w:r>
        <w:br/>
      </w:r>
      <w:r>
        <w:rPr>
          <w:vertAlign w:val="superscript"/>
        </w:rPr>
        <w:t xml:space="preserve">f</w:t>
      </w:r>
      <w:r>
        <w:t xml:space="preserve"> </w:t>
      </w:r>
      <w:r>
        <w:t xml:space="preserve">Consiglio Nazionale delle Ricerche-Institute of Environmental Geology and Geoengineering, Laboratory of Palynology and Palaeoecology, Research Group on Vegetation, Climate and Human Stratigraphy, Milan, Italy</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Ben Marwick &lt;bmarwick@uw.edu&gt;</w:t>
        </w:r>
      </w:hyperlink>
    </w:p>
    <w:p>
      <w:pPr>
        <w:pStyle w:val="BodyText"/>
      </w:pPr>
      <w:r>
        <w:t xml:space="preserve">This document reports the full statistical output behind the results summarised in the main text, together with the diagnostic and robustness analyses that support them. Every number here is computed from the same data, in the same run and on the same fixed seed (2226) as the corresponding number in the paper: both documents source a single analysis file, so a value can never differ between them. The data and the code needed to regenerate this document are deposited with the research compendium.</w:t>
      </w:r>
    </w:p>
    <w:p>
      <w:pPr>
        <w:pStyle w:val="BodyText"/>
      </w:pPr>
      <w:r>
        <w:t xml:space="preserve">All analyses were carried out in R version 4.5.2 (2025-10-31 ucrt), with the following packages: tidyverse 2.0.0, dplyr 1.2.1, tidyr 1.3.2, ggplot2 4.0.3, readxl 1.4.5, here 1.0.2, vegan 2.7.2, rstatix 0.7.3, ggpubr 0.6.2, patchwork 1.3.2, ggrepel 0.9.6, cvequality 0.2.0, mgcv 1.9.3, knitr 1.51. The seed 2226 is set once at the head of the analysis file and again immediately before each permutation, Monte Carlo or bootstrap procedure, so that no result depends on the order in which the others were evaluated.</w:t>
      </w:r>
    </w:p>
    <w:p>
      <w:pPr>
        <w:pStyle w:val="BodyText"/>
      </w:pPr>
      <w:r>
        <w:t xml:space="preserve">Three resampling settings govern the results reported below. Permutation tests use 9,999 permutations throughout, PERMANOVA and PERMDISP alike. Percentile confidence intervals are taken from 5,000 bootstrap replicates. Three quantities carry such an interval, all of them reported in the main text: the between-group ratios of the coefficient of variation and of the Fano factor, Spearman’s ρ between each technological measure and distance to the nearest channel, and Cohen’s</w:t>
      </w:r>
      <w:r>
        <w:t xml:space="preserve"> </w:t>
      </w:r>
      <w:r>
        <w:rPr>
          <w:i/>
          <w:iCs/>
        </w:rPr>
        <w:t xml:space="preserve">d</w:t>
      </w:r>
      <w:r>
        <w:t xml:space="preserve"> </w:t>
      </w:r>
      <w:r>
        <w:t xml:space="preserve">for the difference between scraper edge angle and the exterior platform angle of the resharpening flakes. The Krishnamoorthy–Lee modified signed likelihood ratio test for equality of coefficients of variation is evaluated by Monte Carlo simulation with 100,000 iterations; its use of the random number stream is insulated, the state being saved and restored around each call, so that the bootstrap intervals do not depend on how many such tests preceded them. Every family of multiple comparisons carries a Bonferroni adjustment.</w:t>
      </w:r>
    </w:p>
    <w:p>
      <w:pPr>
        <w:pStyle w:val="BodyText"/>
      </w:pPr>
      <w:r>
        <w:t xml:space="preserve">The tables and figures follow the order of the Results and are grouped into four sections: the techno-typological characterisation of the retouch products first, then the technological consistency of the surface collections with the excavated material at Longtan, then the raw material economy, and last the landscape structure of the technological variation. Each section opens with a short guide to what it contains. Each caption is written to stand on its own, so that no table or figure depends on the text of the paper to be read.</w:t>
      </w:r>
    </w:p>
    <w:p>
      <w:r>
        <w:br w:type="page"/>
      </w:r>
    </w:p>
    <w:bookmarkStart w:id="19" w:name="X44261fa124a83ac2fc379d8185ad76d5d9642ba"/>
    <w:p>
      <w:pPr>
        <w:pStyle w:val="Heading1"/>
      </w:pPr>
      <w:r>
        <w:t xml:space="preserve">Techno-typological characterisation of the retouch products</w:t>
      </w:r>
    </w:p>
    <w:p>
      <w:pPr>
        <w:pStyle w:val="FirstParagraph"/>
      </w:pPr>
      <w:r>
        <w:t xml:space="preserve">This section describes the retouch products themselves.</w:t>
      </w:r>
      <w:r>
        <w:t xml:space="preserve"> </w:t>
      </w:r>
      <w:hyperlink w:anchor="fig-quina-scrapers-si">
        <w:r>
          <w:rPr>
            <w:rStyle w:val="Hyperlink"/>
          </w:rPr>
          <w:t xml:space="preserve">Fig. S1</w:t>
        </w:r>
      </w:hyperlink>
      <w:r>
        <w:t xml:space="preserve"> </w:t>
      </w:r>
      <w:r>
        <w:t xml:space="preserve">illustrates further specimens beyond those figured in the main text.</w:t>
      </w:r>
      <w:r>
        <w:t xml:space="preserve"> </w:t>
      </w:r>
      <w:hyperlink w:anchor="tbl-retouch-products">
        <w:r>
          <w:rPr>
            <w:rStyle w:val="Hyperlink"/>
          </w:rPr>
          <w:t xml:space="preserve">Table S1</w:t>
        </w:r>
      </w:hyperlink>
      <w:r>
        <w:t xml:space="preserve"> </w:t>
      </w:r>
      <w:r>
        <w:t xml:space="preserve">gives the metric and reduction attributes of the surface Quina scrapers and of the resharpening flakes that accompany them, and</w:t>
      </w:r>
      <w:r>
        <w:t xml:space="preserve"> </w:t>
      </w:r>
      <w:hyperlink w:anchor="fig-categorical-attributes">
        <w:r>
          <w:rPr>
            <w:rStyle w:val="Hyperlink"/>
          </w:rPr>
          <w:t xml:space="preserve">Fig. S2</w:t>
        </w:r>
      </w:hyperlink>
      <w:r>
        <w:t xml:space="preserve"> </w:t>
      </w:r>
      <w:r>
        <w:t xml:space="preserve">gives the categorical attributes of the scrapers — the cover and position of cortex, the type of platform and the direction from which retouch was struck — as the percentage of specimens in each class. The typological attribution of the same specimens is reported in the main text.</w:t>
      </w:r>
    </w:p>
    <w:p>
      <w:r>
        <w:br w:type="page"/>
      </w:r>
    </w:p>
    <w:tbl>
      <w:tblPr>
        <w:tblStyle w:val="Table"/>
        <w:tblW w:type="pct" w:w="5000"/>
        <w:tblLayout w:type="fixed"/>
        <w:tblLook w:firstRow="0" w:lastRow="0" w:firstColumn="0" w:lastColumn="0" w:noHBand="0" w:noVBand="0" w:val="0000"/>
      </w:tblPr>
      <w:tblGrid>
        <w:gridCol w:w="7920"/>
      </w:tblGrid>
      <w:tr>
        <w:tc>
          <w:tcPr/>
          <w:bookmarkStart w:id="13" w:name="fig-quina-scrapers-si"/>
          <w:p>
            <w:pPr>
              <w:pStyle w:val="Compact"/>
              <w:jc w:val="center"/>
            </w:pPr>
            <w:r>
              <w:drawing>
                <wp:inline>
                  <wp:extent cx="5394960" cy="7199803"/>
                  <wp:effectExtent b="0" l="0" r="0" t="0"/>
                  <wp:docPr descr="" title="" id="11" name="Picture"/>
                  <a:graphic>
                    <a:graphicData uri="http://schemas.openxmlformats.org/drawingml/2006/picture">
                      <pic:pic>
                        <pic:nvPicPr>
                          <pic:cNvPr descr="../figures/quina_scraper_SI_.png" id="12" name="Picture"/>
                          <pic:cNvPicPr>
                            <a:picLocks noChangeArrowheads="1" noChangeAspect="1"/>
                          </pic:cNvPicPr>
                        </pic:nvPicPr>
                        <pic:blipFill>
                          <a:blip r:embed="rId10"/>
                          <a:stretch>
                            <a:fillRect/>
                          </a:stretch>
                        </pic:blipFill>
                        <pic:spPr bwMode="auto">
                          <a:xfrm>
                            <a:off x="0" y="0"/>
                            <a:ext cx="5394960" cy="7199803"/>
                          </a:xfrm>
                          <a:prstGeom prst="rect">
                            <a:avLst/>
                          </a:prstGeom>
                          <a:noFill/>
                          <a:ln w="9525">
                            <a:noFill/>
                            <a:headEnd/>
                            <a:tailEnd/>
                          </a:ln>
                        </pic:spPr>
                      </pic:pic>
                    </a:graphicData>
                  </a:graphic>
                </wp:inline>
              </w:drawing>
            </w:r>
          </w:p>
          <w:p>
            <w:pPr>
              <w:jc w:val="center"/>
            </w:pPr>
            <w:pPr>
              <w:jc w:val="left"/>
              <w:spacing w:before="200"/>
              <w:pStyle w:val="ImageCaption"/>
            </w:pPr>
            <w:r>
              <w:t xml:space="preserve">Fig. S1: Quina scrapers from the surface collections. (A) and (B) simple scrapers. (C) convergent scraper. (D) alternate scraper. (E)</w:t>
            </w:r>
            <w:r>
              <w:t xml:space="preserve"> </w:t>
            </w:r>
            <w:r>
              <w:rPr>
                <w:i/>
                <w:iCs/>
              </w:rPr>
              <w:t xml:space="preserve">limace</w:t>
            </w:r>
          </w:p>
          <w:bookmarkEnd w:id="13"/>
        </w:tc>
      </w:tr>
    </w:tbl>
    <w:p>
      <w:r>
        <w:br w:type="page"/>
      </w:r>
    </w:p>
    <w:tbl>
      <w:tblPr>
        <w:tblStyle w:val="Table"/>
        <w:tblW w:type="pct" w:w="5000"/>
        <w:tblLayout w:type="fixed"/>
        <w:tblLook w:firstRow="0" w:lastRow="0" w:firstColumn="0" w:lastColumn="0" w:noHBand="0" w:noVBand="0" w:val="0000"/>
      </w:tblPr>
      <w:tblGrid>
        <w:gridCol w:w="7920"/>
      </w:tblGrid>
      <w:tr>
        <w:tc>
          <w:tcPr/>
          <w:bookmarkStart w:id="14" w:name="tbl-retouch-products"/>
          <w:p>
            <w:pPr>
              <w:jc w:val="center"/>
            </w:pPr>
            <w:pPr>
              <w:jc w:val="left"/>
              <w:spacing w:before="200"/>
              <w:pStyle w:val="ImageCaption"/>
            </w:pPr>
            <w:r>
              <w:t xml:space="preserve">Table S1: Metric and reduction attributes of the Quina scrapers and the resharpening flakes from the surface collections. Not every attribute could be measured on every specimen: the platform attributes are recorded only on those that retain the platform of the blank, and GIUR on all but one scraper. The retouch attributes apply to the scrapers alone and the exterior platform angle to the resharpening flakes alone.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Attribute</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Median</w:t>
                  </w:r>
                </w:p>
              </w:tc>
              <w:tc>
                <w:tcPr/>
                <w:p>
                  <w:pPr>
                    <w:pStyle w:val="Compact"/>
                    <w:jc w:val="right"/>
                    <w:jc w:val="center"/>
                  </w:pPr>
                  <w:r>
                    <w:t xml:space="preserve">Q1–Q3</w:t>
                  </w:r>
                </w:p>
              </w:tc>
            </w:tr>
            <w:tr>
              <w:tc>
                <w:tcPr/>
                <w:p>
                  <w:pPr>
                    <w:pStyle w:val="Compact"/>
                    <w:jc w:val="left"/>
                    <w:jc w:val="center"/>
                  </w:pPr>
                  <w:r>
                    <w:rPr>
                      <w:b/>
                      <w:bCs/>
                    </w:rPr>
                    <w:t xml:space="preserve">Quina scrapers</w:t>
                  </w:r>
                  <w:r>
                    <w:t xml:space="preserve"> </w:t>
                  </w:r>
                  <w:r>
                    <w:t xml:space="preserve">(</w:t>
                  </w:r>
                  <w:r>
                    <w:rPr>
                      <w:i/>
                      <w:iCs/>
                    </w:rPr>
                    <w:t xml:space="preserve">n</w:t>
                  </w:r>
                  <w:r>
                    <w:t xml:space="preserve"> </w:t>
                  </w:r>
                  <w:r>
                    <w:t xml:space="preserve">= 166)</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Length (mm)</w:t>
                  </w:r>
                </w:p>
              </w:tc>
              <w:tc>
                <w:tcPr/>
                <w:p>
                  <w:pPr>
                    <w:pStyle w:val="Compact"/>
                    <w:jc w:val="right"/>
                    <w:jc w:val="center"/>
                  </w:pPr>
                  <w:r>
                    <w:t xml:space="preserve">59.2</w:t>
                  </w:r>
                </w:p>
              </w:tc>
              <w:tc>
                <w:tcPr/>
                <w:p>
                  <w:pPr>
                    <w:pStyle w:val="Compact"/>
                    <w:jc w:val="right"/>
                    <w:jc w:val="center"/>
                  </w:pPr>
                  <w:r>
                    <w:t xml:space="preserve">13.3</w:t>
                  </w:r>
                </w:p>
              </w:tc>
              <w:tc>
                <w:tcPr/>
                <w:p>
                  <w:pPr>
                    <w:pStyle w:val="Compact"/>
                    <w:jc w:val="right"/>
                    <w:jc w:val="center"/>
                  </w:pPr>
                  <w:r>
                    <w:t xml:space="preserve">58.0</w:t>
                  </w:r>
                </w:p>
              </w:tc>
              <w:tc>
                <w:tcPr/>
                <w:p>
                  <w:pPr>
                    <w:pStyle w:val="Compact"/>
                    <w:jc w:val="right"/>
                    <w:jc w:val="center"/>
                  </w:pPr>
                  <w:r>
                    <w:t xml:space="preserve">49.8–67.5</w:t>
                  </w:r>
                </w:p>
              </w:tc>
            </w:tr>
            <w:tr>
              <w:tc>
                <w:tcPr/>
                <w:p>
                  <w:pPr>
                    <w:pStyle w:val="Compact"/>
                    <w:jc w:val="left"/>
                    <w:jc w:val="center"/>
                  </w:pPr>
                  <w:r>
                    <w:t xml:space="preserve">   Width (mm)</w:t>
                  </w:r>
                </w:p>
              </w:tc>
              <w:tc>
                <w:tcPr/>
                <w:p>
                  <w:pPr>
                    <w:pStyle w:val="Compact"/>
                    <w:jc w:val="right"/>
                    <w:jc w:val="center"/>
                  </w:pPr>
                  <w:r>
                    <w:t xml:space="preserve">46.9</w:t>
                  </w:r>
                </w:p>
              </w:tc>
              <w:tc>
                <w:tcPr/>
                <w:p>
                  <w:pPr>
                    <w:pStyle w:val="Compact"/>
                    <w:jc w:val="right"/>
                    <w:jc w:val="center"/>
                  </w:pPr>
                  <w:r>
                    <w:t xml:space="preserve">12.1</w:t>
                  </w:r>
                </w:p>
              </w:tc>
              <w:tc>
                <w:tcPr/>
                <w:p>
                  <w:pPr>
                    <w:pStyle w:val="Compact"/>
                    <w:jc w:val="right"/>
                    <w:jc w:val="center"/>
                  </w:pPr>
                  <w:r>
                    <w:t xml:space="preserve">45.6</w:t>
                  </w:r>
                </w:p>
              </w:tc>
              <w:tc>
                <w:tcPr/>
                <w:p>
                  <w:pPr>
                    <w:pStyle w:val="Compact"/>
                    <w:jc w:val="right"/>
                    <w:jc w:val="center"/>
                  </w:pPr>
                  <w:r>
                    <w:t xml:space="preserve">38.5–54.8</w:t>
                  </w:r>
                </w:p>
              </w:tc>
            </w:tr>
            <w:tr>
              <w:tc>
                <w:tcPr/>
                <w:p>
                  <w:pPr>
                    <w:pStyle w:val="Compact"/>
                    <w:jc w:val="left"/>
                    <w:jc w:val="center"/>
                  </w:pPr>
                  <w:r>
                    <w:t xml:space="preserve">   Thickness (mm)</w:t>
                  </w:r>
                </w:p>
              </w:tc>
              <w:tc>
                <w:tcPr/>
                <w:p>
                  <w:pPr>
                    <w:pStyle w:val="Compact"/>
                    <w:jc w:val="right"/>
                    <w:jc w:val="center"/>
                  </w:pPr>
                  <w:r>
                    <w:t xml:space="preserve">25.0</w:t>
                  </w:r>
                </w:p>
              </w:tc>
              <w:tc>
                <w:tcPr/>
                <w:p>
                  <w:pPr>
                    <w:pStyle w:val="Compact"/>
                    <w:jc w:val="right"/>
                    <w:jc w:val="center"/>
                  </w:pPr>
                  <w:r>
                    <w:t xml:space="preserve">7.4</w:t>
                  </w:r>
                </w:p>
              </w:tc>
              <w:tc>
                <w:tcPr/>
                <w:p>
                  <w:pPr>
                    <w:pStyle w:val="Compact"/>
                    <w:jc w:val="right"/>
                    <w:jc w:val="center"/>
                  </w:pPr>
                  <w:r>
                    <w:t xml:space="preserve">24.4</w:t>
                  </w:r>
                </w:p>
              </w:tc>
              <w:tc>
                <w:tcPr/>
                <w:p>
                  <w:pPr>
                    <w:pStyle w:val="Compact"/>
                    <w:jc w:val="right"/>
                    <w:jc w:val="center"/>
                  </w:pPr>
                  <w:r>
                    <w:t xml:space="preserve">19.8–29.6</w:t>
                  </w:r>
                </w:p>
              </w:tc>
            </w:tr>
            <w:tr>
              <w:tc>
                <w:tcPr/>
                <w:p>
                  <w:pPr>
                    <w:pStyle w:val="Compact"/>
                    <w:jc w:val="left"/>
                    <w:jc w:val="center"/>
                  </w:pPr>
                  <w:r>
                    <w:t xml:space="preserve">   Mass (g)</w:t>
                  </w:r>
                </w:p>
              </w:tc>
              <w:tc>
                <w:tcPr/>
                <w:p>
                  <w:pPr>
                    <w:pStyle w:val="Compact"/>
                    <w:jc w:val="right"/>
                    <w:jc w:val="center"/>
                  </w:pPr>
                  <w:r>
                    <w:t xml:space="preserve">81.3</w:t>
                  </w:r>
                </w:p>
              </w:tc>
              <w:tc>
                <w:tcPr/>
                <w:p>
                  <w:pPr>
                    <w:pStyle w:val="Compact"/>
                    <w:jc w:val="right"/>
                    <w:jc w:val="center"/>
                  </w:pPr>
                  <w:r>
                    <w:t xml:space="preserve">62.9</w:t>
                  </w:r>
                </w:p>
              </w:tc>
              <w:tc>
                <w:tcPr/>
                <w:p>
                  <w:pPr>
                    <w:pStyle w:val="Compact"/>
                    <w:jc w:val="right"/>
                    <w:jc w:val="center"/>
                  </w:pPr>
                  <w:r>
                    <w:t xml:space="preserve">65.5</w:t>
                  </w:r>
                </w:p>
              </w:tc>
              <w:tc>
                <w:tcPr/>
                <w:p>
                  <w:pPr>
                    <w:pStyle w:val="Compact"/>
                    <w:jc w:val="right"/>
                    <w:jc w:val="center"/>
                  </w:pPr>
                  <w:r>
                    <w:t xml:space="preserve">43.6–100.2</w:t>
                  </w:r>
                </w:p>
              </w:tc>
            </w:tr>
            <w:tr>
              <w:tc>
                <w:tcPr/>
                <w:p>
                  <w:pPr>
                    <w:pStyle w:val="Compact"/>
                    <w:jc w:val="left"/>
                    <w:jc w:val="center"/>
                  </w:pPr>
                  <w:r>
                    <w:t xml:space="preserve">   Platform depth (mm)</w:t>
                  </w:r>
                </w:p>
              </w:tc>
              <w:tc>
                <w:tcPr/>
                <w:p>
                  <w:pPr>
                    <w:pStyle w:val="Compact"/>
                    <w:jc w:val="right"/>
                    <w:jc w:val="center"/>
                  </w:pPr>
                  <w:r>
                    <w:t xml:space="preserve">14.8</w:t>
                  </w:r>
                </w:p>
              </w:tc>
              <w:tc>
                <w:tcPr/>
                <w:p>
                  <w:pPr>
                    <w:pStyle w:val="Compact"/>
                    <w:jc w:val="right"/>
                    <w:jc w:val="center"/>
                  </w:pPr>
                  <w:r>
                    <w:t xml:space="preserve">5.4</w:t>
                  </w:r>
                </w:p>
              </w:tc>
              <w:tc>
                <w:tcPr/>
                <w:p>
                  <w:pPr>
                    <w:pStyle w:val="Compact"/>
                    <w:jc w:val="right"/>
                    <w:jc w:val="center"/>
                  </w:pPr>
                  <w:r>
                    <w:t xml:space="preserve">13.9</w:t>
                  </w:r>
                </w:p>
              </w:tc>
              <w:tc>
                <w:tcPr/>
                <w:p>
                  <w:pPr>
                    <w:pStyle w:val="Compact"/>
                    <w:jc w:val="right"/>
                    <w:jc w:val="center"/>
                  </w:pPr>
                  <w:r>
                    <w:t xml:space="preserve">11.3–18.1</w:t>
                  </w:r>
                </w:p>
              </w:tc>
            </w:tr>
            <w:tr>
              <w:tc>
                <w:tcPr/>
                <w:p>
                  <w:pPr>
                    <w:pStyle w:val="Compact"/>
                    <w:jc w:val="left"/>
                    <w:jc w:val="center"/>
                  </w:pPr>
                  <w:r>
                    <w:t xml:space="preserve">   Platform width (mm)</w:t>
                  </w:r>
                </w:p>
              </w:tc>
              <w:tc>
                <w:tcPr/>
                <w:p>
                  <w:pPr>
                    <w:pStyle w:val="Compact"/>
                    <w:jc w:val="right"/>
                    <w:jc w:val="center"/>
                  </w:pPr>
                  <w:r>
                    <w:t xml:space="preserve">32.5</w:t>
                  </w:r>
                </w:p>
              </w:tc>
              <w:tc>
                <w:tcPr/>
                <w:p>
                  <w:pPr>
                    <w:pStyle w:val="Compact"/>
                    <w:jc w:val="right"/>
                    <w:jc w:val="center"/>
                  </w:pPr>
                  <w:r>
                    <w:t xml:space="preserve">13.5</w:t>
                  </w:r>
                </w:p>
              </w:tc>
              <w:tc>
                <w:tcPr/>
                <w:p>
                  <w:pPr>
                    <w:pStyle w:val="Compact"/>
                    <w:jc w:val="right"/>
                    <w:jc w:val="center"/>
                  </w:pPr>
                  <w:r>
                    <w:t xml:space="preserve">30.9</w:t>
                  </w:r>
                </w:p>
              </w:tc>
              <w:tc>
                <w:tcPr/>
                <w:p>
                  <w:pPr>
                    <w:pStyle w:val="Compact"/>
                    <w:jc w:val="right"/>
                    <w:jc w:val="center"/>
                  </w:pPr>
                  <w:r>
                    <w:t xml:space="preserve">23.2–40.4</w:t>
                  </w:r>
                </w:p>
              </w:tc>
            </w:tr>
            <w:tr>
              <w:tc>
                <w:tcPr/>
                <w:p>
                  <w:pPr>
                    <w:pStyle w:val="Compact"/>
                    <w:jc w:val="left"/>
                    <w:jc w:val="center"/>
                  </w:pPr>
                  <w:r>
                    <w:t xml:space="preserve">   IPA (°)</w:t>
                  </w:r>
                </w:p>
              </w:tc>
              <w:tc>
                <w:tcPr/>
                <w:p>
                  <w:pPr>
                    <w:pStyle w:val="Compact"/>
                    <w:jc w:val="right"/>
                    <w:jc w:val="center"/>
                  </w:pPr>
                  <w:r>
                    <w:t xml:space="preserve">122.4</w:t>
                  </w:r>
                </w:p>
              </w:tc>
              <w:tc>
                <w:tcPr/>
                <w:p>
                  <w:pPr>
                    <w:pStyle w:val="Compact"/>
                    <w:jc w:val="right"/>
                    <w:jc w:val="center"/>
                  </w:pPr>
                  <w:r>
                    <w:t xml:space="preserve">14.1</w:t>
                  </w:r>
                </w:p>
              </w:tc>
              <w:tc>
                <w:tcPr/>
                <w:p>
                  <w:pPr>
                    <w:pStyle w:val="Compact"/>
                    <w:jc w:val="right"/>
                    <w:jc w:val="center"/>
                  </w:pPr>
                  <w:r>
                    <w:t xml:space="preserve">124.9</w:t>
                  </w:r>
                </w:p>
              </w:tc>
              <w:tc>
                <w:tcPr/>
                <w:p>
                  <w:pPr>
                    <w:pStyle w:val="Compact"/>
                    <w:jc w:val="right"/>
                    <w:jc w:val="center"/>
                  </w:pPr>
                  <w:r>
                    <w:t xml:space="preserve">117.0–131.0</w:t>
                  </w:r>
                </w:p>
              </w:tc>
            </w:tr>
            <w:tr>
              <w:tc>
                <w:tcPr/>
                <w:p>
                  <w:pPr>
                    <w:pStyle w:val="Compact"/>
                    <w:jc w:val="left"/>
                    <w:jc w:val="center"/>
                  </w:pPr>
                  <w:r>
                    <w:t xml:space="preserve">   Retouch generations</w:t>
                  </w:r>
                </w:p>
              </w:tc>
              <w:tc>
                <w:tcPr/>
                <w:p>
                  <w:pPr>
                    <w:pStyle w:val="Compact"/>
                    <w:jc w:val="right"/>
                    <w:jc w:val="center"/>
                  </w:pPr>
                  <w:r>
                    <w:t xml:space="preserve">2.76</w:t>
                  </w:r>
                </w:p>
              </w:tc>
              <w:tc>
                <w:tcPr/>
                <w:p>
                  <w:pPr>
                    <w:pStyle w:val="Compact"/>
                    <w:jc w:val="right"/>
                    <w:jc w:val="center"/>
                  </w:pPr>
                  <w:r>
                    <w:t xml:space="preserve">0.66</w:t>
                  </w:r>
                </w:p>
              </w:tc>
              <w:tc>
                <w:tcPr/>
                <w:p>
                  <w:pPr>
                    <w:pStyle w:val="Compact"/>
                    <w:jc w:val="right"/>
                    <w:jc w:val="center"/>
                  </w:pPr>
                  <w:r>
                    <w:t xml:space="preserve">3.00</w:t>
                  </w:r>
                </w:p>
              </w:tc>
              <w:tc>
                <w:tcPr/>
                <w:p>
                  <w:pPr>
                    <w:pStyle w:val="Compact"/>
                    <w:jc w:val="right"/>
                    <w:jc w:val="center"/>
                  </w:pPr>
                  <w:r>
                    <w:t xml:space="preserve">2.00–3.00</w:t>
                  </w:r>
                </w:p>
              </w:tc>
            </w:tr>
            <w:tr>
              <w:tc>
                <w:tcPr/>
                <w:p>
                  <w:pPr>
                    <w:pStyle w:val="Compact"/>
                    <w:jc w:val="left"/>
                    <w:jc w:val="center"/>
                  </w:pPr>
                  <w:r>
                    <w:t xml:space="preserve">   Total scars</w:t>
                  </w:r>
                </w:p>
              </w:tc>
              <w:tc>
                <w:tcPr/>
                <w:p>
                  <w:pPr>
                    <w:pStyle w:val="Compact"/>
                    <w:jc w:val="right"/>
                    <w:jc w:val="center"/>
                  </w:pPr>
                  <w:r>
                    <w:t xml:space="preserve">23.1</w:t>
                  </w:r>
                </w:p>
              </w:tc>
              <w:tc>
                <w:tcPr/>
                <w:p>
                  <w:pPr>
                    <w:pStyle w:val="Compact"/>
                    <w:jc w:val="right"/>
                    <w:jc w:val="center"/>
                  </w:pPr>
                  <w:r>
                    <w:t xml:space="preserve">14.5</w:t>
                  </w:r>
                </w:p>
              </w:tc>
              <w:tc>
                <w:tcPr/>
                <w:p>
                  <w:pPr>
                    <w:pStyle w:val="Compact"/>
                    <w:jc w:val="right"/>
                    <w:jc w:val="center"/>
                  </w:pPr>
                  <w:r>
                    <w:t xml:space="preserve">20</w:t>
                  </w:r>
                </w:p>
              </w:tc>
              <w:tc>
                <w:tcPr/>
                <w:p>
                  <w:pPr>
                    <w:pStyle w:val="Compact"/>
                    <w:jc w:val="right"/>
                    <w:jc w:val="center"/>
                  </w:pPr>
                  <w:r>
                    <w:t xml:space="preserve">13–29</w:t>
                  </w:r>
                </w:p>
              </w:tc>
            </w:tr>
            <w:tr>
              <w:tc>
                <w:tcPr/>
                <w:p>
                  <w:pPr>
                    <w:pStyle w:val="Compact"/>
                    <w:jc w:val="left"/>
                    <w:jc w:val="center"/>
                  </w:pPr>
                  <w:r>
                    <w:t xml:space="preserve">   GIUR</w:t>
                  </w:r>
                </w:p>
              </w:tc>
              <w:tc>
                <w:tcPr/>
                <w:p>
                  <w:pPr>
                    <w:pStyle w:val="Compact"/>
                    <w:jc w:val="right"/>
                    <w:jc w:val="center"/>
                  </w:pPr>
                  <w:r>
                    <w:t xml:space="preserve">0.75</w:t>
                  </w:r>
                </w:p>
              </w:tc>
              <w:tc>
                <w:tcPr/>
                <w:p>
                  <w:pPr>
                    <w:pStyle w:val="Compact"/>
                    <w:jc w:val="right"/>
                    <w:jc w:val="center"/>
                  </w:pPr>
                  <w:r>
                    <w:t xml:space="preserve">0.21</w:t>
                  </w:r>
                </w:p>
              </w:tc>
              <w:tc>
                <w:tcPr/>
                <w:p>
                  <w:pPr>
                    <w:pStyle w:val="Compact"/>
                    <w:jc w:val="right"/>
                    <w:jc w:val="center"/>
                  </w:pPr>
                  <w:r>
                    <w:t xml:space="preserve">0.77</w:t>
                  </w:r>
                </w:p>
              </w:tc>
              <w:tc>
                <w:tcPr/>
                <w:p>
                  <w:pPr>
                    <w:pStyle w:val="Compact"/>
                    <w:jc w:val="right"/>
                    <w:jc w:val="center"/>
                  </w:pPr>
                  <w:r>
                    <w:t xml:space="preserve">0.61–0.93</w:t>
                  </w:r>
                </w:p>
              </w:tc>
            </w:tr>
            <w:tr>
              <w:tc>
                <w:tcPr/>
                <w:p>
                  <w:pPr>
                    <w:pStyle w:val="Compact"/>
                    <w:jc w:val="left"/>
                    <w:jc w:val="center"/>
                  </w:pPr>
                  <w:r>
                    <w:t xml:space="preserve">   Edge angle (°)</w:t>
                  </w:r>
                </w:p>
              </w:tc>
              <w:tc>
                <w:tcPr/>
                <w:p>
                  <w:pPr>
                    <w:pStyle w:val="Compact"/>
                    <w:jc w:val="right"/>
                    <w:jc w:val="center"/>
                  </w:pPr>
                  <w:r>
                    <w:t xml:space="preserve">70.0</w:t>
                  </w:r>
                </w:p>
              </w:tc>
              <w:tc>
                <w:tcPr/>
                <w:p>
                  <w:pPr>
                    <w:pStyle w:val="Compact"/>
                    <w:jc w:val="right"/>
                    <w:jc w:val="center"/>
                  </w:pPr>
                  <w:r>
                    <w:t xml:space="preserve">8.1</w:t>
                  </w:r>
                </w:p>
              </w:tc>
              <w:tc>
                <w:tcPr/>
                <w:p>
                  <w:pPr>
                    <w:pStyle w:val="Compact"/>
                    <w:jc w:val="right"/>
                    <w:jc w:val="center"/>
                  </w:pPr>
                  <w:r>
                    <w:t xml:space="preserve">70.0</w:t>
                  </w:r>
                </w:p>
              </w:tc>
              <w:tc>
                <w:tcPr/>
                <w:p>
                  <w:pPr>
                    <w:pStyle w:val="Compact"/>
                    <w:jc w:val="right"/>
                    <w:jc w:val="center"/>
                  </w:pPr>
                  <w:r>
                    <w:t xml:space="preserve">65.1–74.0</w:t>
                  </w:r>
                </w:p>
              </w:tc>
            </w:tr>
            <w:tr>
              <w:tc>
                <w:tcPr/>
                <w:p>
                  <w:pPr>
                    <w:pStyle w:val="Compact"/>
                    <w:jc w:val="left"/>
                    <w:jc w:val="center"/>
                  </w:pPr>
                  <w:r>
                    <w:t xml:space="preserve">   Retouched perimeter</w:t>
                  </w:r>
                </w:p>
              </w:tc>
              <w:tc>
                <w:tcPr/>
                <w:p>
                  <w:pPr>
                    <w:pStyle w:val="Compact"/>
                    <w:jc w:val="right"/>
                    <w:jc w:val="center"/>
                  </w:pPr>
                  <w:r>
                    <w:t xml:space="preserve">0.50</w:t>
                  </w:r>
                </w:p>
              </w:tc>
              <w:tc>
                <w:tcPr/>
                <w:p>
                  <w:pPr>
                    <w:pStyle w:val="Compact"/>
                    <w:jc w:val="right"/>
                    <w:jc w:val="center"/>
                  </w:pPr>
                  <w:r>
                    <w:t xml:space="preserve">0.21</w:t>
                  </w:r>
                </w:p>
              </w:tc>
              <w:tc>
                <w:tcPr/>
                <w:p>
                  <w:pPr>
                    <w:pStyle w:val="Compact"/>
                    <w:jc w:val="right"/>
                    <w:jc w:val="center"/>
                  </w:pPr>
                  <w:r>
                    <w:t xml:space="preserve">0.46</w:t>
                  </w:r>
                </w:p>
              </w:tc>
              <w:tc>
                <w:tcPr/>
                <w:p>
                  <w:pPr>
                    <w:pStyle w:val="Compact"/>
                    <w:jc w:val="right"/>
                    <w:jc w:val="center"/>
                  </w:pPr>
                  <w:r>
                    <w:t xml:space="preserve">0.34–0.62</w:t>
                  </w:r>
                </w:p>
              </w:tc>
            </w:tr>
            <w:tr>
              <w:tc>
                <w:tcPr/>
                <w:p>
                  <w:pPr>
                    <w:pStyle w:val="Compact"/>
                    <w:jc w:val="left"/>
                    <w:jc w:val="center"/>
                  </w:pPr>
                  <w:r>
                    <w:rPr>
                      <w:b/>
                      <w:bCs/>
                    </w:rPr>
                    <w:t xml:space="preserve">Resharpening flakes</w:t>
                  </w:r>
                  <w:r>
                    <w:t xml:space="preserve"> </w:t>
                  </w:r>
                  <w:r>
                    <w:t xml:space="preserve">(</w:t>
                  </w:r>
                  <w:r>
                    <w:rPr>
                      <w:i/>
                      <w:iCs/>
                    </w:rPr>
                    <w:t xml:space="preserve">n</w:t>
                  </w:r>
                  <w:r>
                    <w:t xml:space="preserve"> </w:t>
                  </w:r>
                  <w:r>
                    <w:t xml:space="preserve">= 58)</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Length (mm)</w:t>
                  </w:r>
                </w:p>
              </w:tc>
              <w:tc>
                <w:tcPr/>
                <w:p>
                  <w:pPr>
                    <w:pStyle w:val="Compact"/>
                    <w:jc w:val="right"/>
                    <w:jc w:val="center"/>
                  </w:pPr>
                  <w:r>
                    <w:t xml:space="preserve">37.2</w:t>
                  </w:r>
                </w:p>
              </w:tc>
              <w:tc>
                <w:tcPr/>
                <w:p>
                  <w:pPr>
                    <w:pStyle w:val="Compact"/>
                    <w:jc w:val="right"/>
                    <w:jc w:val="center"/>
                  </w:pPr>
                  <w:r>
                    <w:t xml:space="preserve">9.9</w:t>
                  </w:r>
                </w:p>
              </w:tc>
              <w:tc>
                <w:tcPr/>
                <w:p>
                  <w:pPr>
                    <w:pStyle w:val="Compact"/>
                    <w:jc w:val="right"/>
                    <w:jc w:val="center"/>
                  </w:pPr>
                  <w:r>
                    <w:t xml:space="preserve">35.6</w:t>
                  </w:r>
                </w:p>
              </w:tc>
              <w:tc>
                <w:tcPr/>
                <w:p>
                  <w:pPr>
                    <w:pStyle w:val="Compact"/>
                    <w:jc w:val="right"/>
                    <w:jc w:val="center"/>
                  </w:pPr>
                  <w:r>
                    <w:t xml:space="preserve">29.8–42.5</w:t>
                  </w:r>
                </w:p>
              </w:tc>
            </w:tr>
            <w:tr>
              <w:tc>
                <w:tcPr/>
                <w:p>
                  <w:pPr>
                    <w:pStyle w:val="Compact"/>
                    <w:jc w:val="left"/>
                    <w:jc w:val="center"/>
                  </w:pPr>
                  <w:r>
                    <w:t xml:space="preserve">   Width (mm)</w:t>
                  </w:r>
                </w:p>
              </w:tc>
              <w:tc>
                <w:tcPr/>
                <w:p>
                  <w:pPr>
                    <w:pStyle w:val="Compact"/>
                    <w:jc w:val="right"/>
                    <w:jc w:val="center"/>
                  </w:pPr>
                  <w:r>
                    <w:t xml:space="preserve">27.7</w:t>
                  </w:r>
                </w:p>
              </w:tc>
              <w:tc>
                <w:tcPr/>
                <w:p>
                  <w:pPr>
                    <w:pStyle w:val="Compact"/>
                    <w:jc w:val="right"/>
                    <w:jc w:val="center"/>
                  </w:pPr>
                  <w:r>
                    <w:t xml:space="preserve">7.4</w:t>
                  </w:r>
                </w:p>
              </w:tc>
              <w:tc>
                <w:tcPr/>
                <w:p>
                  <w:pPr>
                    <w:pStyle w:val="Compact"/>
                    <w:jc w:val="right"/>
                    <w:jc w:val="center"/>
                  </w:pPr>
                  <w:r>
                    <w:t xml:space="preserve">26.5</w:t>
                  </w:r>
                </w:p>
              </w:tc>
              <w:tc>
                <w:tcPr/>
                <w:p>
                  <w:pPr>
                    <w:pStyle w:val="Compact"/>
                    <w:jc w:val="right"/>
                    <w:jc w:val="center"/>
                  </w:pPr>
                  <w:r>
                    <w:t xml:space="preserve">22.4–32.8</w:t>
                  </w:r>
                </w:p>
              </w:tc>
            </w:tr>
            <w:tr>
              <w:tc>
                <w:tcPr/>
                <w:p>
                  <w:pPr>
                    <w:pStyle w:val="Compact"/>
                    <w:jc w:val="left"/>
                    <w:jc w:val="center"/>
                  </w:pPr>
                  <w:r>
                    <w:t xml:space="preserve">   Thickness (mm)</w:t>
                  </w:r>
                </w:p>
              </w:tc>
              <w:tc>
                <w:tcPr/>
                <w:p>
                  <w:pPr>
                    <w:pStyle w:val="Compact"/>
                    <w:jc w:val="right"/>
                    <w:jc w:val="center"/>
                  </w:pPr>
                  <w:r>
                    <w:t xml:space="preserve">9.5</w:t>
                  </w:r>
                </w:p>
              </w:tc>
              <w:tc>
                <w:tcPr/>
                <w:p>
                  <w:pPr>
                    <w:pStyle w:val="Compact"/>
                    <w:jc w:val="right"/>
                    <w:jc w:val="center"/>
                  </w:pPr>
                  <w:r>
                    <w:t xml:space="preserve">3.2</w:t>
                  </w:r>
                </w:p>
              </w:tc>
              <w:tc>
                <w:tcPr/>
                <w:p>
                  <w:pPr>
                    <w:pStyle w:val="Compact"/>
                    <w:jc w:val="right"/>
                    <w:jc w:val="center"/>
                  </w:pPr>
                  <w:r>
                    <w:t xml:space="preserve">9.3</w:t>
                  </w:r>
                </w:p>
              </w:tc>
              <w:tc>
                <w:tcPr/>
                <w:p>
                  <w:pPr>
                    <w:pStyle w:val="Compact"/>
                    <w:jc w:val="right"/>
                    <w:jc w:val="center"/>
                  </w:pPr>
                  <w:r>
                    <w:t xml:space="preserve">6.9–10.7</w:t>
                  </w:r>
                </w:p>
              </w:tc>
            </w:tr>
            <w:tr>
              <w:tc>
                <w:tcPr/>
                <w:p>
                  <w:pPr>
                    <w:pStyle w:val="Compact"/>
                    <w:jc w:val="left"/>
                    <w:jc w:val="center"/>
                  </w:pPr>
                  <w:r>
                    <w:t xml:space="preserve">   Mass (g)</w:t>
                  </w:r>
                </w:p>
              </w:tc>
              <w:tc>
                <w:tcPr/>
                <w:p>
                  <w:pPr>
                    <w:pStyle w:val="Compact"/>
                    <w:jc w:val="right"/>
                    <w:jc w:val="center"/>
                  </w:pPr>
                  <w:r>
                    <w:t xml:space="preserve">11.6</w:t>
                  </w:r>
                </w:p>
              </w:tc>
              <w:tc>
                <w:tcPr/>
                <w:p>
                  <w:pPr>
                    <w:pStyle w:val="Compact"/>
                    <w:jc w:val="right"/>
                    <w:jc w:val="center"/>
                  </w:pPr>
                  <w:r>
                    <w:t xml:space="preserve">12.9</w:t>
                  </w:r>
                </w:p>
              </w:tc>
              <w:tc>
                <w:tcPr/>
                <w:p>
                  <w:pPr>
                    <w:pStyle w:val="Compact"/>
                    <w:jc w:val="right"/>
                    <w:jc w:val="center"/>
                  </w:pPr>
                  <w:r>
                    <w:t xml:space="preserve">9.1</w:t>
                  </w:r>
                </w:p>
              </w:tc>
              <w:tc>
                <w:tcPr/>
                <w:p>
                  <w:pPr>
                    <w:pStyle w:val="Compact"/>
                    <w:jc w:val="right"/>
                    <w:jc w:val="center"/>
                  </w:pPr>
                  <w:r>
                    <w:t xml:space="preserve">5.0–12.8</w:t>
                  </w:r>
                </w:p>
              </w:tc>
            </w:tr>
            <w:tr>
              <w:tc>
                <w:tcPr/>
                <w:p>
                  <w:pPr>
                    <w:pStyle w:val="Compact"/>
                    <w:jc w:val="left"/>
                    <w:jc w:val="center"/>
                  </w:pPr>
                  <w:r>
                    <w:t xml:space="preserve">   Platform depth (mm)</w:t>
                  </w:r>
                </w:p>
              </w:tc>
              <w:tc>
                <w:tcPr/>
                <w:p>
                  <w:pPr>
                    <w:pStyle w:val="Compact"/>
                    <w:jc w:val="right"/>
                    <w:jc w:val="center"/>
                  </w:pPr>
                  <w:r>
                    <w:t xml:space="preserve">5.3</w:t>
                  </w:r>
                </w:p>
              </w:tc>
              <w:tc>
                <w:tcPr/>
                <w:p>
                  <w:pPr>
                    <w:pStyle w:val="Compact"/>
                    <w:jc w:val="right"/>
                    <w:jc w:val="center"/>
                  </w:pPr>
                  <w:r>
                    <w:t xml:space="preserve">3.6</w:t>
                  </w:r>
                </w:p>
              </w:tc>
              <w:tc>
                <w:tcPr/>
                <w:p>
                  <w:pPr>
                    <w:pStyle w:val="Compact"/>
                    <w:jc w:val="right"/>
                    <w:jc w:val="center"/>
                  </w:pPr>
                  <w:r>
                    <w:t xml:space="preserve">4.3</w:t>
                  </w:r>
                </w:p>
              </w:tc>
              <w:tc>
                <w:tcPr/>
                <w:p>
                  <w:pPr>
                    <w:pStyle w:val="Compact"/>
                    <w:jc w:val="right"/>
                    <w:jc w:val="center"/>
                  </w:pPr>
                  <w:r>
                    <w:t xml:space="preserve">3.0–6.4</w:t>
                  </w:r>
                </w:p>
              </w:tc>
            </w:tr>
            <w:tr>
              <w:tc>
                <w:tcPr/>
                <w:p>
                  <w:pPr>
                    <w:pStyle w:val="Compact"/>
                    <w:jc w:val="left"/>
                    <w:jc w:val="center"/>
                  </w:pPr>
                  <w:r>
                    <w:t xml:space="preserve">   Platform width (mm)</w:t>
                  </w:r>
                </w:p>
              </w:tc>
              <w:tc>
                <w:tcPr/>
                <w:p>
                  <w:pPr>
                    <w:pStyle w:val="Compact"/>
                    <w:jc w:val="right"/>
                    <w:jc w:val="center"/>
                  </w:pPr>
                  <w:r>
                    <w:t xml:space="preserve">16.2</w:t>
                  </w:r>
                </w:p>
              </w:tc>
              <w:tc>
                <w:tcPr/>
                <w:p>
                  <w:pPr>
                    <w:pStyle w:val="Compact"/>
                    <w:jc w:val="right"/>
                    <w:jc w:val="center"/>
                  </w:pPr>
                  <w:r>
                    <w:t xml:space="preserve">10.9</w:t>
                  </w:r>
                </w:p>
              </w:tc>
              <w:tc>
                <w:tcPr/>
                <w:p>
                  <w:pPr>
                    <w:pStyle w:val="Compact"/>
                    <w:jc w:val="right"/>
                    <w:jc w:val="center"/>
                  </w:pPr>
                  <w:r>
                    <w:t xml:space="preserve">14.0</w:t>
                  </w:r>
                </w:p>
              </w:tc>
              <w:tc>
                <w:tcPr/>
                <w:p>
                  <w:pPr>
                    <w:pStyle w:val="Compact"/>
                    <w:jc w:val="right"/>
                    <w:jc w:val="center"/>
                  </w:pPr>
                  <w:r>
                    <w:t xml:space="preserve">7.6–19.5</w:t>
                  </w:r>
                </w:p>
              </w:tc>
            </w:tr>
            <w:tr>
              <w:tc>
                <w:tcPr/>
                <w:p>
                  <w:pPr>
                    <w:pStyle w:val="Compact"/>
                    <w:jc w:val="left"/>
                    <w:jc w:val="center"/>
                  </w:pPr>
                  <w:r>
                    <w:t xml:space="preserve">   IPA (°)</w:t>
                  </w:r>
                </w:p>
              </w:tc>
              <w:tc>
                <w:tcPr/>
                <w:p>
                  <w:pPr>
                    <w:pStyle w:val="Compact"/>
                    <w:jc w:val="right"/>
                    <w:jc w:val="center"/>
                  </w:pPr>
                  <w:r>
                    <w:t xml:space="preserve">117.9</w:t>
                  </w:r>
                </w:p>
              </w:tc>
              <w:tc>
                <w:tcPr/>
                <w:p>
                  <w:pPr>
                    <w:pStyle w:val="Compact"/>
                    <w:jc w:val="right"/>
                    <w:jc w:val="center"/>
                  </w:pPr>
                  <w:r>
                    <w:t xml:space="preserve">6.3</w:t>
                  </w:r>
                </w:p>
              </w:tc>
              <w:tc>
                <w:tcPr/>
                <w:p>
                  <w:pPr>
                    <w:pStyle w:val="Compact"/>
                    <w:jc w:val="right"/>
                    <w:jc w:val="center"/>
                  </w:pPr>
                  <w:r>
                    <w:t xml:space="preserve">118.0</w:t>
                  </w:r>
                </w:p>
              </w:tc>
              <w:tc>
                <w:tcPr/>
                <w:p>
                  <w:pPr>
                    <w:pStyle w:val="Compact"/>
                    <w:jc w:val="right"/>
                    <w:jc w:val="center"/>
                  </w:pPr>
                  <w:r>
                    <w:t xml:space="preserve">113.8–122.0</w:t>
                  </w:r>
                </w:p>
              </w:tc>
            </w:tr>
            <w:tr>
              <w:tc>
                <w:tcPr/>
                <w:p>
                  <w:pPr>
                    <w:pStyle w:val="Compact"/>
                    <w:jc w:val="left"/>
                    <w:jc w:val="center"/>
                  </w:pPr>
                  <w:r>
                    <w:t xml:space="preserve">   EPA (°)</w:t>
                  </w:r>
                </w:p>
              </w:tc>
              <w:tc>
                <w:tcPr/>
                <w:p>
                  <w:pPr>
                    <w:pStyle w:val="Compact"/>
                    <w:jc w:val="right"/>
                    <w:jc w:val="center"/>
                  </w:pPr>
                  <w:r>
                    <w:t xml:space="preserve">72.8</w:t>
                  </w:r>
                </w:p>
              </w:tc>
              <w:tc>
                <w:tcPr/>
                <w:p>
                  <w:pPr>
                    <w:pStyle w:val="Compact"/>
                    <w:jc w:val="right"/>
                    <w:jc w:val="center"/>
                  </w:pPr>
                  <w:r>
                    <w:t xml:space="preserve">9.5</w:t>
                  </w:r>
                </w:p>
              </w:tc>
              <w:tc>
                <w:tcPr/>
                <w:p>
                  <w:pPr>
                    <w:pStyle w:val="Compact"/>
                    <w:jc w:val="right"/>
                    <w:jc w:val="center"/>
                  </w:pPr>
                  <w:r>
                    <w:t xml:space="preserve">73.0</w:t>
                  </w:r>
                </w:p>
              </w:tc>
              <w:tc>
                <w:tcPr/>
                <w:p>
                  <w:pPr>
                    <w:pStyle w:val="Compact"/>
                    <w:jc w:val="right"/>
                    <w:jc w:val="center"/>
                  </w:pPr>
                  <w:r>
                    <w:t xml:space="preserve">65.0–79.2</w:t>
                  </w:r>
                </w:p>
              </w:tc>
            </w:tr>
          </w:tbl>
          <w:bookmarkEnd w:id="14"/>
          <w:p/>
        </w:tc>
      </w:tr>
    </w:tbl>
    <w:p>
      <w:r>
        <w:br w:type="page"/>
      </w:r>
    </w:p>
    <w:tbl>
      <w:tblPr>
        <w:tblStyle w:val="Table"/>
        <w:tblW w:type="pct" w:w="5000"/>
        <w:tblLayout w:type="fixed"/>
        <w:tblLook w:firstRow="0" w:lastRow="0" w:firstColumn="0" w:lastColumn="0" w:noHBand="0" w:noVBand="0" w:val="0000"/>
      </w:tblPr>
      <w:tblGrid>
        <w:gridCol w:w="7920"/>
      </w:tblGrid>
      <w:tr>
        <w:tc>
          <w:tcPr/>
          <w:bookmarkStart w:id="18" w:name="fig-categorical-attributes"/>
          <w:p>
            <w:pPr>
              <w:pStyle w:val="Compact"/>
              <w:jc w:val="center"/>
            </w:pPr>
            <w:r>
              <w:drawing>
                <wp:inline>
                  <wp:extent cx="5403966" cy="4488040"/>
                  <wp:effectExtent b="0" l="0" r="0" t="0"/>
                  <wp:docPr descr="" title="" id="16" name="Picture"/>
                  <a:graphic>
                    <a:graphicData uri="http://schemas.openxmlformats.org/drawingml/2006/picture">
                      <pic:pic>
                        <pic:nvPicPr>
                          <pic:cNvPr descr="supplementary_files/figure-docx/fig-categorical-attributes-1.png" id="17" name="Picture"/>
                          <pic:cNvPicPr>
                            <a:picLocks noChangeArrowheads="1" noChangeAspect="1"/>
                          </pic:cNvPicPr>
                        </pic:nvPicPr>
                        <pic:blipFill>
                          <a:blip r:embed="rId15"/>
                          <a:stretch>
                            <a:fillRect/>
                          </a:stretch>
                        </pic:blipFill>
                        <pic:spPr bwMode="auto">
                          <a:xfrm>
                            <a:off x="0" y="0"/>
                            <a:ext cx="5403966" cy="4488040"/>
                          </a:xfrm>
                          <a:prstGeom prst="rect">
                            <a:avLst/>
                          </a:prstGeom>
                          <a:noFill/>
                          <a:ln w="9525">
                            <a:noFill/>
                            <a:headEnd/>
                            <a:tailEnd/>
                          </a:ln>
                        </pic:spPr>
                      </pic:pic>
                    </a:graphicData>
                  </a:graphic>
                </wp:inline>
              </w:drawing>
            </w:r>
          </w:p>
          <w:p>
            <w:pPr>
              <w:jc w:val="center"/>
            </w:pPr>
            <w:pPr>
              <w:jc w:val="left"/>
              <w:spacing w:before="200"/>
              <w:pStyle w:val="ImageCaption"/>
            </w:pPr>
            <w:r>
              <w:t xml:space="preserve">Fig. S2: Categorical attributes of the surface Quina scrapers: proportion of the dorsal face covered by cortex, position of that cortex, platform type, and the direction from which retouch was struck. Bars run to the percentage of the specimens recorded for that attribute, and the count and percentage are given at the end of each bar.</w:t>
            </w:r>
          </w:p>
          <w:bookmarkEnd w:id="18"/>
        </w:tc>
      </w:tr>
    </w:tbl>
    <w:p>
      <w:r>
        <w:br w:type="page"/>
      </w:r>
    </w:p>
    <w:bookmarkEnd w:id="19"/>
    <w:bookmarkStart w:id="33" w:name="technological-consistency"/>
    <w:p>
      <w:pPr>
        <w:pStyle w:val="Heading1"/>
      </w:pPr>
      <w:r>
        <w:t xml:space="preserve">Technological consistency</w:t>
      </w:r>
    </w:p>
    <w:p>
      <w:pPr>
        <w:pStyle w:val="FirstParagraph"/>
      </w:pPr>
      <w:r>
        <w:t xml:space="preserve">This section compares the surface Quina scrapers with the excavated Quina scrapers from Longtan, against the Longtan non-Quina scrapers as a control.</w:t>
      </w:r>
      <w:r>
        <w:t xml:space="preserve"> </w:t>
      </w:r>
      <w:hyperlink w:anchor="fig-qq">
        <w:r>
          <w:rPr>
            <w:rStyle w:val="Hyperlink"/>
          </w:rPr>
          <w:t xml:space="preserve">Fig. S3</w:t>
        </w:r>
      </w:hyperlink>
      <w:r>
        <w:t xml:space="preserve"> </w:t>
      </w:r>
      <w:r>
        <w:t xml:space="preserve">shows the distribution of each of the six technological variables within each group, the check that stands behind the choice of test.</w:t>
      </w:r>
      <w:r>
        <w:t xml:space="preserve"> </w:t>
      </w:r>
      <w:hyperlink w:anchor="tbl-tc-permanova">
        <w:r>
          <w:rPr>
            <w:rStyle w:val="Hyperlink"/>
          </w:rPr>
          <w:t xml:space="preserve">Table S2</w:t>
        </w:r>
      </w:hyperlink>
      <w:r>
        <w:t xml:space="preserve"> </w:t>
      </w:r>
      <w:r>
        <w:t xml:space="preserve">to</w:t>
      </w:r>
      <w:r>
        <w:t xml:space="preserve"> </w:t>
      </w:r>
      <w:hyperlink w:anchor="tbl-tc-pca">
        <w:r>
          <w:rPr>
            <w:rStyle w:val="Hyperlink"/>
          </w:rPr>
          <w:t xml:space="preserve">Table S5</w:t>
        </w:r>
      </w:hyperlink>
      <w:r>
        <w:t xml:space="preserve"> </w:t>
      </w:r>
      <w:r>
        <w:t xml:space="preserve">give the full output of the comparison: the pairwise tests of group position and of group spread, the variable-by-variable tests, and the loadings of the ordination.</w:t>
      </w:r>
      <w:r>
        <w:t xml:space="preserve"> </w:t>
      </w:r>
      <w:hyperlink w:anchor="tbl-tc-sensitivity">
        <w:r>
          <w:rPr>
            <w:rStyle w:val="Hyperlink"/>
          </w:rPr>
          <w:t xml:space="preserve">Table S6</w:t>
        </w:r>
      </w:hyperlink>
      <w:r>
        <w:t xml:space="preserve"> </w:t>
      </w:r>
      <w:r>
        <w:t xml:space="preserve">and</w:t>
      </w:r>
      <w:r>
        <w:t xml:space="preserve"> </w:t>
      </w:r>
      <w:hyperlink w:anchor="fig-sensitivity-pca">
        <w:r>
          <w:rPr>
            <w:rStyle w:val="Hyperlink"/>
          </w:rPr>
          <w:t xml:space="preserve">Fig. S4</w:t>
        </w:r>
      </w:hyperlink>
      <w:r>
        <w:t xml:space="preserve"> </w:t>
      </w:r>
      <w:r>
        <w:t xml:space="preserve">then repeat the analysis with the surface specimens collected from within the area of the Longtan site removed.</w:t>
      </w:r>
    </w:p>
    <w:p>
      <w:r>
        <w:br w:type="page"/>
      </w:r>
    </w:p>
    <w:tbl>
      <w:tblPr>
        <w:tblStyle w:val="Table"/>
        <w:tblW w:type="pct" w:w="5000"/>
        <w:tblLayout w:type="fixed"/>
        <w:tblLook w:firstRow="0" w:lastRow="0" w:firstColumn="0" w:lastColumn="0" w:noHBand="0" w:noVBand="0" w:val="0000"/>
      </w:tblPr>
      <w:tblGrid>
        <w:gridCol w:w="7920"/>
      </w:tblGrid>
      <w:tr>
        <w:tc>
          <w:tcPr/>
          <w:bookmarkStart w:id="23" w:name="fig-qq"/>
          <w:p>
            <w:pPr>
              <w:pStyle w:val="Compact"/>
              <w:jc w:val="center"/>
            </w:pPr>
            <w:r>
              <w:drawing>
                <wp:inline>
                  <wp:extent cx="5403966" cy="7693782"/>
                  <wp:effectExtent b="0" l="0" r="0" t="0"/>
                  <wp:docPr descr="" title="" id="21" name="Picture"/>
                  <a:graphic>
                    <a:graphicData uri="http://schemas.openxmlformats.org/drawingml/2006/picture">
                      <pic:pic>
                        <pic:nvPicPr>
                          <pic:cNvPr descr="supplementary_files/figure-docx/fig-qq-1.png" id="22" name="Picture"/>
                          <pic:cNvPicPr>
                            <a:picLocks noChangeArrowheads="1" noChangeAspect="1"/>
                          </pic:cNvPicPr>
                        </pic:nvPicPr>
                        <pic:blipFill>
                          <a:blip r:embed="rId20"/>
                          <a:stretch>
                            <a:fillRect/>
                          </a:stretch>
                        </pic:blipFill>
                        <pic:spPr bwMode="auto">
                          <a:xfrm>
                            <a:off x="0" y="0"/>
                            <a:ext cx="5403966" cy="7693782"/>
                          </a:xfrm>
                          <a:prstGeom prst="rect">
                            <a:avLst/>
                          </a:prstGeom>
                          <a:noFill/>
                          <a:ln w="9525">
                            <a:noFill/>
                            <a:headEnd/>
                            <a:tailEnd/>
                          </a:ln>
                        </pic:spPr>
                      </pic:pic>
                    </a:graphicData>
                  </a:graphic>
                </wp:inline>
              </w:drawing>
            </w:r>
          </w:p>
          <w:p>
            <w:pPr>
              <w:jc w:val="center"/>
            </w:pPr>
            <w:pPr>
              <w:jc w:val="left"/>
              <w:spacing w:before="200"/>
              <w:pStyle w:val="ImageCaption"/>
            </w:pPr>
            <w:r>
              <w:t xml:space="preserve">Fig. S3: Normal quantile–quantile plots of the six technological variables. In every panel the horizontal axis is the theoretical normal quantile and the vertical axis the sample quantile, and the dashed line passes through the first and third sample quartiles. Inset at the upper left of each panel is a histogram of the same values, plotted in its own right but with its axes suppressed, to give the shape of the distribution alongside its departure from normality.</w:t>
            </w:r>
          </w:p>
          <w:bookmarkEnd w:id="23"/>
        </w:tc>
      </w:tr>
    </w:tbl>
    <w:p>
      <w:r>
        <w:br w:type="page"/>
      </w:r>
    </w:p>
    <w:tbl>
      <w:tblPr>
        <w:tblStyle w:val="Table"/>
        <w:tblW w:type="pct" w:w="5000"/>
        <w:tblLayout w:type="fixed"/>
        <w:tblLook w:firstRow="0" w:lastRow="0" w:firstColumn="0" w:lastColumn="0" w:noHBand="0" w:noVBand="0" w:val="0000"/>
      </w:tblPr>
      <w:tblGrid>
        <w:gridCol w:w="7920"/>
      </w:tblGrid>
      <w:tr>
        <w:tc>
          <w:tcPr/>
          <w:bookmarkStart w:id="24" w:name="tbl-tc-permanova"/>
          <w:p>
            <w:pPr>
              <w:jc w:val="center"/>
            </w:pPr>
            <w:pPr>
              <w:jc w:val="left"/>
              <w:spacing w:before="200"/>
              <w:pStyle w:val="ImageCaption"/>
            </w:pPr>
            <w:r>
              <w:t xml:space="preserve">Table S2: Pairwise PERMANOVA on the z-scored six-variable technological space, Euclidean distances, 9,999 permutations. Degrees of freedom are given as model, residual. Adjusted</w:t>
            </w:r>
            <w:r>
              <w:t xml:space="preserve"> </w:t>
            </w:r>
            <w:r>
              <w:rPr>
                <w:i/>
                <w:iCs/>
              </w:rPr>
              <w:t xml:space="preserve">p</w:t>
            </w:r>
            <w:r>
              <w:t xml:space="preserve"> </w:t>
            </w:r>
            <w:r>
              <w:t xml:space="preserve">is the Bonferroni adjustment across the three comparisons.</w:t>
            </w:r>
          </w:p>
          <w:tbl>
            <w:tblPr>
              <w:tblStyle w:val="Table"/>
              <w:tblW w:type="pct" w:w="5000"/>
              <w:tblLayout w:type="fixed"/>
              <w:tblLook w:firstRow="1" w:lastRow="0" w:firstColumn="0" w:lastColumn="0" w:noHBand="0" w:noVBand="0" w:val="0020"/>
            </w:tblPr>
            <w:tblGrid>
              <w:gridCol w:w="2917"/>
              <w:gridCol w:w="666"/>
              <w:gridCol w:w="583"/>
              <w:gridCol w:w="583"/>
              <w:gridCol w:w="500"/>
              <w:gridCol w:w="917"/>
              <w:gridCol w:w="666"/>
              <w:gridCol w:w="1083"/>
            </w:tblGrid>
            <w:tr>
              <w:trPr>
                <w:tblHeader w:val="on"/>
              </w:trPr>
              <w:tc>
                <w:tcPr/>
                <w:p>
                  <w:pPr>
                    <w:pStyle w:val="Compact"/>
                    <w:jc w:val="left"/>
                    <w:jc w:val="center"/>
                  </w:pPr>
                  <w:r>
                    <w:t xml:space="preserve">Comparison</w:t>
                  </w:r>
                </w:p>
              </w:tc>
              <w:tc>
                <w:tcPr/>
                <w:p>
                  <w:pPr>
                    <w:pStyle w:val="Compact"/>
                    <w:jc w:val="right"/>
                    <w:jc w:val="center"/>
                  </w:pPr>
                  <w:r>
                    <w:rPr>
                      <w:i/>
                      <w:iCs/>
                    </w:rPr>
                    <w:t xml:space="preserve">n</w:t>
                  </w:r>
                </w:p>
              </w:tc>
              <w:tc>
                <w:tcPr/>
                <w:p>
                  <w:pPr>
                    <w:pStyle w:val="Compact"/>
                    <w:jc w:val="right"/>
                    <w:jc w:val="center"/>
                  </w:pPr>
                  <w:r>
                    <w:rPr>
                      <w:i/>
                      <w:iCs/>
                    </w:rPr>
                    <w:t xml:space="preserve">df</w:t>
                  </w:r>
                </w:p>
              </w:tc>
              <w:tc>
                <w:tcPr/>
                <w:p>
                  <w:pPr>
                    <w:pStyle w:val="Compact"/>
                    <w:jc w:val="right"/>
                    <w:jc w:val="center"/>
                  </w:pPr>
                  <w:r>
                    <w:t xml:space="preserve">SS</w:t>
                  </w:r>
                </w:p>
              </w:tc>
              <w:tc>
                <w:tcPr/>
                <w:p>
                  <w:pPr>
                    <w:pStyle w:val="Compact"/>
                    <w:jc w:val="right"/>
                    <w:jc w:val="center"/>
                  </w:pPr>
                  <w:r>
                    <w:rPr>
                      <w:i/>
                      <w:iCs/>
                    </w:rPr>
                    <w:t xml:space="preserve">R</w:t>
                  </w:r>
                  <w:r>
                    <w:t xml:space="preserve">²</w:t>
                  </w:r>
                </w:p>
              </w:tc>
              <w:tc>
                <w:tcPr/>
                <w:p>
                  <w:pPr>
                    <w:pStyle w:val="Compact"/>
                    <w:jc w:val="right"/>
                    <w:jc w:val="center"/>
                  </w:pPr>
                  <w:r>
                    <w:t xml:space="preserve">pseudo-</w:t>
                  </w:r>
                  <w:r>
                    <w:rPr>
                      <w:i/>
                      <w:iCs/>
                    </w:rPr>
                    <w:t xml:space="preserve">F</w:t>
                  </w:r>
                </w:p>
              </w:tc>
              <w:tc>
                <w:tcPr/>
                <w:p>
                  <w:pPr>
                    <w:pStyle w:val="Compact"/>
                    <w:jc w:val="right"/>
                    <w:jc w:val="center"/>
                  </w:pPr>
                  <w:r>
                    <w:rPr>
                      <w:i/>
                      <w:iCs/>
                    </w:rPr>
                    <w:t xml:space="preserve">p</w:t>
                  </w:r>
                </w:p>
              </w:tc>
              <w:tc>
                <w:tcPr/>
                <w:p>
                  <w:pPr>
                    <w:pStyle w:val="Compact"/>
                    <w:jc w:val="right"/>
                    <w:jc w:val="center"/>
                  </w:pPr>
                  <w:r>
                    <w:t xml:space="preserve">Adjusted</w:t>
                  </w:r>
                  <w:r>
                    <w:t xml:space="preserve"> </w:t>
                  </w:r>
                  <w:r>
                    <w:rPr>
                      <w:i/>
                      <w:iCs/>
                    </w:rPr>
                    <w:t xml:space="preserve">p</w:t>
                  </w:r>
                </w:p>
              </w:tc>
            </w:tr>
            <w:tr>
              <w:tc>
                <w:tcPr/>
                <w:p>
                  <w:pPr>
                    <w:pStyle w:val="Compact"/>
                    <w:jc w:val="left"/>
                    <w:jc w:val="center"/>
                  </w:pPr>
                  <w:r>
                    <w:t xml:space="preserve">Surface Quina vs Longtan Quina</w:t>
                  </w:r>
                </w:p>
              </w:tc>
              <w:tc>
                <w:tcPr/>
                <w:p>
                  <w:pPr>
                    <w:pStyle w:val="Compact"/>
                    <w:jc w:val="right"/>
                    <w:jc w:val="center"/>
                  </w:pPr>
                  <w:r>
                    <w:t xml:space="preserve">165, 53</w:t>
                  </w:r>
                </w:p>
              </w:tc>
              <w:tc>
                <w:tcPr/>
                <w:p>
                  <w:pPr>
                    <w:pStyle w:val="Compact"/>
                    <w:jc w:val="right"/>
                    <w:jc w:val="center"/>
                  </w:pPr>
                  <w:r>
                    <w:t xml:space="preserve">1, 216</w:t>
                  </w:r>
                </w:p>
              </w:tc>
              <w:tc>
                <w:tcPr/>
                <w:p>
                  <w:pPr>
                    <w:pStyle w:val="Compact"/>
                    <w:jc w:val="right"/>
                    <w:jc w:val="center"/>
                  </w:pPr>
                  <w:r>
                    <w:t xml:space="preserve">4.07</w:t>
                  </w:r>
                </w:p>
              </w:tc>
              <w:tc>
                <w:tcPr/>
                <w:p>
                  <w:pPr>
                    <w:pStyle w:val="Compact"/>
                    <w:jc w:val="right"/>
                    <w:jc w:val="center"/>
                  </w:pPr>
                  <w:r>
                    <w:t xml:space="preserve">0.004</w:t>
                  </w:r>
                </w:p>
              </w:tc>
              <w:tc>
                <w:tcPr/>
                <w:p>
                  <w:pPr>
                    <w:pStyle w:val="Compact"/>
                    <w:jc w:val="right"/>
                    <w:jc w:val="center"/>
                  </w:pPr>
                  <w:r>
                    <w:t xml:space="preserve">0.81</w:t>
                  </w:r>
                </w:p>
              </w:tc>
              <w:tc>
                <w:tcPr/>
                <w:p>
                  <w:pPr>
                    <w:pStyle w:val="Compact"/>
                    <w:jc w:val="right"/>
                    <w:jc w:val="center"/>
                  </w:pPr>
                  <w:r>
                    <w:t xml:space="preserve">0.493</w:t>
                  </w:r>
                </w:p>
              </w:tc>
              <w:tc>
                <w:tcPr/>
                <w:p>
                  <w:pPr>
                    <w:pStyle w:val="Compact"/>
                    <w:jc w:val="right"/>
                    <w:jc w:val="center"/>
                  </w:pPr>
                  <w:r>
                    <w:t xml:space="preserve">1.000</w:t>
                  </w:r>
                </w:p>
              </w:tc>
            </w:tr>
            <w:tr>
              <w:tc>
                <w:tcPr/>
                <w:p>
                  <w:pPr>
                    <w:pStyle w:val="Compact"/>
                    <w:jc w:val="left"/>
                    <w:jc w:val="center"/>
                  </w:pPr>
                  <w:r>
                    <w:t xml:space="preserve">Surface Quina vs Longtan non-Quina</w:t>
                  </w:r>
                </w:p>
              </w:tc>
              <w:tc>
                <w:tcPr/>
                <w:p>
                  <w:pPr>
                    <w:pStyle w:val="Compact"/>
                    <w:jc w:val="right"/>
                    <w:jc w:val="center"/>
                  </w:pPr>
                  <w:r>
                    <w:t xml:space="preserve">165, 79</w:t>
                  </w:r>
                </w:p>
              </w:tc>
              <w:tc>
                <w:tcPr/>
                <w:p>
                  <w:pPr>
                    <w:pStyle w:val="Compact"/>
                    <w:jc w:val="right"/>
                    <w:jc w:val="center"/>
                  </w:pPr>
                  <w:r>
                    <w:t xml:space="preserve">1, 242</w:t>
                  </w:r>
                </w:p>
              </w:tc>
              <w:tc>
                <w:tcPr/>
                <w:p>
                  <w:pPr>
                    <w:pStyle w:val="Compact"/>
                    <w:jc w:val="right"/>
                    <w:jc w:val="center"/>
                  </w:pPr>
                  <w:r>
                    <w:t xml:space="preserve">428.21</w:t>
                  </w:r>
                </w:p>
              </w:tc>
              <w:tc>
                <w:tcPr/>
                <w:p>
                  <w:pPr>
                    <w:pStyle w:val="Compact"/>
                    <w:jc w:val="right"/>
                    <w:jc w:val="center"/>
                  </w:pPr>
                  <w:r>
                    <w:t xml:space="preserve">0.287</w:t>
                  </w:r>
                </w:p>
              </w:tc>
              <w:tc>
                <w:tcPr/>
                <w:p>
                  <w:pPr>
                    <w:pStyle w:val="Compact"/>
                    <w:jc w:val="right"/>
                    <w:jc w:val="center"/>
                  </w:pPr>
                  <w:r>
                    <w:t xml:space="preserve">97.51</w:t>
                  </w:r>
                </w:p>
              </w:tc>
              <w:tc>
                <w:tcPr/>
                <w:p>
                  <w:pPr>
                    <w:pStyle w:val="Compact"/>
                    <w:jc w:val="right"/>
                    <w:jc w:val="center"/>
                  </w:pPr>
                  <w:r>
                    <w:t xml:space="preserve">&lt; 0.001</w:t>
                  </w:r>
                </w:p>
              </w:tc>
              <w:tc>
                <w:tcPr/>
                <w:p>
                  <w:pPr>
                    <w:pStyle w:val="Compact"/>
                    <w:jc w:val="right"/>
                    <w:jc w:val="center"/>
                  </w:pPr>
                  <w:r>
                    <w:t xml:space="preserve">&lt; 0.001</w:t>
                  </w:r>
                </w:p>
              </w:tc>
            </w:tr>
            <w:tr>
              <w:tc>
                <w:tcPr/>
                <w:p>
                  <w:pPr>
                    <w:pStyle w:val="Compact"/>
                    <w:jc w:val="left"/>
                    <w:jc w:val="center"/>
                  </w:pPr>
                  <w:r>
                    <w:t xml:space="preserve">Longtan Quina vs Longtan non-Quina</w:t>
                  </w:r>
                </w:p>
              </w:tc>
              <w:tc>
                <w:tcPr/>
                <w:p>
                  <w:pPr>
                    <w:pStyle w:val="Compact"/>
                    <w:jc w:val="right"/>
                    <w:jc w:val="center"/>
                  </w:pPr>
                  <w:r>
                    <w:t xml:space="preserve">53, 79</w:t>
                  </w:r>
                </w:p>
              </w:tc>
              <w:tc>
                <w:tcPr/>
                <w:p>
                  <w:pPr>
                    <w:pStyle w:val="Compact"/>
                    <w:jc w:val="right"/>
                    <w:jc w:val="center"/>
                  </w:pPr>
                  <w:r>
                    <w:t xml:space="preserve">1, 130</w:t>
                  </w:r>
                </w:p>
              </w:tc>
              <w:tc>
                <w:tcPr/>
                <w:p>
                  <w:pPr>
                    <w:pStyle w:val="Compact"/>
                    <w:jc w:val="right"/>
                    <w:jc w:val="center"/>
                  </w:pPr>
                  <w:r>
                    <w:t xml:space="preserve">259.57</w:t>
                  </w:r>
                </w:p>
              </w:tc>
              <w:tc>
                <w:tcPr/>
                <w:p>
                  <w:pPr>
                    <w:pStyle w:val="Compact"/>
                    <w:jc w:val="right"/>
                    <w:jc w:val="center"/>
                  </w:pPr>
                  <w:r>
                    <w:t xml:space="preserve">0.362</w:t>
                  </w:r>
                </w:p>
              </w:tc>
              <w:tc>
                <w:tcPr/>
                <w:p>
                  <w:pPr>
                    <w:pStyle w:val="Compact"/>
                    <w:jc w:val="right"/>
                    <w:jc w:val="center"/>
                  </w:pPr>
                  <w:r>
                    <w:t xml:space="preserve">73.67</w:t>
                  </w:r>
                </w:p>
              </w:tc>
              <w:tc>
                <w:tcPr/>
                <w:p>
                  <w:pPr>
                    <w:pStyle w:val="Compact"/>
                    <w:jc w:val="right"/>
                    <w:jc w:val="center"/>
                  </w:pPr>
                  <w:r>
                    <w:t xml:space="preserve">&lt; 0.001</w:t>
                  </w:r>
                </w:p>
              </w:tc>
              <w:tc>
                <w:tcPr/>
                <w:p>
                  <w:pPr>
                    <w:pStyle w:val="Compact"/>
                    <w:jc w:val="right"/>
                    <w:jc w:val="center"/>
                  </w:pPr>
                  <w:r>
                    <w:t xml:space="preserve">&lt; 0.001</w:t>
                  </w:r>
                </w:p>
              </w:tc>
            </w:tr>
          </w:tbl>
          <w:bookmarkEnd w:id="24"/>
          <w:p/>
        </w:tc>
      </w:tr>
    </w:tbl>
    <w:p>
      <w:r>
        <w:br w:type="page"/>
      </w:r>
    </w:p>
    <w:tbl>
      <w:tblPr>
        <w:tblStyle w:val="Table"/>
        <w:tblW w:type="pct" w:w="5000"/>
        <w:tblLayout w:type="fixed"/>
        <w:tblLook w:firstRow="0" w:lastRow="0" w:firstColumn="0" w:lastColumn="0" w:noHBand="0" w:noVBand="0" w:val="0000"/>
      </w:tblPr>
      <w:tblGrid>
        <w:gridCol w:w="7920"/>
      </w:tblGrid>
      <w:tr>
        <w:tc>
          <w:tcPr/>
          <w:bookmarkStart w:id="25" w:name="tbl-tc-permdisp"/>
          <w:p>
            <w:pPr>
              <w:jc w:val="center"/>
            </w:pPr>
            <w:pPr>
              <w:jc w:val="left"/>
              <w:spacing w:before="200"/>
              <w:pStyle w:val="ImageCaption"/>
            </w:pPr>
            <w:r>
              <w:t xml:space="preserve">Table S3: PERMDISP on the same technological space. The upper panel gives the mean distance of each group to its own centroid, the quantity the test compares; distance is measured in the z-scored space, so its units are standard deviations. The lower panel gives the pairwise tests, each fitted to its pair in turn, with the</w:t>
            </w:r>
            <w:r>
              <w:t xml:space="preserve"> </w:t>
            </w:r>
            <w:r>
              <w:rPr>
                <w:i/>
                <w:iCs/>
              </w:rPr>
              <w:t xml:space="preserve">p</w:t>
            </w:r>
            <w:r>
              <w:t xml:space="preserve">-value from the permutation of the full three-group model alongside for comparison.</w:t>
            </w:r>
          </w:p>
          <w:tbl>
            <w:tblPr>
              <w:tblStyle w:val="Table"/>
              <w:tblW w:type="pct" w:w="5000"/>
              <w:tblLayout w:type="fixed"/>
              <w:tblLook w:firstRow="1" w:lastRow="0" w:firstColumn="0" w:lastColumn="0" w:noHBand="0" w:noVBand="0" w:val="0020"/>
            </w:tblPr>
            <w:tblGrid>
              <w:gridCol w:w="3344"/>
              <w:gridCol w:w="704"/>
              <w:gridCol w:w="1056"/>
              <w:gridCol w:w="792"/>
              <w:gridCol w:w="792"/>
              <w:gridCol w:w="1232"/>
            </w:tblGrid>
            <w:tr>
              <w:trPr>
                <w:tblHeader w:val="on"/>
              </w:trPr>
              <w:tc>
                <w:tcPr/>
                <w:p>
                  <w:pPr>
                    <w:pStyle w:val="Compact"/>
                  </w:pPr>
                </w:p>
              </w:tc>
              <w:tc>
                <w:tcPr/>
                <w:p>
                  <w:pPr>
                    <w:pStyle w:val="Compact"/>
                    <w:jc w:val="right"/>
                    <w:jc w:val="center"/>
                  </w:pPr>
                  <w:r>
                    <w:rPr>
                      <w:i/>
                      <w:iCs/>
                    </w:rPr>
                    <w:t xml:space="preserve">n</w:t>
                  </w:r>
                </w:p>
              </w:tc>
              <w:tc>
                <w:tcPr/>
                <w:p>
                  <w:pPr>
                    <w:pStyle w:val="Compact"/>
                    <w:jc w:val="right"/>
                    <w:jc w:val="center"/>
                  </w:pPr>
                  <w:r>
                    <w:t xml:space="preserve">Mean /</w:t>
                  </w:r>
                  <w:r>
                    <w:t xml:space="preserve"> </w:t>
                  </w:r>
                  <w:r>
                    <w:rPr>
                      <w:i/>
                      <w:iCs/>
                    </w:rPr>
                    <w:t xml:space="preserve">df</w:t>
                  </w:r>
                </w:p>
              </w:tc>
              <w:tc>
                <w:tcPr/>
                <w:p>
                  <w:pPr>
                    <w:pStyle w:val="Compact"/>
                    <w:jc w:val="right"/>
                    <w:jc w:val="center"/>
                  </w:pPr>
                  <w:r>
                    <w:t xml:space="preserve">SD /</w:t>
                  </w:r>
                  <w:r>
                    <w:t xml:space="preserve"> </w:t>
                  </w:r>
                  <w:r>
                    <w:rPr>
                      <w:i/>
                      <w:iCs/>
                    </w:rPr>
                    <w:t xml:space="preserve">F</w:t>
                  </w:r>
                </w:p>
              </w:tc>
              <w:tc>
                <w:tcPr/>
                <w:p>
                  <w:pPr>
                    <w:pStyle w:val="Compact"/>
                    <w:jc w:val="right"/>
                    <w:jc w:val="center"/>
                  </w:pPr>
                  <w:r>
                    <w:t xml:space="preserve">SE /</w:t>
                  </w:r>
                  <w:r>
                    <w:t xml:space="preserve"> </w:t>
                  </w:r>
                  <w:r>
                    <w:rPr>
                      <w:i/>
                      <w:iCs/>
                    </w:rPr>
                    <w:t xml:space="preserve">p</w:t>
                  </w:r>
                </w:p>
              </w:tc>
              <w:tc>
                <w:tcPr/>
                <w:p>
                  <w:pPr>
                    <w:pStyle w:val="Compact"/>
                    <w:jc w:val="right"/>
                    <w:jc w:val="center"/>
                  </w:pPr>
                  <w:r>
                    <w:rPr>
                      <w:i/>
                      <w:iCs/>
                    </w:rPr>
                    <w:t xml:space="preserve">p</w:t>
                  </w:r>
                  <w:r>
                    <w:t xml:space="preserve"> </w:t>
                  </w:r>
                  <w:r>
                    <w:t xml:space="preserve">(3-group)</w:t>
                  </w:r>
                </w:p>
              </w:tc>
            </w:tr>
            <w:tr>
              <w:tc>
                <w:tcPr/>
                <w:p>
                  <w:pPr>
                    <w:pStyle w:val="Compact"/>
                    <w:jc w:val="left"/>
                    <w:jc w:val="center"/>
                  </w:pPr>
                  <w:r>
                    <w:rPr>
                      <w:b/>
                      <w:bCs/>
                    </w:rPr>
                    <w:t xml:space="preserve">Distance to centroid, by group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Surface Quina</w:t>
                  </w:r>
                </w:p>
              </w:tc>
              <w:tc>
                <w:tcPr/>
                <w:p>
                  <w:pPr>
                    <w:pStyle w:val="Compact"/>
                    <w:jc w:val="right"/>
                    <w:jc w:val="center"/>
                  </w:pPr>
                  <w:r>
                    <w:t xml:space="preserve">165</w:t>
                  </w:r>
                </w:p>
              </w:tc>
              <w:tc>
                <w:tcPr/>
                <w:p>
                  <w:pPr>
                    <w:pStyle w:val="Compact"/>
                    <w:jc w:val="right"/>
                    <w:jc w:val="center"/>
                  </w:pPr>
                  <w:r>
                    <w:t xml:space="preserve">2.100</w:t>
                  </w:r>
                </w:p>
              </w:tc>
              <w:tc>
                <w:tcPr/>
                <w:p>
                  <w:pPr>
                    <w:pStyle w:val="Compact"/>
                    <w:jc w:val="right"/>
                    <w:jc w:val="center"/>
                  </w:pPr>
                  <w:r>
                    <w:t xml:space="preserve">0.877</w:t>
                  </w:r>
                </w:p>
              </w:tc>
              <w:tc>
                <w:tcPr/>
                <w:p>
                  <w:pPr>
                    <w:pStyle w:val="Compact"/>
                    <w:jc w:val="right"/>
                    <w:jc w:val="center"/>
                  </w:pPr>
                  <w:r>
                    <w:t xml:space="preserve">0.068</w:t>
                  </w:r>
                </w:p>
              </w:tc>
              <w:tc>
                <w:tcPr/>
                <w:p>
                  <w:pPr>
                    <w:pStyle w:val="Compact"/>
                  </w:pPr>
                </w:p>
              </w:tc>
            </w:tr>
            <w:tr>
              <w:tc>
                <w:tcPr/>
                <w:p>
                  <w:pPr>
                    <w:pStyle w:val="Compact"/>
                    <w:jc w:val="left"/>
                    <w:jc w:val="center"/>
                  </w:pPr>
                  <w:r>
                    <w:t xml:space="preserve">   Longtan Quina</w:t>
                  </w:r>
                </w:p>
              </w:tc>
              <w:tc>
                <w:tcPr/>
                <w:p>
                  <w:pPr>
                    <w:pStyle w:val="Compact"/>
                    <w:jc w:val="right"/>
                    <w:jc w:val="center"/>
                  </w:pPr>
                  <w:r>
                    <w:t xml:space="preserve">53</w:t>
                  </w:r>
                </w:p>
              </w:tc>
              <w:tc>
                <w:tcPr/>
                <w:p>
                  <w:pPr>
                    <w:pStyle w:val="Compact"/>
                    <w:jc w:val="right"/>
                    <w:jc w:val="center"/>
                  </w:pPr>
                  <w:r>
                    <w:t xml:space="preserve">2.020</w:t>
                  </w:r>
                </w:p>
              </w:tc>
              <w:tc>
                <w:tcPr/>
                <w:p>
                  <w:pPr>
                    <w:pStyle w:val="Compact"/>
                    <w:jc w:val="right"/>
                    <w:jc w:val="center"/>
                  </w:pPr>
                  <w:r>
                    <w:t xml:space="preserve">0.727</w:t>
                  </w:r>
                </w:p>
              </w:tc>
              <w:tc>
                <w:tcPr/>
                <w:p>
                  <w:pPr>
                    <w:pStyle w:val="Compact"/>
                    <w:jc w:val="right"/>
                    <w:jc w:val="center"/>
                  </w:pPr>
                  <w:r>
                    <w:t xml:space="preserve">0.100</w:t>
                  </w:r>
                </w:p>
              </w:tc>
              <w:tc>
                <w:tcPr/>
                <w:p>
                  <w:pPr>
                    <w:pStyle w:val="Compact"/>
                  </w:pPr>
                </w:p>
              </w:tc>
            </w:tr>
            <w:tr>
              <w:tc>
                <w:tcPr/>
                <w:p>
                  <w:pPr>
                    <w:pStyle w:val="Compact"/>
                    <w:jc w:val="left"/>
                    <w:jc w:val="center"/>
                  </w:pPr>
                  <w:r>
                    <w:t xml:space="preserve">   Longtan non-Quina</w:t>
                  </w:r>
                </w:p>
              </w:tc>
              <w:tc>
                <w:tcPr/>
                <w:p>
                  <w:pPr>
                    <w:pStyle w:val="Compact"/>
                    <w:jc w:val="right"/>
                    <w:jc w:val="center"/>
                  </w:pPr>
                  <w:r>
                    <w:t xml:space="preserve">79</w:t>
                  </w:r>
                </w:p>
              </w:tc>
              <w:tc>
                <w:tcPr/>
                <w:p>
                  <w:pPr>
                    <w:pStyle w:val="Compact"/>
                    <w:jc w:val="right"/>
                    <w:jc w:val="center"/>
                  </w:pPr>
                  <w:r>
                    <w:t xml:space="preserve">1.545</w:t>
                  </w:r>
                </w:p>
              </w:tc>
              <w:tc>
                <w:tcPr/>
                <w:p>
                  <w:pPr>
                    <w:pStyle w:val="Compact"/>
                    <w:jc w:val="right"/>
                    <w:jc w:val="center"/>
                  </w:pPr>
                  <w:r>
                    <w:t xml:space="preserve">0.594</w:t>
                  </w:r>
                </w:p>
              </w:tc>
              <w:tc>
                <w:tcPr/>
                <w:p>
                  <w:pPr>
                    <w:pStyle w:val="Compact"/>
                    <w:jc w:val="right"/>
                    <w:jc w:val="center"/>
                  </w:pPr>
                  <w:r>
                    <w:t xml:space="preserve">0.067</w:t>
                  </w:r>
                </w:p>
              </w:tc>
              <w:tc>
                <w:tcPr/>
                <w:p>
                  <w:pPr>
                    <w:pStyle w:val="Compact"/>
                  </w:pPr>
                </w:p>
              </w:tc>
            </w:tr>
            <w:tr>
              <w:tc>
                <w:tcPr/>
                <w:p>
                  <w:pPr>
                    <w:pStyle w:val="Compact"/>
                    <w:jc w:val="left"/>
                    <w:jc w:val="center"/>
                  </w:pPr>
                  <w:r>
                    <w:t xml:space="preserve">   </w:t>
                  </w:r>
                  <w:r>
                    <w:rPr>
                      <w:i/>
                      <w:iCs/>
                    </w:rPr>
                    <w:t xml:space="preserve">Overall test</w:t>
                  </w:r>
                </w:p>
              </w:tc>
              <w:tc>
                <w:tcPr/>
                <w:p>
                  <w:pPr>
                    <w:pStyle w:val="Compact"/>
                  </w:pPr>
                </w:p>
              </w:tc>
              <w:tc>
                <w:tcPr/>
                <w:p>
                  <w:pPr>
                    <w:pStyle w:val="Compact"/>
                    <w:jc w:val="right"/>
                    <w:jc w:val="center"/>
                  </w:pPr>
                  <w:r>
                    <w:t xml:space="preserve">2, 294</w:t>
                  </w:r>
                </w:p>
              </w:tc>
              <w:tc>
                <w:tcPr/>
                <w:p>
                  <w:pPr>
                    <w:pStyle w:val="Compact"/>
                    <w:jc w:val="right"/>
                    <w:jc w:val="center"/>
                  </w:pPr>
                  <w:r>
                    <w:t xml:space="preserve">13.71</w:t>
                  </w:r>
                </w:p>
              </w:tc>
              <w:tc>
                <w:tcPr/>
                <w:p>
                  <w:pPr>
                    <w:pStyle w:val="Compact"/>
                    <w:jc w:val="right"/>
                    <w:jc w:val="center"/>
                  </w:pPr>
                  <w:r>
                    <w:t xml:space="preserve">&lt; 0.001</w:t>
                  </w:r>
                </w:p>
              </w:tc>
              <w:tc>
                <w:tcPr/>
                <w:p>
                  <w:pPr>
                    <w:pStyle w:val="Compact"/>
                  </w:pPr>
                </w:p>
              </w:tc>
            </w:tr>
            <w:tr>
              <w:tc>
                <w:tcPr/>
                <w:p>
                  <w:pPr>
                    <w:pStyle w:val="Compact"/>
                    <w:jc w:val="left"/>
                    <w:jc w:val="center"/>
                  </w:pPr>
                  <w:r>
                    <w:rPr>
                      <w:b/>
                      <w:bCs/>
                    </w:rPr>
                    <w:t xml:space="preserve">Pairwise tests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165, 53</w:t>
                  </w:r>
                </w:p>
              </w:tc>
              <w:tc>
                <w:tcPr/>
                <w:p>
                  <w:pPr>
                    <w:pStyle w:val="Compact"/>
                    <w:jc w:val="right"/>
                    <w:jc w:val="center"/>
                  </w:pPr>
                  <w:r>
                    <w:t xml:space="preserve">1, 216</w:t>
                  </w:r>
                </w:p>
              </w:tc>
              <w:tc>
                <w:tcPr/>
                <w:p>
                  <w:pPr>
                    <w:pStyle w:val="Compact"/>
                    <w:jc w:val="right"/>
                    <w:jc w:val="center"/>
                  </w:pPr>
                  <w:r>
                    <w:t xml:space="preserve">0.35</w:t>
                  </w:r>
                </w:p>
              </w:tc>
              <w:tc>
                <w:tcPr/>
                <w:p>
                  <w:pPr>
                    <w:pStyle w:val="Compact"/>
                    <w:jc w:val="right"/>
                    <w:jc w:val="center"/>
                  </w:pPr>
                  <w:r>
                    <w:t xml:space="preserve">0.558</w:t>
                  </w:r>
                </w:p>
              </w:tc>
              <w:tc>
                <w:tcPr/>
                <w:p>
                  <w:pPr>
                    <w:pStyle w:val="Compact"/>
                    <w:jc w:val="right"/>
                    <w:jc w:val="center"/>
                  </w:pPr>
                  <w:r>
                    <w:t xml:space="preserve">0.552</w:t>
                  </w:r>
                </w:p>
              </w:tc>
            </w:tr>
            <w:tr>
              <w:tc>
                <w:tcPr/>
                <w:p>
                  <w:pPr>
                    <w:pStyle w:val="Compact"/>
                    <w:jc w:val="left"/>
                    <w:jc w:val="center"/>
                  </w:pPr>
                  <w:r>
                    <w:t xml:space="preserve">   Surface Quina vs Longtan non-Quina</w:t>
                  </w:r>
                </w:p>
              </w:tc>
              <w:tc>
                <w:tcPr/>
                <w:p>
                  <w:pPr>
                    <w:pStyle w:val="Compact"/>
                    <w:jc w:val="right"/>
                    <w:jc w:val="center"/>
                  </w:pPr>
                  <w:r>
                    <w:t xml:space="preserve">165, 79</w:t>
                  </w:r>
                </w:p>
              </w:tc>
              <w:tc>
                <w:tcPr/>
                <w:p>
                  <w:pPr>
                    <w:pStyle w:val="Compact"/>
                    <w:jc w:val="right"/>
                    <w:jc w:val="center"/>
                  </w:pPr>
                  <w:r>
                    <w:t xml:space="preserve">1, 242</w:t>
                  </w:r>
                </w:p>
              </w:tc>
              <w:tc>
                <w:tcPr/>
                <w:p>
                  <w:pPr>
                    <w:pStyle w:val="Compact"/>
                    <w:jc w:val="right"/>
                    <w:jc w:val="center"/>
                  </w:pPr>
                  <w:r>
                    <w:t xml:space="preserve">25.92</w:t>
                  </w:r>
                </w:p>
              </w:tc>
              <w:tc>
                <w:tcPr/>
                <w:p>
                  <w:pPr>
                    <w:pStyle w:val="Compact"/>
                    <w:jc w:val="right"/>
                    <w:jc w:val="center"/>
                  </w:pPr>
                  <w:r>
                    <w:t xml:space="preserve">&lt; 0.001</w:t>
                  </w:r>
                </w:p>
              </w:tc>
              <w:tc>
                <w:tcPr/>
                <w:p>
                  <w:pPr>
                    <w:pStyle w:val="Compact"/>
                    <w:jc w:val="right"/>
                    <w:jc w:val="center"/>
                  </w:pPr>
                  <w:r>
                    <w:t xml:space="preserve">&lt; 0.001</w:t>
                  </w:r>
                </w:p>
              </w:tc>
            </w:tr>
            <w:tr>
              <w:tc>
                <w:tcPr/>
                <w:p>
                  <w:pPr>
                    <w:pStyle w:val="Compact"/>
                    <w:jc w:val="left"/>
                    <w:jc w:val="center"/>
                  </w:pPr>
                  <w:r>
                    <w:t xml:space="preserve">   Longtan Quina vs Longtan non-Quina</w:t>
                  </w:r>
                </w:p>
              </w:tc>
              <w:tc>
                <w:tcPr/>
                <w:p>
                  <w:pPr>
                    <w:pStyle w:val="Compact"/>
                    <w:jc w:val="right"/>
                    <w:jc w:val="center"/>
                  </w:pPr>
                  <w:r>
                    <w:t xml:space="preserve">53, 79</w:t>
                  </w:r>
                </w:p>
              </w:tc>
              <w:tc>
                <w:tcPr/>
                <w:p>
                  <w:pPr>
                    <w:pStyle w:val="Compact"/>
                    <w:jc w:val="right"/>
                    <w:jc w:val="center"/>
                  </w:pPr>
                  <w:r>
                    <w:t xml:space="preserve">1, 130</w:t>
                  </w:r>
                </w:p>
              </w:tc>
              <w:tc>
                <w:tcPr/>
                <w:p>
                  <w:pPr>
                    <w:pStyle w:val="Compact"/>
                    <w:jc w:val="right"/>
                    <w:jc w:val="center"/>
                  </w:pPr>
                  <w:r>
                    <w:t xml:space="preserve">16.99</w:t>
                  </w:r>
                </w:p>
              </w:tc>
              <w:tc>
                <w:tcPr/>
                <w:p>
                  <w:pPr>
                    <w:pStyle w:val="Compact"/>
                    <w:jc w:val="right"/>
                    <w:jc w:val="center"/>
                  </w:pPr>
                  <w:r>
                    <w:t xml:space="preserve">&lt; 0.001</w:t>
                  </w:r>
                </w:p>
              </w:tc>
              <w:tc>
                <w:tcPr/>
                <w:p>
                  <w:pPr>
                    <w:pStyle w:val="Compact"/>
                    <w:jc w:val="right"/>
                    <w:jc w:val="center"/>
                  </w:pPr>
                  <w:r>
                    <w:t xml:space="preserve">&lt; 0.001</w:t>
                  </w:r>
                </w:p>
              </w:tc>
            </w:tr>
          </w:tbl>
          <w:bookmarkEnd w:id="25"/>
          <w:p/>
        </w:tc>
      </w:tr>
    </w:tbl>
    <w:p>
      <w:r>
        <w:br w:type="page"/>
      </w:r>
    </w:p>
    <w:tbl>
      <w:tblPr>
        <w:tblStyle w:val="Table"/>
        <w:tblW w:type="pct" w:w="5000"/>
        <w:tblLayout w:type="fixed"/>
        <w:tblLook w:firstRow="0" w:lastRow="0" w:firstColumn="0" w:lastColumn="0" w:noHBand="0" w:noVBand="0" w:val="0000"/>
      </w:tblPr>
      <w:tblGrid>
        <w:gridCol w:w="7920"/>
      </w:tblGrid>
      <w:tr>
        <w:tc>
          <w:tcPr/>
          <w:bookmarkStart w:id="26" w:name="tbl-tc-univariate"/>
          <w:p>
            <w:pPr>
              <w:jc w:val="center"/>
            </w:pPr>
            <w:pPr>
              <w:jc w:val="left"/>
              <w:spacing w:before="200"/>
              <w:pStyle w:val="ImageCaption"/>
            </w:pPr>
            <w:r>
              <w:t xml:space="preserve">Table S4: Per-variable comparison of the three groups: the omnibus test for each variable, followed by its three post-hoc comparisons. GIUR, total scars and retouch generations were tested with Kruskal–Wallis and Dunn’s post-hoc comparisons, the effect size being epsilon-squared; thickness, retouched perimeter and edge angle with Welch’s ANOVA and Welch’s</w:t>
            </w:r>
            <w:r>
              <w:t xml:space="preserve"> </w:t>
            </w:r>
            <w:r>
              <w:rPr>
                <w:i/>
                <w:iCs/>
              </w:rPr>
              <w:t xml:space="preserve">t</w:t>
            </w:r>
            <w:r>
              <w:t xml:space="preserve"> </w:t>
            </w:r>
            <w:r>
              <w:t xml:space="preserve">post-hoc comparisons. All post-hoc</w:t>
            </w:r>
            <w:r>
              <w:t xml:space="preserve"> </w:t>
            </w:r>
            <w:r>
              <w:rPr>
                <w:i/>
                <w:iCs/>
              </w:rPr>
              <w:t xml:space="preserve">p</w:t>
            </w:r>
            <w:r>
              <w:t xml:space="preserve">-values carry a Bonferroni adjustment within each variable. ns, not significant.</w:t>
            </w:r>
          </w:p>
          <w:tbl>
            <w:tblPr>
              <w:tblStyle w:val="Table"/>
              <w:tblW w:type="pct" w:w="5000"/>
              <w:tblLayout w:type="fixed"/>
              <w:tblLook w:firstRow="1" w:lastRow="0" w:firstColumn="0" w:lastColumn="0" w:noHBand="0" w:noVBand="0" w:val="0020"/>
            </w:tblPr>
            <w:tblGrid>
              <w:gridCol w:w="3499"/>
              <w:gridCol w:w="1013"/>
              <w:gridCol w:w="1105"/>
              <w:gridCol w:w="736"/>
              <w:gridCol w:w="1105"/>
              <w:gridCol w:w="460"/>
            </w:tblGrid>
            <w:tr>
              <w:trPr>
                <w:tblHeader w:val="on"/>
              </w:trPr>
              <w:tc>
                <w:tcPr/>
                <w:p>
                  <w:pPr>
                    <w:pStyle w:val="Compact"/>
                    <w:jc w:val="left"/>
                    <w:jc w:val="center"/>
                  </w:pPr>
                  <w:r>
                    <w:t xml:space="preserve">Variable / comparison</w:t>
                  </w:r>
                </w:p>
              </w:tc>
              <w:tc>
                <w:tcPr/>
                <w:p>
                  <w:pPr>
                    <w:pStyle w:val="Compact"/>
                    <w:jc w:val="right"/>
                    <w:jc w:val="center"/>
                  </w:pPr>
                  <w:r>
                    <w:t xml:space="preserve">Statistic</w:t>
                  </w:r>
                </w:p>
              </w:tc>
              <w:tc>
                <w:tcPr/>
                <w:p>
                  <w:pPr>
                    <w:pStyle w:val="Compact"/>
                    <w:jc w:val="right"/>
                    <w:jc w:val="center"/>
                  </w:pPr>
                  <w:r>
                    <w:rPr>
                      <w:i/>
                      <w:iCs/>
                    </w:rPr>
                    <w:t xml:space="preserve">df</w:t>
                  </w:r>
                  <w:r>
                    <w:t xml:space="preserve"> </w:t>
                  </w:r>
                  <w:r>
                    <w:t xml:space="preserve">or</w:t>
                  </w:r>
                  <w:r>
                    <w:t xml:space="preserve"> </w:t>
                  </w:r>
                  <w:r>
                    <w:rPr>
                      <w:i/>
                      <w:iCs/>
                    </w:rPr>
                    <w:t xml:space="preserve">n</w:t>
                  </w:r>
                </w:p>
              </w:tc>
              <w:tc>
                <w:tcPr/>
                <w:p>
                  <w:pPr>
                    <w:pStyle w:val="Compact"/>
                    <w:jc w:val="right"/>
                    <w:jc w:val="center"/>
                  </w:pPr>
                  <w:r>
                    <w:rPr>
                      <w:i/>
                      <w:iCs/>
                    </w:rPr>
                    <w:t xml:space="preserve">p</w:t>
                  </w:r>
                </w:p>
              </w:tc>
              <w:tc>
                <w:tcPr/>
                <w:p>
                  <w:pPr>
                    <w:pStyle w:val="Compact"/>
                    <w:jc w:val="right"/>
                    <w:jc w:val="center"/>
                  </w:pPr>
                  <w:r>
                    <w:t xml:space="preserve">Effect size</w:t>
                  </w:r>
                </w:p>
              </w:tc>
              <w:tc>
                <w:tcPr/>
                <w:p>
                  <w:pPr>
                    <w:pStyle w:val="Compact"/>
                  </w:pPr>
                </w:p>
              </w:tc>
            </w:tr>
            <w:tr>
              <w:tc>
                <w:tcPr/>
                <w:p>
                  <w:pPr>
                    <w:pStyle w:val="Compact"/>
                    <w:jc w:val="left"/>
                    <w:jc w:val="center"/>
                  </w:pPr>
                  <w:r>
                    <w:rPr>
                      <w:b/>
                      <w:bCs/>
                    </w:rPr>
                    <w:t xml:space="preserve">Thickness (mm)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Welch’s ANOVA</w:t>
                  </w:r>
                </w:p>
              </w:tc>
              <w:tc>
                <w:tcPr/>
                <w:p>
                  <w:pPr>
                    <w:pStyle w:val="Compact"/>
                    <w:jc w:val="right"/>
                    <w:jc w:val="center"/>
                  </w:pPr>
                  <w:r>
                    <w:t xml:space="preserve">F = 34.39</w:t>
                  </w:r>
                </w:p>
              </w:tc>
              <w:tc>
                <w:tcPr/>
                <w:p>
                  <w:pPr>
                    <w:pStyle w:val="Compact"/>
                    <w:jc w:val="right"/>
                    <w:jc w:val="center"/>
                  </w:pPr>
                  <w:r>
                    <w:t xml:space="preserve">2, 137.2</w:t>
                  </w:r>
                </w:p>
              </w:tc>
              <w:tc>
                <w:tcPr/>
                <w:p>
                  <w:pPr>
                    <w:pStyle w:val="Compact"/>
                    <w:jc w:val="right"/>
                    <w:jc w:val="center"/>
                  </w:pPr>
                  <w:r>
                    <w:t xml:space="preserve">&lt; 0.001</w:t>
                  </w:r>
                </w:p>
              </w:tc>
              <w:tc>
                <w:tcPr/>
                <w:p>
                  <w:pPr>
                    <w:pStyle w:val="Compact"/>
                  </w:pP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t = 1.09</w:t>
                  </w:r>
                </w:p>
              </w:tc>
              <w:tc>
                <w:tcPr/>
                <w:p>
                  <w:pPr>
                    <w:pStyle w:val="Compact"/>
                    <w:jc w:val="right"/>
                    <w:jc w:val="center"/>
                  </w:pPr>
                  <w:r>
                    <w:t xml:space="preserve">106.4</w:t>
                  </w:r>
                </w:p>
              </w:tc>
              <w:tc>
                <w:tcPr/>
                <w:p>
                  <w:pPr>
                    <w:pStyle w:val="Compact"/>
                    <w:jc w:val="right"/>
                    <w:jc w:val="center"/>
                  </w:pPr>
                  <w:r>
                    <w:t xml:space="preserve">0.831</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t = 8.09</w:t>
                  </w:r>
                </w:p>
              </w:tc>
              <w:tc>
                <w:tcPr/>
                <w:p>
                  <w:pPr>
                    <w:pStyle w:val="Compact"/>
                    <w:jc w:val="right"/>
                    <w:jc w:val="center"/>
                  </w:pPr>
                  <w:r>
                    <w:t xml:space="preserve">176.1</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t = 5.78</w:t>
                  </w:r>
                </w:p>
              </w:tc>
              <w:tc>
                <w:tcPr/>
                <w:p>
                  <w:pPr>
                    <w:pStyle w:val="Compact"/>
                    <w:jc w:val="right"/>
                    <w:jc w:val="center"/>
                  </w:pPr>
                  <w:r>
                    <w:t xml:space="preserve">115.7</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rPr>
                      <w:b/>
                      <w:bCs/>
                    </w:rPr>
                    <w:t xml:space="preserve">Retouched perimeter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Welch’s ANOVA</w:t>
                  </w:r>
                </w:p>
              </w:tc>
              <w:tc>
                <w:tcPr/>
                <w:p>
                  <w:pPr>
                    <w:pStyle w:val="Compact"/>
                    <w:jc w:val="right"/>
                    <w:jc w:val="center"/>
                  </w:pPr>
                  <w:r>
                    <w:t xml:space="preserve">F = 43.18</w:t>
                  </w:r>
                </w:p>
              </w:tc>
              <w:tc>
                <w:tcPr/>
                <w:p>
                  <w:pPr>
                    <w:pStyle w:val="Compact"/>
                    <w:jc w:val="right"/>
                    <w:jc w:val="center"/>
                  </w:pPr>
                  <w:r>
                    <w:t xml:space="preserve">2, 128.8</w:t>
                  </w:r>
                </w:p>
              </w:tc>
              <w:tc>
                <w:tcPr/>
                <w:p>
                  <w:pPr>
                    <w:pStyle w:val="Compact"/>
                    <w:jc w:val="right"/>
                    <w:jc w:val="center"/>
                  </w:pPr>
                  <w:r>
                    <w:t xml:space="preserve">&lt; 0.001</w:t>
                  </w:r>
                </w:p>
              </w:tc>
              <w:tc>
                <w:tcPr/>
                <w:p>
                  <w:pPr>
                    <w:pStyle w:val="Compact"/>
                  </w:pP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t = 1.14</w:t>
                  </w:r>
                </w:p>
              </w:tc>
              <w:tc>
                <w:tcPr/>
                <w:p>
                  <w:pPr>
                    <w:pStyle w:val="Compact"/>
                    <w:jc w:val="right"/>
                    <w:jc w:val="center"/>
                  </w:pPr>
                  <w:r>
                    <w:t xml:space="preserve">83.9</w:t>
                  </w:r>
                </w:p>
              </w:tc>
              <w:tc>
                <w:tcPr/>
                <w:p>
                  <w:pPr>
                    <w:pStyle w:val="Compact"/>
                    <w:jc w:val="right"/>
                    <w:jc w:val="center"/>
                  </w:pPr>
                  <w:r>
                    <w:t xml:space="preserve">0.774</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t = 9.03</w:t>
                  </w:r>
                </w:p>
              </w:tc>
              <w:tc>
                <w:tcPr/>
                <w:p>
                  <w:pPr>
                    <w:pStyle w:val="Compact"/>
                    <w:jc w:val="right"/>
                    <w:jc w:val="center"/>
                  </w:pPr>
                  <w:r>
                    <w:t xml:space="preserve">234.7</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t = 4.55</w:t>
                  </w:r>
                </w:p>
              </w:tc>
              <w:tc>
                <w:tcPr/>
                <w:p>
                  <w:pPr>
                    <w:pStyle w:val="Compact"/>
                    <w:jc w:val="right"/>
                    <w:jc w:val="center"/>
                  </w:pPr>
                  <w:r>
                    <w:t xml:space="preserve">72.4</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rPr>
                      <w:b/>
                      <w:bCs/>
                    </w:rPr>
                    <w:t xml:space="preserve">GIUR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Kruskal–Wallis</w:t>
                  </w:r>
                </w:p>
              </w:tc>
              <w:tc>
                <w:tcPr/>
                <w:p>
                  <w:pPr>
                    <w:pStyle w:val="Compact"/>
                    <w:jc w:val="right"/>
                    <w:jc w:val="center"/>
                  </w:pPr>
                  <w:r>
                    <w:t xml:space="preserve">H = 119.03</w:t>
                  </w:r>
                </w:p>
              </w:tc>
              <w:tc>
                <w:tcPr/>
                <w:p>
                  <w:pPr>
                    <w:pStyle w:val="Compact"/>
                    <w:jc w:val="right"/>
                    <w:jc w:val="center"/>
                  </w:pPr>
                  <w:r>
                    <w:t xml:space="preserve">2</w:t>
                  </w:r>
                </w:p>
              </w:tc>
              <w:tc>
                <w:tcPr/>
                <w:p>
                  <w:pPr>
                    <w:pStyle w:val="Compact"/>
                    <w:jc w:val="right"/>
                    <w:jc w:val="center"/>
                  </w:pPr>
                  <w:r>
                    <w:t xml:space="preserve">&lt; 0.001</w:t>
                  </w:r>
                </w:p>
              </w:tc>
              <w:tc>
                <w:tcPr/>
                <w:p>
                  <w:pPr>
                    <w:pStyle w:val="Compact"/>
                    <w:jc w:val="right"/>
                    <w:jc w:val="center"/>
                  </w:pPr>
                  <w:r>
                    <w:t xml:space="preserve">ε² = 0.398</w:t>
                  </w: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Z = 0.46</w:t>
                  </w:r>
                </w:p>
              </w:tc>
              <w:tc>
                <w:tcPr/>
                <w:p>
                  <w:pPr>
                    <w:pStyle w:val="Compact"/>
                    <w:jc w:val="right"/>
                    <w:jc w:val="center"/>
                  </w:pPr>
                  <w:r>
                    <w:t xml:space="preserve">165, 53</w:t>
                  </w:r>
                </w:p>
              </w:tc>
              <w:tc>
                <w:tcPr/>
                <w:p>
                  <w:pPr>
                    <w:pStyle w:val="Compact"/>
                    <w:jc w:val="right"/>
                    <w:jc w:val="center"/>
                  </w:pPr>
                  <w:r>
                    <w:t xml:space="preserve">1.000</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Z = -10.33</w:t>
                  </w:r>
                </w:p>
              </w:tc>
              <w:tc>
                <w:tcPr/>
                <w:p>
                  <w:pPr>
                    <w:pStyle w:val="Compact"/>
                    <w:jc w:val="right"/>
                    <w:jc w:val="center"/>
                  </w:pPr>
                  <w:r>
                    <w:t xml:space="preserve">165, 79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Z = -8.37</w:t>
                  </w:r>
                </w:p>
              </w:tc>
              <w:tc>
                <w:tcPr/>
                <w:p>
                  <w:pPr>
                    <w:pStyle w:val="Compact"/>
                    <w:jc w:val="right"/>
                    <w:jc w:val="center"/>
                  </w:pPr>
                  <w:r>
                    <w:t xml:space="preserve">53, 79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rPr>
                      <w:b/>
                      <w:bCs/>
                    </w:rPr>
                    <w:t xml:space="preserve">Total scars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Kruskal–Wallis</w:t>
                  </w:r>
                </w:p>
              </w:tc>
              <w:tc>
                <w:tcPr/>
                <w:p>
                  <w:pPr>
                    <w:pStyle w:val="Compact"/>
                    <w:jc w:val="right"/>
                    <w:jc w:val="center"/>
                  </w:pPr>
                  <w:r>
                    <w:t xml:space="preserve">H = 79.80</w:t>
                  </w:r>
                </w:p>
              </w:tc>
              <w:tc>
                <w:tcPr/>
                <w:p>
                  <w:pPr>
                    <w:pStyle w:val="Compact"/>
                    <w:jc w:val="right"/>
                    <w:jc w:val="center"/>
                  </w:pPr>
                  <w:r>
                    <w:t xml:space="preserve">2</w:t>
                  </w:r>
                </w:p>
              </w:tc>
              <w:tc>
                <w:tcPr/>
                <w:p>
                  <w:pPr>
                    <w:pStyle w:val="Compact"/>
                    <w:jc w:val="right"/>
                    <w:jc w:val="center"/>
                  </w:pPr>
                  <w:r>
                    <w:t xml:space="preserve">&lt; 0.001</w:t>
                  </w:r>
                </w:p>
              </w:tc>
              <w:tc>
                <w:tcPr/>
                <w:p>
                  <w:pPr>
                    <w:pStyle w:val="Compact"/>
                    <w:jc w:val="right"/>
                    <w:jc w:val="center"/>
                  </w:pPr>
                  <w:r>
                    <w:t xml:space="preserve">ε² = 0.265</w:t>
                  </w: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Z = 0.16</w:t>
                  </w:r>
                </w:p>
              </w:tc>
              <w:tc>
                <w:tcPr/>
                <w:p>
                  <w:pPr>
                    <w:pStyle w:val="Compact"/>
                    <w:jc w:val="right"/>
                    <w:jc w:val="center"/>
                  </w:pPr>
                  <w:r>
                    <w:t xml:space="preserve">165, 53</w:t>
                  </w:r>
                </w:p>
              </w:tc>
              <w:tc>
                <w:tcPr/>
                <w:p>
                  <w:pPr>
                    <w:pStyle w:val="Compact"/>
                    <w:jc w:val="right"/>
                    <w:jc w:val="center"/>
                  </w:pPr>
                  <w:r>
                    <w:t xml:space="preserve">1.000</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Z = -8.53</w:t>
                  </w:r>
                </w:p>
              </w:tc>
              <w:tc>
                <w:tcPr/>
                <w:p>
                  <w:pPr>
                    <w:pStyle w:val="Compact"/>
                    <w:jc w:val="right"/>
                    <w:jc w:val="center"/>
                  </w:pPr>
                  <w:r>
                    <w:t xml:space="preserve">165, 79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Z = -6.71</w:t>
                  </w:r>
                </w:p>
              </w:tc>
              <w:tc>
                <w:tcPr/>
                <w:p>
                  <w:pPr>
                    <w:pStyle w:val="Compact"/>
                    <w:jc w:val="right"/>
                    <w:jc w:val="center"/>
                  </w:pPr>
                  <w:r>
                    <w:t xml:space="preserve">53, 79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rPr>
                      <w:b/>
                      <w:bCs/>
                    </w:rPr>
                    <w:t xml:space="preserve">Retouch generations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Kruskal–Wallis</w:t>
                  </w:r>
                </w:p>
              </w:tc>
              <w:tc>
                <w:tcPr/>
                <w:p>
                  <w:pPr>
                    <w:pStyle w:val="Compact"/>
                    <w:jc w:val="right"/>
                    <w:jc w:val="center"/>
                  </w:pPr>
                  <w:r>
                    <w:t xml:space="preserve">H = 116.16</w:t>
                  </w:r>
                </w:p>
              </w:tc>
              <w:tc>
                <w:tcPr/>
                <w:p>
                  <w:pPr>
                    <w:pStyle w:val="Compact"/>
                    <w:jc w:val="right"/>
                    <w:jc w:val="center"/>
                  </w:pPr>
                  <w:r>
                    <w:t xml:space="preserve">2</w:t>
                  </w:r>
                </w:p>
              </w:tc>
              <w:tc>
                <w:tcPr/>
                <w:p>
                  <w:pPr>
                    <w:pStyle w:val="Compact"/>
                    <w:jc w:val="right"/>
                    <w:jc w:val="center"/>
                  </w:pPr>
                  <w:r>
                    <w:t xml:space="preserve">&lt; 0.001</w:t>
                  </w:r>
                </w:p>
              </w:tc>
              <w:tc>
                <w:tcPr/>
                <w:p>
                  <w:pPr>
                    <w:pStyle w:val="Compact"/>
                    <w:jc w:val="right"/>
                    <w:jc w:val="center"/>
                  </w:pPr>
                  <w:r>
                    <w:t xml:space="preserve">ε² = 0.388</w:t>
                  </w: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Z = 1.04</w:t>
                  </w:r>
                </w:p>
              </w:tc>
              <w:tc>
                <w:tcPr/>
                <w:p>
                  <w:pPr>
                    <w:pStyle w:val="Compact"/>
                    <w:jc w:val="right"/>
                    <w:jc w:val="center"/>
                  </w:pPr>
                  <w:r>
                    <w:t xml:space="preserve">165, 53</w:t>
                  </w:r>
                </w:p>
              </w:tc>
              <w:tc>
                <w:tcPr/>
                <w:p>
                  <w:pPr>
                    <w:pStyle w:val="Compact"/>
                    <w:jc w:val="right"/>
                    <w:jc w:val="center"/>
                  </w:pPr>
                  <w:r>
                    <w:t xml:space="preserve">0.897</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Z = -10.01</w:t>
                  </w:r>
                </w:p>
              </w:tc>
              <w:tc>
                <w:tcPr/>
                <w:p>
                  <w:pPr>
                    <w:pStyle w:val="Compact"/>
                    <w:jc w:val="right"/>
                    <w:jc w:val="center"/>
                  </w:pPr>
                  <w:r>
                    <w:t xml:space="preserve">165, 79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Z = -8.63</w:t>
                  </w:r>
                </w:p>
              </w:tc>
              <w:tc>
                <w:tcPr/>
                <w:p>
                  <w:pPr>
                    <w:pStyle w:val="Compact"/>
                    <w:jc w:val="right"/>
                    <w:jc w:val="center"/>
                  </w:pPr>
                  <w:r>
                    <w:t xml:space="preserve">53, 79</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rPr>
                      <w:b/>
                      <w:bCs/>
                    </w:rPr>
                    <w:t xml:space="preserve">Edge angle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rPr>
                      <w:i/>
                      <w:iCs/>
                    </w:rPr>
                    <w:t xml:space="preserve">Welch’s ANOVA</w:t>
                  </w:r>
                </w:p>
              </w:tc>
              <w:tc>
                <w:tcPr/>
                <w:p>
                  <w:pPr>
                    <w:pStyle w:val="Compact"/>
                    <w:jc w:val="right"/>
                    <w:jc w:val="center"/>
                  </w:pPr>
                  <w:r>
                    <w:t xml:space="preserve">F = 50.78</w:t>
                  </w:r>
                </w:p>
              </w:tc>
              <w:tc>
                <w:tcPr/>
                <w:p>
                  <w:pPr>
                    <w:pStyle w:val="Compact"/>
                    <w:jc w:val="right"/>
                    <w:jc w:val="center"/>
                  </w:pPr>
                  <w:r>
                    <w:t xml:space="preserve">2, 128.8</w:t>
                  </w:r>
                </w:p>
              </w:tc>
              <w:tc>
                <w:tcPr/>
                <w:p>
                  <w:pPr>
                    <w:pStyle w:val="Compact"/>
                    <w:jc w:val="right"/>
                    <w:jc w:val="center"/>
                  </w:pPr>
                  <w:r>
                    <w:t xml:space="preserve">&lt; 0.001</w:t>
                  </w:r>
                </w:p>
              </w:tc>
              <w:tc>
                <w:tcPr/>
                <w:p>
                  <w:pPr>
                    <w:pStyle w:val="Compact"/>
                  </w:pPr>
                </w:p>
              </w:tc>
              <w:tc>
                <w:tcPr/>
                <w:p>
                  <w:pPr>
                    <w:pStyle w:val="Compact"/>
                  </w:pPr>
                </w:p>
              </w:tc>
            </w:tr>
            <w:tr>
              <w:tc>
                <w:tcPr/>
                <w:p>
                  <w:pPr>
                    <w:pStyle w:val="Compact"/>
                    <w:jc w:val="left"/>
                    <w:jc w:val="center"/>
                  </w:pPr>
                  <w:r>
                    <w:t xml:space="preserve">   Surface Quina vs Longtan Quina</w:t>
                  </w:r>
                </w:p>
              </w:tc>
              <w:tc>
                <w:tcPr/>
                <w:p>
                  <w:pPr>
                    <w:pStyle w:val="Compact"/>
                    <w:jc w:val="right"/>
                    <w:jc w:val="center"/>
                  </w:pPr>
                  <w:r>
                    <w:t xml:space="preserve">t = -0.11</w:t>
                  </w:r>
                </w:p>
              </w:tc>
              <w:tc>
                <w:tcPr/>
                <w:p>
                  <w:pPr>
                    <w:pStyle w:val="Compact"/>
                    <w:jc w:val="right"/>
                    <w:jc w:val="center"/>
                  </w:pPr>
                  <w:r>
                    <w:t xml:space="preserve">93.5</w:t>
                  </w:r>
                </w:p>
              </w:tc>
              <w:tc>
                <w:tcPr/>
                <w:p>
                  <w:pPr>
                    <w:pStyle w:val="Compact"/>
                    <w:jc w:val="right"/>
                    <w:jc w:val="center"/>
                  </w:pPr>
                  <w:r>
                    <w:t xml:space="preserve">1.000</w:t>
                  </w:r>
                </w:p>
              </w:tc>
              <w:tc>
                <w:tcPr/>
                <w:p>
                  <w:pPr>
                    <w:pStyle w:val="Compact"/>
                  </w:pPr>
                </w:p>
              </w:tc>
              <w:tc>
                <w:tcPr/>
                <w:p>
                  <w:pPr>
                    <w:pStyle w:val="Compact"/>
                    <w:jc w:val="right"/>
                    <w:jc w:val="center"/>
                  </w:pPr>
                  <w:r>
                    <w:t xml:space="preserve">ns</w:t>
                  </w:r>
                </w:p>
              </w:tc>
            </w:tr>
            <w:tr>
              <w:tc>
                <w:tcPr/>
                <w:p>
                  <w:pPr>
                    <w:pStyle w:val="Compact"/>
                    <w:jc w:val="left"/>
                    <w:jc w:val="center"/>
                  </w:pPr>
                  <w:r>
                    <w:t xml:space="preserve">   Surface Quina vs Longtan non-Quina</w:t>
                  </w:r>
                </w:p>
              </w:tc>
              <w:tc>
                <w:tcPr/>
                <w:p>
                  <w:pPr>
                    <w:pStyle w:val="Compact"/>
                    <w:jc w:val="right"/>
                    <w:jc w:val="center"/>
                  </w:pPr>
                  <w:r>
                    <w:t xml:space="preserve">t = 9.64</w:t>
                  </w:r>
                </w:p>
              </w:tc>
              <w:tc>
                <w:tcPr/>
                <w:p>
                  <w:pPr>
                    <w:pStyle w:val="Compact"/>
                    <w:jc w:val="right"/>
                    <w:jc w:val="center"/>
                  </w:pPr>
                  <w:r>
                    <w:t xml:space="preserve">149.6</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r>
              <w:tc>
                <w:tcPr/>
                <w:p>
                  <w:pPr>
                    <w:pStyle w:val="Compact"/>
                    <w:jc w:val="left"/>
                    <w:jc w:val="center"/>
                  </w:pPr>
                  <w:r>
                    <w:t xml:space="preserve">   Longtan Quina vs Longtan non-Quina</w:t>
                  </w:r>
                </w:p>
              </w:tc>
              <w:tc>
                <w:tcPr/>
                <w:p>
                  <w:pPr>
                    <w:pStyle w:val="Compact"/>
                    <w:jc w:val="right"/>
                    <w:jc w:val="center"/>
                  </w:pPr>
                  <w:r>
                    <w:t xml:space="preserve">t = 7.89</w:t>
                  </w:r>
                </w:p>
              </w:tc>
              <w:tc>
                <w:tcPr/>
                <w:p>
                  <w:pPr>
                    <w:pStyle w:val="Compact"/>
                    <w:jc w:val="right"/>
                    <w:jc w:val="center"/>
                  </w:pPr>
                  <w:r>
                    <w:t xml:space="preserve">119.0</w:t>
                  </w:r>
                </w:p>
              </w:tc>
              <w:tc>
                <w:tcPr/>
                <w:p>
                  <w:pPr>
                    <w:pStyle w:val="Compact"/>
                    <w:jc w:val="right"/>
                    <w:jc w:val="center"/>
                  </w:pPr>
                  <w:r>
                    <w:t xml:space="preserve">&lt; 0.001</w:t>
                  </w:r>
                </w:p>
              </w:tc>
              <w:tc>
                <w:tcPr/>
                <w:p>
                  <w:pPr>
                    <w:pStyle w:val="Compact"/>
                  </w:pPr>
                </w:p>
              </w:tc>
              <w:tc>
                <w:tcPr/>
                <w:p>
                  <w:pPr>
                    <w:pStyle w:val="Compact"/>
                    <w:jc w:val="right"/>
                    <w:jc w:val="center"/>
                  </w:pPr>
                  <w:r>
                    <w:t xml:space="preserve">****</w:t>
                  </w:r>
                </w:p>
              </w:tc>
            </w:tr>
          </w:tbl>
          <w:bookmarkEnd w:id="26"/>
          <w:p/>
        </w:tc>
      </w:tr>
    </w:tbl>
    <w:p>
      <w:r>
        <w:br w:type="page"/>
      </w:r>
    </w:p>
    <w:tbl>
      <w:tblPr>
        <w:tblStyle w:val="Table"/>
        <w:tblW w:type="pct" w:w="5000"/>
        <w:tblLayout w:type="fixed"/>
        <w:tblLook w:firstRow="0" w:lastRow="0" w:firstColumn="0" w:lastColumn="0" w:noHBand="0" w:noVBand="0" w:val="0000"/>
      </w:tblPr>
      <w:tblGrid>
        <w:gridCol w:w="7920"/>
      </w:tblGrid>
      <w:tr>
        <w:tc>
          <w:tcPr/>
          <w:bookmarkStart w:id="27" w:name="tbl-tc-pca"/>
          <w:p>
            <w:pPr>
              <w:jc w:val="center"/>
            </w:pPr>
            <w:pPr>
              <w:jc w:val="left"/>
              <w:spacing w:before="200"/>
              <w:pStyle w:val="ImageCaption"/>
            </w:pPr>
            <w:r>
              <w:t xml:space="preserve">Table S5: Loadings of all six principal components of the z-scored technological space, with the eigenvalue, the percentage of variance and the cumulative percentage for each.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Variable</w:t>
                  </w:r>
                </w:p>
              </w:tc>
              <w:tc>
                <w:tcPr/>
                <w:p>
                  <w:pPr>
                    <w:pStyle w:val="Compact"/>
                    <w:jc w:val="right"/>
                    <w:jc w:val="center"/>
                  </w:pPr>
                  <w:r>
                    <w:t xml:space="preserve">PC1</w:t>
                  </w:r>
                </w:p>
              </w:tc>
              <w:tc>
                <w:tcPr/>
                <w:p>
                  <w:pPr>
                    <w:pStyle w:val="Compact"/>
                    <w:jc w:val="right"/>
                    <w:jc w:val="center"/>
                  </w:pPr>
                  <w:r>
                    <w:t xml:space="preserve">PC2</w:t>
                  </w:r>
                </w:p>
              </w:tc>
              <w:tc>
                <w:tcPr/>
                <w:p>
                  <w:pPr>
                    <w:pStyle w:val="Compact"/>
                    <w:jc w:val="right"/>
                    <w:jc w:val="center"/>
                  </w:pPr>
                  <w:r>
                    <w:t xml:space="preserve">PC3</w:t>
                  </w:r>
                </w:p>
              </w:tc>
              <w:tc>
                <w:tcPr/>
                <w:p>
                  <w:pPr>
                    <w:pStyle w:val="Compact"/>
                    <w:jc w:val="right"/>
                    <w:jc w:val="center"/>
                  </w:pPr>
                  <w:r>
                    <w:t xml:space="preserve">PC4</w:t>
                  </w:r>
                </w:p>
              </w:tc>
              <w:tc>
                <w:tcPr/>
                <w:p>
                  <w:pPr>
                    <w:pStyle w:val="Compact"/>
                    <w:jc w:val="right"/>
                    <w:jc w:val="center"/>
                  </w:pPr>
                  <w:r>
                    <w:t xml:space="preserve">PC5</w:t>
                  </w:r>
                </w:p>
              </w:tc>
              <w:tc>
                <w:tcPr/>
                <w:p>
                  <w:pPr>
                    <w:pStyle w:val="Compact"/>
                    <w:jc w:val="right"/>
                    <w:jc w:val="center"/>
                  </w:pPr>
                  <w:r>
                    <w:t xml:space="preserve">PC6</w:t>
                  </w:r>
                </w:p>
              </w:tc>
            </w:tr>
            <w:tr>
              <w:tc>
                <w:tcPr/>
                <w:p>
                  <w:pPr>
                    <w:pStyle w:val="Compact"/>
                    <w:jc w:val="left"/>
                    <w:jc w:val="center"/>
                  </w:pPr>
                  <w:r>
                    <w:t xml:space="preserve">Thickness (mm)</w:t>
                  </w:r>
                </w:p>
              </w:tc>
              <w:tc>
                <w:tcPr/>
                <w:p>
                  <w:pPr>
                    <w:pStyle w:val="Compact"/>
                    <w:jc w:val="right"/>
                    <w:jc w:val="center"/>
                  </w:pPr>
                  <w:r>
                    <w:t xml:space="preserve">-0.332</w:t>
                  </w:r>
                </w:p>
              </w:tc>
              <w:tc>
                <w:tcPr/>
                <w:p>
                  <w:pPr>
                    <w:pStyle w:val="Compact"/>
                    <w:jc w:val="right"/>
                    <w:jc w:val="center"/>
                  </w:pPr>
                  <w:r>
                    <w:t xml:space="preserve">0.255</w:t>
                  </w:r>
                </w:p>
              </w:tc>
              <w:tc>
                <w:tcPr/>
                <w:p>
                  <w:pPr>
                    <w:pStyle w:val="Compact"/>
                    <w:jc w:val="right"/>
                    <w:jc w:val="center"/>
                  </w:pPr>
                  <w:r>
                    <w:t xml:space="preserve">-0.762</w:t>
                  </w:r>
                </w:p>
              </w:tc>
              <w:tc>
                <w:tcPr/>
                <w:p>
                  <w:pPr>
                    <w:pStyle w:val="Compact"/>
                    <w:jc w:val="right"/>
                    <w:jc w:val="center"/>
                  </w:pPr>
                  <w:r>
                    <w:t xml:space="preserve">-0.376</w:t>
                  </w:r>
                </w:p>
              </w:tc>
              <w:tc>
                <w:tcPr/>
                <w:p>
                  <w:pPr>
                    <w:pStyle w:val="Compact"/>
                    <w:jc w:val="right"/>
                    <w:jc w:val="center"/>
                  </w:pPr>
                  <w:r>
                    <w:t xml:space="preserve">-0.311</w:t>
                  </w:r>
                </w:p>
              </w:tc>
              <w:tc>
                <w:tcPr/>
                <w:p>
                  <w:pPr>
                    <w:pStyle w:val="Compact"/>
                    <w:jc w:val="right"/>
                    <w:jc w:val="center"/>
                  </w:pPr>
                  <w:r>
                    <w:t xml:space="preserve">-0.076</w:t>
                  </w:r>
                </w:p>
              </w:tc>
            </w:tr>
            <w:tr>
              <w:tc>
                <w:tcPr/>
                <w:p>
                  <w:pPr>
                    <w:pStyle w:val="Compact"/>
                    <w:jc w:val="left"/>
                    <w:jc w:val="center"/>
                  </w:pPr>
                  <w:r>
                    <w:t xml:space="preserve">Retouched perimeter</w:t>
                  </w:r>
                </w:p>
              </w:tc>
              <w:tc>
                <w:tcPr/>
                <w:p>
                  <w:pPr>
                    <w:pStyle w:val="Compact"/>
                    <w:jc w:val="right"/>
                    <w:jc w:val="center"/>
                  </w:pPr>
                  <w:r>
                    <w:t xml:space="preserve">-0.383</w:t>
                  </w:r>
                </w:p>
              </w:tc>
              <w:tc>
                <w:tcPr/>
                <w:p>
                  <w:pPr>
                    <w:pStyle w:val="Compact"/>
                    <w:jc w:val="right"/>
                    <w:jc w:val="center"/>
                  </w:pPr>
                  <w:r>
                    <w:t xml:space="preserve">-0.669</w:t>
                  </w:r>
                </w:p>
              </w:tc>
              <w:tc>
                <w:tcPr/>
                <w:p>
                  <w:pPr>
                    <w:pStyle w:val="Compact"/>
                    <w:jc w:val="right"/>
                    <w:jc w:val="center"/>
                  </w:pPr>
                  <w:r>
                    <w:t xml:space="preserve">-0.022</w:t>
                  </w:r>
                </w:p>
              </w:tc>
              <w:tc>
                <w:tcPr/>
                <w:p>
                  <w:pPr>
                    <w:pStyle w:val="Compact"/>
                    <w:jc w:val="right"/>
                    <w:jc w:val="center"/>
                  </w:pPr>
                  <w:r>
                    <w:t xml:space="preserve">0.105</w:t>
                  </w:r>
                </w:p>
              </w:tc>
              <w:tc>
                <w:tcPr/>
                <w:p>
                  <w:pPr>
                    <w:pStyle w:val="Compact"/>
                    <w:jc w:val="right"/>
                    <w:jc w:val="center"/>
                  </w:pPr>
                  <w:r>
                    <w:t xml:space="preserve">-0.343</w:t>
                  </w:r>
                </w:p>
              </w:tc>
              <w:tc>
                <w:tcPr/>
                <w:p>
                  <w:pPr>
                    <w:pStyle w:val="Compact"/>
                    <w:jc w:val="right"/>
                    <w:jc w:val="center"/>
                  </w:pPr>
                  <w:r>
                    <w:t xml:space="preserve">0.526</w:t>
                  </w:r>
                </w:p>
              </w:tc>
            </w:tr>
            <w:tr>
              <w:tc>
                <w:tcPr/>
                <w:p>
                  <w:pPr>
                    <w:pStyle w:val="Compact"/>
                    <w:jc w:val="left"/>
                    <w:jc w:val="center"/>
                  </w:pPr>
                  <w:r>
                    <w:t xml:space="preserve">GIUR</w:t>
                  </w:r>
                </w:p>
              </w:tc>
              <w:tc>
                <w:tcPr/>
                <w:p>
                  <w:pPr>
                    <w:pStyle w:val="Compact"/>
                    <w:jc w:val="right"/>
                    <w:jc w:val="center"/>
                  </w:pPr>
                  <w:r>
                    <w:t xml:space="preserve">-0.391</w:t>
                  </w:r>
                </w:p>
              </w:tc>
              <w:tc>
                <w:tcPr/>
                <w:p>
                  <w:pPr>
                    <w:pStyle w:val="Compact"/>
                    <w:jc w:val="right"/>
                    <w:jc w:val="center"/>
                  </w:pPr>
                  <w:r>
                    <w:t xml:space="preserve">0.245</w:t>
                  </w:r>
                </w:p>
              </w:tc>
              <w:tc>
                <w:tcPr/>
                <w:p>
                  <w:pPr>
                    <w:pStyle w:val="Compact"/>
                    <w:jc w:val="right"/>
                    <w:jc w:val="center"/>
                  </w:pPr>
                  <w:r>
                    <w:t xml:space="preserve">0.603</w:t>
                  </w:r>
                </w:p>
              </w:tc>
              <w:tc>
                <w:tcPr/>
                <w:p>
                  <w:pPr>
                    <w:pStyle w:val="Compact"/>
                    <w:jc w:val="right"/>
                    <w:jc w:val="center"/>
                  </w:pPr>
                  <w:r>
                    <w:t xml:space="preserve">-0.195</w:t>
                  </w:r>
                </w:p>
              </w:tc>
              <w:tc>
                <w:tcPr/>
                <w:p>
                  <w:pPr>
                    <w:pStyle w:val="Compact"/>
                    <w:jc w:val="right"/>
                    <w:jc w:val="center"/>
                  </w:pPr>
                  <w:r>
                    <w:t xml:space="preserve">-0.558</w:t>
                  </w:r>
                </w:p>
              </w:tc>
              <w:tc>
                <w:tcPr/>
                <w:p>
                  <w:pPr>
                    <w:pStyle w:val="Compact"/>
                    <w:jc w:val="right"/>
                    <w:jc w:val="center"/>
                  </w:pPr>
                  <w:r>
                    <w:t xml:space="preserve">-0.273</w:t>
                  </w:r>
                </w:p>
              </w:tc>
            </w:tr>
            <w:tr>
              <w:tc>
                <w:tcPr/>
                <w:p>
                  <w:pPr>
                    <w:pStyle w:val="Compact"/>
                    <w:jc w:val="left"/>
                    <w:jc w:val="center"/>
                  </w:pPr>
                  <w:r>
                    <w:t xml:space="preserve">Total scars</w:t>
                  </w:r>
                </w:p>
              </w:tc>
              <w:tc>
                <w:tcPr/>
                <w:p>
                  <w:pPr>
                    <w:pStyle w:val="Compact"/>
                    <w:jc w:val="right"/>
                    <w:jc w:val="center"/>
                  </w:pPr>
                  <w:r>
                    <w:t xml:space="preserve">-0.449</w:t>
                  </w:r>
                </w:p>
              </w:tc>
              <w:tc>
                <w:tcPr/>
                <w:p>
                  <w:pPr>
                    <w:pStyle w:val="Compact"/>
                    <w:jc w:val="right"/>
                    <w:jc w:val="center"/>
                  </w:pPr>
                  <w:r>
                    <w:t xml:space="preserve">-0.460</w:t>
                  </w:r>
                </w:p>
              </w:tc>
              <w:tc>
                <w:tcPr/>
                <w:p>
                  <w:pPr>
                    <w:pStyle w:val="Compact"/>
                    <w:jc w:val="right"/>
                    <w:jc w:val="center"/>
                  </w:pPr>
                  <w:r>
                    <w:t xml:space="preserve">-0.046</w:t>
                  </w:r>
                </w:p>
              </w:tc>
              <w:tc>
                <w:tcPr/>
                <w:p>
                  <w:pPr>
                    <w:pStyle w:val="Compact"/>
                    <w:jc w:val="right"/>
                    <w:jc w:val="center"/>
                  </w:pPr>
                  <w:r>
                    <w:t xml:space="preserve">-0.013</w:t>
                  </w:r>
                </w:p>
              </w:tc>
              <w:tc>
                <w:tcPr/>
                <w:p>
                  <w:pPr>
                    <w:pStyle w:val="Compact"/>
                    <w:jc w:val="right"/>
                    <w:jc w:val="center"/>
                  </w:pPr>
                  <w:r>
                    <w:t xml:space="preserve">0.390</w:t>
                  </w:r>
                </w:p>
              </w:tc>
              <w:tc>
                <w:tcPr/>
                <w:p>
                  <w:pPr>
                    <w:pStyle w:val="Compact"/>
                    <w:jc w:val="right"/>
                    <w:jc w:val="center"/>
                  </w:pPr>
                  <w:r>
                    <w:t xml:space="preserve">-0.657</w:t>
                  </w:r>
                </w:p>
              </w:tc>
            </w:tr>
            <w:tr>
              <w:tc>
                <w:tcPr/>
                <w:p>
                  <w:pPr>
                    <w:pStyle w:val="Compact"/>
                    <w:jc w:val="left"/>
                    <w:jc w:val="center"/>
                  </w:pPr>
                  <w:r>
                    <w:t xml:space="preserve">Retouch generations</w:t>
                  </w:r>
                </w:p>
              </w:tc>
              <w:tc>
                <w:tcPr/>
                <w:p>
                  <w:pPr>
                    <w:pStyle w:val="Compact"/>
                    <w:jc w:val="right"/>
                    <w:jc w:val="center"/>
                  </w:pPr>
                  <w:r>
                    <w:t xml:space="preserve">-0.458</w:t>
                  </w:r>
                </w:p>
              </w:tc>
              <w:tc>
                <w:tcPr/>
                <w:p>
                  <w:pPr>
                    <w:pStyle w:val="Compact"/>
                    <w:jc w:val="right"/>
                    <w:jc w:val="center"/>
                  </w:pPr>
                  <w:r>
                    <w:t xml:space="preserve">0.265</w:t>
                  </w:r>
                </w:p>
              </w:tc>
              <w:tc>
                <w:tcPr/>
                <w:p>
                  <w:pPr>
                    <w:pStyle w:val="Compact"/>
                    <w:jc w:val="right"/>
                    <w:jc w:val="center"/>
                  </w:pPr>
                  <w:r>
                    <w:t xml:space="preserve">0.202</w:t>
                  </w:r>
                </w:p>
              </w:tc>
              <w:tc>
                <w:tcPr/>
                <w:p>
                  <w:pPr>
                    <w:pStyle w:val="Compact"/>
                    <w:jc w:val="right"/>
                    <w:jc w:val="center"/>
                  </w:pPr>
                  <w:r>
                    <w:t xml:space="preserve">-0.387</w:t>
                  </w:r>
                </w:p>
              </w:tc>
              <w:tc>
                <w:tcPr/>
                <w:p>
                  <w:pPr>
                    <w:pStyle w:val="Compact"/>
                    <w:jc w:val="right"/>
                    <w:jc w:val="center"/>
                  </w:pPr>
                  <w:r>
                    <w:t xml:space="preserve">0.566</w:t>
                  </w:r>
                </w:p>
              </w:tc>
              <w:tc>
                <w:tcPr/>
                <w:p>
                  <w:pPr>
                    <w:pStyle w:val="Compact"/>
                    <w:jc w:val="right"/>
                    <w:jc w:val="center"/>
                  </w:pPr>
                  <w:r>
                    <w:t xml:space="preserve">0.458</w:t>
                  </w:r>
                </w:p>
              </w:tc>
            </w:tr>
            <w:tr>
              <w:tc>
                <w:tcPr/>
                <w:p>
                  <w:pPr>
                    <w:pStyle w:val="Compact"/>
                    <w:jc w:val="left"/>
                    <w:jc w:val="center"/>
                  </w:pPr>
                  <w:r>
                    <w:t xml:space="preserve">Edge angle (°)</w:t>
                  </w:r>
                </w:p>
              </w:tc>
              <w:tc>
                <w:tcPr/>
                <w:p>
                  <w:pPr>
                    <w:pStyle w:val="Compact"/>
                    <w:jc w:val="right"/>
                    <w:jc w:val="center"/>
                  </w:pPr>
                  <w:r>
                    <w:t xml:space="preserve">-0.423</w:t>
                  </w:r>
                </w:p>
              </w:tc>
              <w:tc>
                <w:tcPr/>
                <w:p>
                  <w:pPr>
                    <w:pStyle w:val="Compact"/>
                    <w:jc w:val="right"/>
                    <w:jc w:val="center"/>
                  </w:pPr>
                  <w:r>
                    <w:t xml:space="preserve">0.382</w:t>
                  </w:r>
                </w:p>
              </w:tc>
              <w:tc>
                <w:tcPr/>
                <w:p>
                  <w:pPr>
                    <w:pStyle w:val="Compact"/>
                    <w:jc w:val="right"/>
                    <w:jc w:val="center"/>
                  </w:pPr>
                  <w:r>
                    <w:t xml:space="preserve">-0.110</w:t>
                  </w:r>
                </w:p>
              </w:tc>
              <w:tc>
                <w:tcPr/>
                <w:p>
                  <w:pPr>
                    <w:pStyle w:val="Compact"/>
                    <w:jc w:val="right"/>
                    <w:jc w:val="center"/>
                  </w:pPr>
                  <w:r>
                    <w:t xml:space="preserve">0.812</w:t>
                  </w:r>
                </w:p>
              </w:tc>
              <w:tc>
                <w:tcPr/>
                <w:p>
                  <w:pPr>
                    <w:pStyle w:val="Compact"/>
                    <w:jc w:val="right"/>
                    <w:jc w:val="center"/>
                  </w:pPr>
                  <w:r>
                    <w:t xml:space="preserve">0.042</w:t>
                  </w:r>
                </w:p>
              </w:tc>
              <w:tc>
                <w:tcPr/>
                <w:p>
                  <w:pPr>
                    <w:pStyle w:val="Compact"/>
                    <w:jc w:val="right"/>
                    <w:jc w:val="center"/>
                  </w:pPr>
                  <w:r>
                    <w:t xml:space="preserve">0.039</w:t>
                  </w:r>
                </w:p>
              </w:tc>
            </w:tr>
            <w:tr>
              <w:tc>
                <w:tcPr/>
                <w:p>
                  <w:pPr>
                    <w:pStyle w:val="Compact"/>
                    <w:jc w:val="left"/>
                    <w:jc w:val="center"/>
                  </w:pPr>
                  <w:r>
                    <w:rPr>
                      <w:b/>
                      <w:bCs/>
                    </w:rPr>
                    <w:t xml:space="preserve">Eigenvalue</w:t>
                  </w:r>
                </w:p>
              </w:tc>
              <w:tc>
                <w:tcPr/>
                <w:p>
                  <w:pPr>
                    <w:pStyle w:val="Compact"/>
                    <w:jc w:val="right"/>
                    <w:jc w:val="center"/>
                  </w:pPr>
                  <w:r>
                    <w:t xml:space="preserve">3.41</w:t>
                  </w:r>
                </w:p>
              </w:tc>
              <w:tc>
                <w:tcPr/>
                <w:p>
                  <w:pPr>
                    <w:pStyle w:val="Compact"/>
                    <w:jc w:val="right"/>
                    <w:jc w:val="center"/>
                  </w:pPr>
                  <w:r>
                    <w:t xml:space="preserve">0.93</w:t>
                  </w:r>
                </w:p>
              </w:tc>
              <w:tc>
                <w:tcPr/>
                <w:p>
                  <w:pPr>
                    <w:pStyle w:val="Compact"/>
                    <w:jc w:val="right"/>
                    <w:jc w:val="center"/>
                  </w:pPr>
                  <w:r>
                    <w:t xml:space="preserve">0.83</w:t>
                  </w:r>
                </w:p>
              </w:tc>
              <w:tc>
                <w:tcPr/>
                <w:p>
                  <w:pPr>
                    <w:pStyle w:val="Compact"/>
                    <w:jc w:val="right"/>
                    <w:jc w:val="center"/>
                  </w:pPr>
                  <w:r>
                    <w:t xml:space="preserve">0.37</w:t>
                  </w:r>
                </w:p>
              </w:tc>
              <w:tc>
                <w:tcPr/>
                <w:p>
                  <w:pPr>
                    <w:pStyle w:val="Compact"/>
                    <w:jc w:val="right"/>
                    <w:jc w:val="center"/>
                  </w:pPr>
                  <w:r>
                    <w:t xml:space="preserve">0.31</w:t>
                  </w:r>
                </w:p>
              </w:tc>
              <w:tc>
                <w:tcPr/>
                <w:p>
                  <w:pPr>
                    <w:pStyle w:val="Compact"/>
                    <w:jc w:val="right"/>
                    <w:jc w:val="center"/>
                  </w:pPr>
                  <w:r>
                    <w:t xml:space="preserve">0.15</w:t>
                  </w:r>
                </w:p>
              </w:tc>
            </w:tr>
            <w:tr>
              <w:tc>
                <w:tcPr/>
                <w:p>
                  <w:pPr>
                    <w:pStyle w:val="Compact"/>
                    <w:jc w:val="left"/>
                    <w:jc w:val="center"/>
                  </w:pPr>
                  <w:r>
                    <w:rPr>
                      <w:b/>
                      <w:bCs/>
                    </w:rPr>
                    <w:t xml:space="preserve">Variance (%)</w:t>
                  </w:r>
                </w:p>
              </w:tc>
              <w:tc>
                <w:tcPr/>
                <w:p>
                  <w:pPr>
                    <w:pStyle w:val="Compact"/>
                    <w:jc w:val="right"/>
                    <w:jc w:val="center"/>
                  </w:pPr>
                  <w:r>
                    <w:t xml:space="preserve">56.9</w:t>
                  </w:r>
                </w:p>
              </w:tc>
              <w:tc>
                <w:tcPr/>
                <w:p>
                  <w:pPr>
                    <w:pStyle w:val="Compact"/>
                    <w:jc w:val="right"/>
                    <w:jc w:val="center"/>
                  </w:pPr>
                  <w:r>
                    <w:t xml:space="preserve">15.5</w:t>
                  </w:r>
                </w:p>
              </w:tc>
              <w:tc>
                <w:tcPr/>
                <w:p>
                  <w:pPr>
                    <w:pStyle w:val="Compact"/>
                    <w:jc w:val="right"/>
                    <w:jc w:val="center"/>
                  </w:pPr>
                  <w:r>
                    <w:t xml:space="preserve">13.8</w:t>
                  </w:r>
                </w:p>
              </w:tc>
              <w:tc>
                <w:tcPr/>
                <w:p>
                  <w:pPr>
                    <w:pStyle w:val="Compact"/>
                    <w:jc w:val="right"/>
                    <w:jc w:val="center"/>
                  </w:pPr>
                  <w:r>
                    <w:t xml:space="preserve">6.1</w:t>
                  </w:r>
                </w:p>
              </w:tc>
              <w:tc>
                <w:tcPr/>
                <w:p>
                  <w:pPr>
                    <w:pStyle w:val="Compact"/>
                    <w:jc w:val="right"/>
                    <w:jc w:val="center"/>
                  </w:pPr>
                  <w:r>
                    <w:t xml:space="preserve">5.2</w:t>
                  </w:r>
                </w:p>
              </w:tc>
              <w:tc>
                <w:tcPr/>
                <w:p>
                  <w:pPr>
                    <w:pStyle w:val="Compact"/>
                    <w:jc w:val="right"/>
                    <w:jc w:val="center"/>
                  </w:pPr>
                  <w:r>
                    <w:t xml:space="preserve">2.5</w:t>
                  </w:r>
                </w:p>
              </w:tc>
            </w:tr>
            <w:tr>
              <w:tc>
                <w:tcPr/>
                <w:p>
                  <w:pPr>
                    <w:pStyle w:val="Compact"/>
                    <w:jc w:val="left"/>
                    <w:jc w:val="center"/>
                  </w:pPr>
                  <w:r>
                    <w:rPr>
                      <w:b/>
                      <w:bCs/>
                    </w:rPr>
                    <w:t xml:space="preserve">Cumulative (%)</w:t>
                  </w:r>
                </w:p>
              </w:tc>
              <w:tc>
                <w:tcPr/>
                <w:p>
                  <w:pPr>
                    <w:pStyle w:val="Compact"/>
                    <w:jc w:val="right"/>
                    <w:jc w:val="center"/>
                  </w:pPr>
                  <w:r>
                    <w:t xml:space="preserve">56.9</w:t>
                  </w:r>
                </w:p>
              </w:tc>
              <w:tc>
                <w:tcPr/>
                <w:p>
                  <w:pPr>
                    <w:pStyle w:val="Compact"/>
                    <w:jc w:val="right"/>
                    <w:jc w:val="center"/>
                  </w:pPr>
                  <w:r>
                    <w:t xml:space="preserve">72.4</w:t>
                  </w:r>
                </w:p>
              </w:tc>
              <w:tc>
                <w:tcPr/>
                <w:p>
                  <w:pPr>
                    <w:pStyle w:val="Compact"/>
                    <w:jc w:val="right"/>
                    <w:jc w:val="center"/>
                  </w:pPr>
                  <w:r>
                    <w:t xml:space="preserve">86.2</w:t>
                  </w:r>
                </w:p>
              </w:tc>
              <w:tc>
                <w:tcPr/>
                <w:p>
                  <w:pPr>
                    <w:pStyle w:val="Compact"/>
                    <w:jc w:val="right"/>
                    <w:jc w:val="center"/>
                  </w:pPr>
                  <w:r>
                    <w:t xml:space="preserve">92.3</w:t>
                  </w:r>
                </w:p>
              </w:tc>
              <w:tc>
                <w:tcPr/>
                <w:p>
                  <w:pPr>
                    <w:pStyle w:val="Compact"/>
                    <w:jc w:val="right"/>
                    <w:jc w:val="center"/>
                  </w:pPr>
                  <w:r>
                    <w:t xml:space="preserve">97.5</w:t>
                  </w:r>
                </w:p>
              </w:tc>
              <w:tc>
                <w:tcPr/>
                <w:p>
                  <w:pPr>
                    <w:pStyle w:val="Compact"/>
                    <w:jc w:val="right"/>
                    <w:jc w:val="center"/>
                  </w:pPr>
                  <w:r>
                    <w:t xml:space="preserve">100.0</w:t>
                  </w:r>
                </w:p>
              </w:tc>
            </w:tr>
          </w:tbl>
          <w:bookmarkEnd w:id="27"/>
          <w:p/>
        </w:tc>
      </w:tr>
    </w:tbl>
    <w:p>
      <w:r>
        <w:br w:type="page"/>
      </w:r>
    </w:p>
    <w:tbl>
      <w:tblPr>
        <w:tblStyle w:val="Table"/>
        <w:tblW w:type="pct" w:w="5000"/>
        <w:tblLayout w:type="fixed"/>
        <w:tblLook w:firstRow="0" w:lastRow="0" w:firstColumn="0" w:lastColumn="0" w:noHBand="0" w:noVBand="0" w:val="0000"/>
      </w:tblPr>
      <w:tblGrid>
        <w:gridCol w:w="7920"/>
      </w:tblGrid>
      <w:tr>
        <w:tc>
          <w:tcPr/>
          <w:bookmarkStart w:id="28" w:name="tbl-tc-sensitivity"/>
          <w:p>
            <w:pPr>
              <w:jc w:val="center"/>
            </w:pPr>
            <w:pPr>
              <w:jc w:val="left"/>
              <w:spacing w:before="200"/>
              <w:pStyle w:val="ImageCaption"/>
            </w:pPr>
            <w:r>
              <w:t xml:space="preserve">Table S6: Sensitivity of the technological consistency result to the surface specimens collected from within the area of the Longtan site. The full set is the analysis reported in the main text, with 165 surface specimens; the reduced set excludes those collected within the site area, leaving 150, and is z-scored on its own. PERMANOVA</w:t>
            </w:r>
            <w:r>
              <w:t xml:space="preserve"> </w:t>
            </w:r>
            <w:r>
              <w:rPr>
                <w:i/>
                <w:iCs/>
              </w:rPr>
              <w:t xml:space="preserve">p</w:t>
            </w:r>
            <w:r>
              <w:t xml:space="preserve">-values carry the Bonferroni adjustment across the three comparisons.</w:t>
            </w:r>
          </w:p>
          <w:tbl>
            <w:tblPr>
              <w:tblStyle w:val="Table"/>
              <w:tblW w:type="pct" w:w="5000"/>
              <w:tblLayout w:type="fixed"/>
              <w:tblLook w:firstRow="1" w:lastRow="0" w:firstColumn="0" w:lastColumn="0" w:noHBand="0" w:noVBand="0" w:val="0020"/>
            </w:tblPr>
            <w:tblGrid>
              <w:gridCol w:w="3151"/>
              <w:gridCol w:w="1454"/>
              <w:gridCol w:w="484"/>
              <w:gridCol w:w="484"/>
              <w:gridCol w:w="646"/>
              <w:gridCol w:w="484"/>
              <w:gridCol w:w="565"/>
              <w:gridCol w:w="646"/>
            </w:tblGrid>
            <w:tr>
              <w:trPr>
                <w:tblHeader w:val="on"/>
              </w:trPr>
              <w:tc>
                <w:tcPr/>
                <w:p>
                  <w:pPr>
                    <w:pStyle w:val="Compact"/>
                    <w:jc w:val="left"/>
                    <w:jc w:val="center"/>
                  </w:pPr>
                  <w:r>
                    <w:t xml:space="preserve">Comparison</w:t>
                  </w:r>
                </w:p>
              </w:tc>
              <w:tc>
                <w:tcPr/>
                <w:p>
                  <w:pPr>
                    <w:pStyle w:val="Compact"/>
                    <w:jc w:val="left"/>
                    <w:jc w:val="center"/>
                  </w:pPr>
                  <w:r>
                    <w:t xml:space="preserve">Tests</w:t>
                  </w:r>
                </w:p>
              </w:tc>
              <w:tc>
                <w:tcPr/>
                <w:p>
                  <w:pPr>
                    <w:pStyle w:val="Compact"/>
                    <w:jc w:val="right"/>
                    <w:jc w:val="center"/>
                  </w:pPr>
                  <w:r>
                    <w:rPr>
                      <w:i/>
                      <w:iCs/>
                    </w:rPr>
                    <w:t xml:space="preserve">R</w:t>
                  </w:r>
                  <w:r>
                    <w:t xml:space="preserve">²</w:t>
                  </w:r>
                </w:p>
              </w:tc>
              <w:tc>
                <w:tcPr/>
                <w:p>
                  <w:pPr>
                    <w:pStyle w:val="Compact"/>
                    <w:jc w:val="right"/>
                    <w:jc w:val="center"/>
                  </w:pPr>
                  <w:r>
                    <w:rPr>
                      <w:i/>
                      <w:iCs/>
                    </w:rPr>
                    <w:t xml:space="preserve">F</w:t>
                  </w:r>
                </w:p>
              </w:tc>
              <w:tc>
                <w:tcPr/>
                <w:p>
                  <w:pPr>
                    <w:pStyle w:val="Compact"/>
                    <w:jc w:val="right"/>
                    <w:jc w:val="center"/>
                  </w:pPr>
                  <w:r>
                    <w:rPr>
                      <w:i/>
                      <w:iCs/>
                    </w:rPr>
                    <w:t xml:space="preserve">p</w:t>
                  </w:r>
                </w:p>
              </w:tc>
              <w:tc>
                <w:tcPr/>
                <w:p>
                  <w:pPr>
                    <w:pStyle w:val="Compact"/>
                    <w:jc w:val="right"/>
                    <w:jc w:val="center"/>
                  </w:pPr>
                  <w:r>
                    <w:rPr>
                      <w:i/>
                      <w:iCs/>
                    </w:rPr>
                    <w:t xml:space="preserve">R</w:t>
                  </w:r>
                  <w:r>
                    <w:t xml:space="preserve">²</w:t>
                  </w:r>
                </w:p>
              </w:tc>
              <w:tc>
                <w:tcPr/>
                <w:p>
                  <w:pPr>
                    <w:pStyle w:val="Compact"/>
                    <w:jc w:val="right"/>
                    <w:jc w:val="center"/>
                  </w:pPr>
                  <w:r>
                    <w:rPr>
                      <w:i/>
                      <w:iCs/>
                    </w:rPr>
                    <w:t xml:space="preserve">F</w:t>
                  </w:r>
                </w:p>
              </w:tc>
              <w:tc>
                <w:tcPr/>
                <w:p>
                  <w:pPr>
                    <w:pStyle w:val="Compact"/>
                    <w:jc w:val="right"/>
                    <w:jc w:val="center"/>
                  </w:pPr>
                  <w:r>
                    <w:rPr>
                      <w:i/>
                      <w:iCs/>
                    </w:rPr>
                    <w:t xml:space="preserve">p</w:t>
                  </w:r>
                </w:p>
              </w:tc>
            </w:tr>
            <w:tr>
              <w:tc>
                <w:tcPr/>
                <w:p>
                  <w:pPr>
                    <w:pStyle w:val="Compact"/>
                    <w:jc w:val="left"/>
                    <w:jc w:val="center"/>
                  </w:pPr>
                  <w:r>
                    <w:rPr>
                      <w:b/>
                      <w:bCs/>
                    </w:rPr>
                    <w:t xml:space="preserve">Surface Quina vs Longtan Quina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PERMANOVA</w:t>
                  </w:r>
                </w:p>
              </w:tc>
              <w:tc>
                <w:tcPr/>
                <w:p>
                  <w:pPr>
                    <w:pStyle w:val="Compact"/>
                    <w:jc w:val="left"/>
                    <w:jc w:val="center"/>
                  </w:pPr>
                  <w:r>
                    <w:t xml:space="preserve">centroid position</w:t>
                  </w:r>
                </w:p>
              </w:tc>
              <w:tc>
                <w:tcPr/>
                <w:p>
                  <w:pPr>
                    <w:pStyle w:val="Compact"/>
                    <w:jc w:val="right"/>
                    <w:jc w:val="center"/>
                  </w:pPr>
                  <w:r>
                    <w:t xml:space="preserve">0.004</w:t>
                  </w:r>
                </w:p>
              </w:tc>
              <w:tc>
                <w:tcPr/>
                <w:p>
                  <w:pPr>
                    <w:pStyle w:val="Compact"/>
                    <w:jc w:val="right"/>
                    <w:jc w:val="center"/>
                  </w:pPr>
                  <w:r>
                    <w:t xml:space="preserve">0.81</w:t>
                  </w:r>
                </w:p>
              </w:tc>
              <w:tc>
                <w:tcPr/>
                <w:p>
                  <w:pPr>
                    <w:pStyle w:val="Compact"/>
                    <w:jc w:val="right"/>
                    <w:jc w:val="center"/>
                  </w:pPr>
                  <w:r>
                    <w:t xml:space="preserve">1.000</w:t>
                  </w:r>
                </w:p>
              </w:tc>
              <w:tc>
                <w:tcPr/>
                <w:p>
                  <w:pPr>
                    <w:pStyle w:val="Compact"/>
                    <w:jc w:val="right"/>
                    <w:jc w:val="center"/>
                  </w:pPr>
                  <w:r>
                    <w:t xml:space="preserve">0.005</w:t>
                  </w:r>
                </w:p>
              </w:tc>
              <w:tc>
                <w:tcPr/>
                <w:p>
                  <w:pPr>
                    <w:pStyle w:val="Compact"/>
                    <w:jc w:val="right"/>
                    <w:jc w:val="center"/>
                  </w:pPr>
                  <w:r>
                    <w:t xml:space="preserve">1.11</w:t>
                  </w:r>
                </w:p>
              </w:tc>
              <w:tc>
                <w:tcPr/>
                <w:p>
                  <w:pPr>
                    <w:pStyle w:val="Compact"/>
                    <w:jc w:val="right"/>
                    <w:jc w:val="center"/>
                  </w:pPr>
                  <w:r>
                    <w:t xml:space="preserve">0.976</w:t>
                  </w:r>
                </w:p>
              </w:tc>
            </w:tr>
            <w:tr>
              <w:tc>
                <w:tcPr/>
                <w:p>
                  <w:pPr>
                    <w:pStyle w:val="Compact"/>
                    <w:jc w:val="left"/>
                    <w:jc w:val="center"/>
                  </w:pPr>
                  <w:r>
                    <w:t xml:space="preserve">   PERMDISP</w:t>
                  </w:r>
                </w:p>
              </w:tc>
              <w:tc>
                <w:tcPr/>
                <w:p>
                  <w:pPr>
                    <w:pStyle w:val="Compact"/>
                    <w:jc w:val="left"/>
                    <w:jc w:val="center"/>
                  </w:pPr>
                  <w:r>
                    <w:t xml:space="preserve">dispersion</w:t>
                  </w:r>
                </w:p>
              </w:tc>
              <w:tc>
                <w:tcPr/>
                <w:p>
                  <w:pPr>
                    <w:pStyle w:val="Compact"/>
                  </w:pPr>
                </w:p>
              </w:tc>
              <w:tc>
                <w:tcPr/>
                <w:p>
                  <w:pPr>
                    <w:pStyle w:val="Compact"/>
                    <w:jc w:val="right"/>
                    <w:jc w:val="center"/>
                  </w:pPr>
                  <w:r>
                    <w:t xml:space="preserve">0.35</w:t>
                  </w:r>
                </w:p>
              </w:tc>
              <w:tc>
                <w:tcPr/>
                <w:p>
                  <w:pPr>
                    <w:pStyle w:val="Compact"/>
                    <w:jc w:val="right"/>
                    <w:jc w:val="center"/>
                  </w:pPr>
                  <w:r>
                    <w:t xml:space="preserve">0.558</w:t>
                  </w:r>
                </w:p>
              </w:tc>
              <w:tc>
                <w:tcPr/>
                <w:p>
                  <w:pPr>
                    <w:pStyle w:val="Compact"/>
                  </w:pPr>
                </w:p>
              </w:tc>
              <w:tc>
                <w:tcPr/>
                <w:p>
                  <w:pPr>
                    <w:pStyle w:val="Compact"/>
                    <w:jc w:val="right"/>
                    <w:jc w:val="center"/>
                  </w:pPr>
                  <w:r>
                    <w:t xml:space="preserve">0.23</w:t>
                  </w:r>
                </w:p>
              </w:tc>
              <w:tc>
                <w:tcPr/>
                <w:p>
                  <w:pPr>
                    <w:pStyle w:val="Compact"/>
                    <w:jc w:val="right"/>
                    <w:jc w:val="center"/>
                  </w:pPr>
                  <w:r>
                    <w:t xml:space="preserve">0.624</w:t>
                  </w:r>
                </w:p>
              </w:tc>
            </w:tr>
            <w:tr>
              <w:tc>
                <w:tcPr/>
                <w:p>
                  <w:pPr>
                    <w:pStyle w:val="Compact"/>
                    <w:jc w:val="left"/>
                    <w:jc w:val="center"/>
                  </w:pPr>
                  <w:r>
                    <w:rPr>
                      <w:b/>
                      <w:bCs/>
                    </w:rPr>
                    <w:t xml:space="preserve">Surface Quina vs Longtan non-Quina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PERMANOVA</w:t>
                  </w:r>
                </w:p>
              </w:tc>
              <w:tc>
                <w:tcPr/>
                <w:p>
                  <w:pPr>
                    <w:pStyle w:val="Compact"/>
                    <w:jc w:val="left"/>
                    <w:jc w:val="center"/>
                  </w:pPr>
                  <w:r>
                    <w:t xml:space="preserve">centroid position</w:t>
                  </w:r>
                </w:p>
              </w:tc>
              <w:tc>
                <w:tcPr/>
                <w:p>
                  <w:pPr>
                    <w:pStyle w:val="Compact"/>
                    <w:jc w:val="right"/>
                    <w:jc w:val="center"/>
                  </w:pPr>
                  <w:r>
                    <w:t xml:space="preserve">0.287</w:t>
                  </w:r>
                </w:p>
              </w:tc>
              <w:tc>
                <w:tcPr/>
                <w:p>
                  <w:pPr>
                    <w:pStyle w:val="Compact"/>
                    <w:jc w:val="right"/>
                    <w:jc w:val="center"/>
                  </w:pPr>
                  <w:r>
                    <w:t xml:space="preserve">97.51</w:t>
                  </w:r>
                </w:p>
              </w:tc>
              <w:tc>
                <w:tcPr/>
                <w:p>
                  <w:pPr>
                    <w:pStyle w:val="Compact"/>
                    <w:jc w:val="right"/>
                    <w:jc w:val="center"/>
                  </w:pPr>
                  <w:r>
                    <w:t xml:space="preserve">&lt; 0.001</w:t>
                  </w:r>
                </w:p>
              </w:tc>
              <w:tc>
                <w:tcPr/>
                <w:p>
                  <w:pPr>
                    <w:pStyle w:val="Compact"/>
                    <w:jc w:val="right"/>
                    <w:jc w:val="center"/>
                  </w:pPr>
                  <w:r>
                    <w:t xml:space="preserve">0.319</w:t>
                  </w:r>
                </w:p>
              </w:tc>
              <w:tc>
                <w:tcPr/>
                <w:p>
                  <w:pPr>
                    <w:pStyle w:val="Compact"/>
                    <w:jc w:val="right"/>
                    <w:jc w:val="center"/>
                  </w:pPr>
                  <w:r>
                    <w:t xml:space="preserve">106.15</w:t>
                  </w:r>
                </w:p>
              </w:tc>
              <w:tc>
                <w:tcPr/>
                <w:p>
                  <w:pPr>
                    <w:pStyle w:val="Compact"/>
                    <w:jc w:val="right"/>
                    <w:jc w:val="center"/>
                  </w:pPr>
                  <w:r>
                    <w:t xml:space="preserve">&lt; 0.001</w:t>
                  </w:r>
                </w:p>
              </w:tc>
            </w:tr>
            <w:tr>
              <w:tc>
                <w:tcPr/>
                <w:p>
                  <w:pPr>
                    <w:pStyle w:val="Compact"/>
                    <w:jc w:val="left"/>
                    <w:jc w:val="center"/>
                  </w:pPr>
                  <w:r>
                    <w:t xml:space="preserve">   PERMDISP</w:t>
                  </w:r>
                </w:p>
              </w:tc>
              <w:tc>
                <w:tcPr/>
                <w:p>
                  <w:pPr>
                    <w:pStyle w:val="Compact"/>
                    <w:jc w:val="left"/>
                    <w:jc w:val="center"/>
                  </w:pPr>
                  <w:r>
                    <w:t xml:space="preserve">dispersion</w:t>
                  </w:r>
                </w:p>
              </w:tc>
              <w:tc>
                <w:tcPr/>
                <w:p>
                  <w:pPr>
                    <w:pStyle w:val="Compact"/>
                  </w:pPr>
                </w:p>
              </w:tc>
              <w:tc>
                <w:tcPr/>
                <w:p>
                  <w:pPr>
                    <w:pStyle w:val="Compact"/>
                    <w:jc w:val="right"/>
                    <w:jc w:val="center"/>
                  </w:pPr>
                  <w:r>
                    <w:t xml:space="preserve">25.92</w:t>
                  </w:r>
                </w:p>
              </w:tc>
              <w:tc>
                <w:tcPr/>
                <w:p>
                  <w:pPr>
                    <w:pStyle w:val="Compact"/>
                    <w:jc w:val="right"/>
                    <w:jc w:val="center"/>
                  </w:pPr>
                  <w:r>
                    <w:t xml:space="preserve">&lt; 0.001</w:t>
                  </w:r>
                </w:p>
              </w:tc>
              <w:tc>
                <w:tcPr/>
                <w:p>
                  <w:pPr>
                    <w:pStyle w:val="Compact"/>
                  </w:pPr>
                </w:p>
              </w:tc>
              <w:tc>
                <w:tcPr/>
                <w:p>
                  <w:pPr>
                    <w:pStyle w:val="Compact"/>
                    <w:jc w:val="right"/>
                    <w:jc w:val="center"/>
                  </w:pPr>
                  <w:r>
                    <w:t xml:space="preserve">24.60</w:t>
                  </w:r>
                </w:p>
              </w:tc>
              <w:tc>
                <w:tcPr/>
                <w:p>
                  <w:pPr>
                    <w:pStyle w:val="Compact"/>
                    <w:jc w:val="right"/>
                    <w:jc w:val="center"/>
                  </w:pPr>
                  <w:r>
                    <w:t xml:space="preserve">&lt; 0.001</w:t>
                  </w:r>
                </w:p>
              </w:tc>
            </w:tr>
            <w:tr>
              <w:tc>
                <w:tcPr/>
                <w:p>
                  <w:pPr>
                    <w:pStyle w:val="Compact"/>
                    <w:jc w:val="left"/>
                    <w:jc w:val="center"/>
                  </w:pPr>
                  <w:r>
                    <w:rPr>
                      <w:b/>
                      <w:bCs/>
                    </w:rPr>
                    <w:t xml:space="preserve">Longtan Quina vs Longtan non-Quina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PERMANOVA</w:t>
                  </w:r>
                </w:p>
              </w:tc>
              <w:tc>
                <w:tcPr/>
                <w:p>
                  <w:pPr>
                    <w:pStyle w:val="Compact"/>
                    <w:jc w:val="left"/>
                    <w:jc w:val="center"/>
                  </w:pPr>
                  <w:r>
                    <w:t xml:space="preserve">centroid position</w:t>
                  </w:r>
                </w:p>
              </w:tc>
              <w:tc>
                <w:tcPr/>
                <w:p>
                  <w:pPr>
                    <w:pStyle w:val="Compact"/>
                    <w:jc w:val="right"/>
                    <w:jc w:val="center"/>
                  </w:pPr>
                  <w:r>
                    <w:t xml:space="preserve">0.362</w:t>
                  </w:r>
                </w:p>
              </w:tc>
              <w:tc>
                <w:tcPr/>
                <w:p>
                  <w:pPr>
                    <w:pStyle w:val="Compact"/>
                    <w:jc w:val="right"/>
                    <w:jc w:val="center"/>
                  </w:pPr>
                  <w:r>
                    <w:t xml:space="preserve">73.67</w:t>
                  </w:r>
                </w:p>
              </w:tc>
              <w:tc>
                <w:tcPr/>
                <w:p>
                  <w:pPr>
                    <w:pStyle w:val="Compact"/>
                    <w:jc w:val="right"/>
                    <w:jc w:val="center"/>
                  </w:pPr>
                  <w:r>
                    <w:t xml:space="preserve">&lt; 0.001</w:t>
                  </w:r>
                </w:p>
              </w:tc>
              <w:tc>
                <w:tcPr/>
                <w:p>
                  <w:pPr>
                    <w:pStyle w:val="Compact"/>
                    <w:jc w:val="right"/>
                    <w:jc w:val="center"/>
                  </w:pPr>
                  <w:r>
                    <w:t xml:space="preserve">0.360</w:t>
                  </w:r>
                </w:p>
              </w:tc>
              <w:tc>
                <w:tcPr/>
                <w:p>
                  <w:pPr>
                    <w:pStyle w:val="Compact"/>
                    <w:jc w:val="right"/>
                    <w:jc w:val="center"/>
                  </w:pPr>
                  <w:r>
                    <w:t xml:space="preserve">73.28</w:t>
                  </w:r>
                </w:p>
              </w:tc>
              <w:tc>
                <w:tcPr/>
                <w:p>
                  <w:pPr>
                    <w:pStyle w:val="Compact"/>
                    <w:jc w:val="right"/>
                    <w:jc w:val="center"/>
                  </w:pPr>
                  <w:r>
                    <w:t xml:space="preserve">&lt; 0.001</w:t>
                  </w:r>
                </w:p>
              </w:tc>
            </w:tr>
            <w:tr>
              <w:tc>
                <w:tcPr/>
                <w:p>
                  <w:pPr>
                    <w:pStyle w:val="Compact"/>
                    <w:jc w:val="left"/>
                    <w:jc w:val="center"/>
                  </w:pPr>
                  <w:r>
                    <w:t xml:space="preserve">   PERMDISP</w:t>
                  </w:r>
                </w:p>
              </w:tc>
              <w:tc>
                <w:tcPr/>
                <w:p>
                  <w:pPr>
                    <w:pStyle w:val="Compact"/>
                    <w:jc w:val="left"/>
                    <w:jc w:val="center"/>
                  </w:pPr>
                  <w:r>
                    <w:t xml:space="preserve">dispersion</w:t>
                  </w:r>
                </w:p>
              </w:tc>
              <w:tc>
                <w:tcPr/>
                <w:p>
                  <w:pPr>
                    <w:pStyle w:val="Compact"/>
                  </w:pPr>
                </w:p>
              </w:tc>
              <w:tc>
                <w:tcPr/>
                <w:p>
                  <w:pPr>
                    <w:pStyle w:val="Compact"/>
                    <w:jc w:val="right"/>
                    <w:jc w:val="center"/>
                  </w:pPr>
                  <w:r>
                    <w:t xml:space="preserve">16.99</w:t>
                  </w:r>
                </w:p>
              </w:tc>
              <w:tc>
                <w:tcPr/>
                <w:p>
                  <w:pPr>
                    <w:pStyle w:val="Compact"/>
                    <w:jc w:val="right"/>
                    <w:jc w:val="center"/>
                  </w:pPr>
                  <w:r>
                    <w:t xml:space="preserve">&lt; 0.001</w:t>
                  </w:r>
                </w:p>
              </w:tc>
              <w:tc>
                <w:tcPr/>
                <w:p>
                  <w:pPr>
                    <w:pStyle w:val="Compact"/>
                  </w:pPr>
                </w:p>
              </w:tc>
              <w:tc>
                <w:tcPr/>
                <w:p>
                  <w:pPr>
                    <w:pStyle w:val="Compact"/>
                    <w:jc w:val="right"/>
                    <w:jc w:val="center"/>
                  </w:pPr>
                  <w:r>
                    <w:t xml:space="preserve">16.88</w:t>
                  </w:r>
                </w:p>
              </w:tc>
              <w:tc>
                <w:tcPr/>
                <w:p>
                  <w:pPr>
                    <w:pStyle w:val="Compact"/>
                    <w:jc w:val="right"/>
                    <w:jc w:val="center"/>
                  </w:pPr>
                  <w:r>
                    <w:t xml:space="preserve">&lt; 0.001</w:t>
                  </w:r>
                </w:p>
              </w:tc>
            </w:tr>
          </w:tbl>
          <w:bookmarkEnd w:id="28"/>
          <w:p/>
        </w:tc>
      </w:tr>
    </w:tbl>
    <w:p>
      <w:r>
        <w:br w:type="page"/>
      </w:r>
    </w:p>
    <w:tbl>
      <w:tblPr>
        <w:tblStyle w:val="Table"/>
        <w:tblW w:type="pct" w:w="5000"/>
        <w:tblLayout w:type="fixed"/>
        <w:tblLook w:firstRow="0" w:lastRow="0" w:firstColumn="0" w:lastColumn="0" w:noHBand="0" w:noVBand="0" w:val="0000"/>
      </w:tblPr>
      <w:tblGrid>
        <w:gridCol w:w="7920"/>
      </w:tblGrid>
      <w:tr>
        <w:tc>
          <w:tcPr/>
          <w:bookmarkStart w:id="32" w:name="fig-sensitivity-pca"/>
          <w:p>
            <w:pPr>
              <w:pStyle w:val="Compact"/>
              <w:jc w:val="center"/>
            </w:pPr>
            <w:r>
              <w:drawing>
                <wp:inline>
                  <wp:extent cx="5403966" cy="3388928"/>
                  <wp:effectExtent b="0" l="0" r="0" t="0"/>
                  <wp:docPr descr="" title="" id="30" name="Picture"/>
                  <a:graphic>
                    <a:graphicData uri="http://schemas.openxmlformats.org/drawingml/2006/picture">
                      <pic:pic>
                        <pic:nvPicPr>
                          <pic:cNvPr descr="supplementary_files/figure-docx/fig-sensitivity-pca-1.png" id="31" name="Picture"/>
                          <pic:cNvPicPr>
                            <a:picLocks noChangeArrowheads="1" noChangeAspect="1"/>
                          </pic:cNvPicPr>
                        </pic:nvPicPr>
                        <pic:blipFill>
                          <a:blip r:embed="rId29"/>
                          <a:stretch>
                            <a:fillRect/>
                          </a:stretch>
                        </pic:blipFill>
                        <pic:spPr bwMode="auto">
                          <a:xfrm>
                            <a:off x="0" y="0"/>
                            <a:ext cx="5403966" cy="3388928"/>
                          </a:xfrm>
                          <a:prstGeom prst="rect">
                            <a:avLst/>
                          </a:prstGeom>
                          <a:noFill/>
                          <a:ln w="9525">
                            <a:noFill/>
                            <a:headEnd/>
                            <a:tailEnd/>
                          </a:ln>
                        </pic:spPr>
                      </pic:pic>
                    </a:graphicData>
                  </a:graphic>
                </wp:inline>
              </w:drawing>
            </w:r>
          </w:p>
          <w:p>
            <w:pPr>
              <w:jc w:val="center"/>
            </w:pPr>
            <w:pPr>
              <w:jc w:val="left"/>
              <w:spacing w:before="200"/>
              <w:pStyle w:val="ImageCaption"/>
            </w:pPr>
            <w:r>
              <w:t xml:space="preserve">Fig. S4: Ordination of the technological space with the surface specimens from within the area of the Longtan site removed, to be compared with panel A of the corresponding figure in the main text. (A) Specimen scores, with convex hulls enclosing each group and filled points marking group centroids. (B) Loadings of the six variables on the same two components, drawn on their own axes so that the specimen scores are not overplotted.</w:t>
            </w:r>
          </w:p>
          <w:bookmarkEnd w:id="32"/>
        </w:tc>
      </w:tr>
    </w:tbl>
    <w:p>
      <w:r>
        <w:br w:type="page"/>
      </w:r>
    </w:p>
    <w:bookmarkEnd w:id="33"/>
    <w:bookmarkStart w:id="42" w:name="raw-material-economy"/>
    <w:p>
      <w:pPr>
        <w:pStyle w:val="Heading1"/>
      </w:pPr>
      <w:r>
        <w:t xml:space="preserve">Raw material economy</w:t>
      </w:r>
    </w:p>
    <w:p>
      <w:pPr>
        <w:pStyle w:val="FirstParagraph"/>
      </w:pPr>
      <w:r>
        <w:t xml:space="preserve">This section reports what was available on the river bars and what was chosen from it.</w:t>
      </w:r>
      <w:r>
        <w:t xml:space="preserve"> </w:t>
      </w:r>
      <w:hyperlink w:anchor="fig-sample-points">
        <w:r>
          <w:rPr>
            <w:rStyle w:val="Hyperlink"/>
          </w:rPr>
          <w:t xml:space="preserve">Fig. S5</w:t>
        </w:r>
      </w:hyperlink>
      <w:r>
        <w:t xml:space="preserve"> </w:t>
      </w:r>
      <w:r>
        <w:t xml:space="preserve">shows the sampling points at which the cobbles were recorded.</w:t>
      </w:r>
      <w:r>
        <w:t xml:space="preserve"> </w:t>
      </w:r>
      <w:hyperlink w:anchor="tbl-composition">
        <w:r>
          <w:rPr>
            <w:rStyle w:val="Hyperlink"/>
          </w:rPr>
          <w:t xml:space="preserve">Table S7</w:t>
        </w:r>
      </w:hyperlink>
      <w:r>
        <w:t xml:space="preserve"> </w:t>
      </w:r>
      <w:r>
        <w:t xml:space="preserve">gives the raw material composition of the surveyed cobbles and of the surface Quina scrapers, valley by valley, and</w:t>
      </w:r>
      <w:r>
        <w:t xml:space="preserve"> </w:t>
      </w:r>
      <w:hyperlink w:anchor="tbl-electivity">
        <w:r>
          <w:rPr>
            <w:rStyle w:val="Hyperlink"/>
          </w:rPr>
          <w:t xml:space="preserve">Table S8</w:t>
        </w:r>
      </w:hyperlink>
      <w:r>
        <w:t xml:space="preserve"> </w:t>
      </w:r>
      <w:r>
        <w:t xml:space="preserve">sets the two against one another as an index of selection.</w:t>
      </w:r>
      <w:r>
        <w:t xml:space="preserve"> </w:t>
      </w:r>
      <w:hyperlink w:anchor="tbl-rawmat-permanova">
        <w:r>
          <w:rPr>
            <w:rStyle w:val="Hyperlink"/>
          </w:rPr>
          <w:t xml:space="preserve">Table S9</w:t>
        </w:r>
      </w:hyperlink>
      <w:r>
        <w:t xml:space="preserve"> </w:t>
      </w:r>
      <w:r>
        <w:t xml:space="preserve">tests whether composition differs between sampling points, valleys and basins, and</w:t>
      </w:r>
      <w:r>
        <w:t xml:space="preserve"> </w:t>
      </w:r>
      <w:hyperlink w:anchor="tbl-clast-size">
        <w:r>
          <w:rPr>
            <w:rStyle w:val="Hyperlink"/>
          </w:rPr>
          <w:t xml:space="preserve">Table S10</w:t>
        </w:r>
      </w:hyperlink>
      <w:r>
        <w:t xml:space="preserve"> </w:t>
      </w:r>
      <w:r>
        <w:t xml:space="preserve">reports the size of the surveyed cobbles by lithology.</w:t>
      </w:r>
    </w:p>
    <w:p>
      <w:r>
        <w:br w:type="page"/>
      </w:r>
    </w:p>
    <w:tbl>
      <w:tblPr>
        <w:tblStyle w:val="Table"/>
        <w:tblW w:type="pct" w:w="5000"/>
        <w:tblLayout w:type="fixed"/>
        <w:tblLook w:firstRow="0" w:lastRow="0" w:firstColumn="0" w:lastColumn="0" w:noHBand="0" w:noVBand="0" w:val="0000"/>
      </w:tblPr>
      <w:tblGrid>
        <w:gridCol w:w="7920"/>
      </w:tblGrid>
      <w:tr>
        <w:tc>
          <w:tcPr/>
          <w:bookmarkStart w:id="37" w:name="fig-sample-points"/>
          <w:p>
            <w:pPr>
              <w:pStyle w:val="Compact"/>
              <w:jc w:val="center"/>
            </w:pPr>
            <w:r>
              <w:drawing>
                <wp:inline>
                  <wp:extent cx="5394960" cy="5451497"/>
                  <wp:effectExtent b="0" l="0" r="0" t="0"/>
                  <wp:docPr descr="" title="" id="35" name="Picture"/>
                  <a:graphic>
                    <a:graphicData uri="http://schemas.openxmlformats.org/drawingml/2006/picture">
                      <pic:pic>
                        <pic:nvPicPr>
                          <pic:cNvPr descr="../figures/sample_point_photo.png" id="36" name="Picture"/>
                          <pic:cNvPicPr>
                            <a:picLocks noChangeArrowheads="1" noChangeAspect="1"/>
                          </pic:cNvPicPr>
                        </pic:nvPicPr>
                        <pic:blipFill>
                          <a:blip r:embed="rId34"/>
                          <a:stretch>
                            <a:fillRect/>
                          </a:stretch>
                        </pic:blipFill>
                        <pic:spPr bwMode="auto">
                          <a:xfrm>
                            <a:off x="0" y="0"/>
                            <a:ext cx="5394960" cy="5451497"/>
                          </a:xfrm>
                          <a:prstGeom prst="rect">
                            <a:avLst/>
                          </a:prstGeom>
                          <a:noFill/>
                          <a:ln w="9525">
                            <a:noFill/>
                            <a:headEnd/>
                            <a:tailEnd/>
                          </a:ln>
                        </pic:spPr>
                      </pic:pic>
                    </a:graphicData>
                  </a:graphic>
                </wp:inline>
              </w:drawing>
            </w:r>
          </w:p>
          <w:p>
            <w:pPr>
              <w:jc w:val="center"/>
            </w:pPr>
            <w:pPr>
              <w:jc w:val="left"/>
              <w:spacing w:before="200"/>
              <w:pStyle w:val="ImageCaption"/>
            </w:pPr>
            <w:r>
              <w:t xml:space="preserve">Fig. S5: The gravel-bar sampling points. (A) to (E) The five points at which the surveyed cobbles were recorded, each with the cleared quadrat marked out by string and a spirit level laid across it for scale. (F) A general view of one of the sampled channels. Every cobble longer than 30 mm exposed at the surface within the quadrat was recorded.</w:t>
            </w:r>
          </w:p>
          <w:bookmarkEnd w:id="37"/>
        </w:tc>
      </w:tr>
    </w:tbl>
    <w:p>
      <w:r>
        <w:br w:type="page"/>
      </w:r>
    </w:p>
    <w:tbl>
      <w:tblPr>
        <w:tblStyle w:val="Table"/>
        <w:tblW w:type="pct" w:w="5000"/>
        <w:tblLayout w:type="fixed"/>
        <w:tblLook w:firstRow="0" w:lastRow="0" w:firstColumn="0" w:lastColumn="0" w:noHBand="0" w:noVBand="0" w:val="0000"/>
      </w:tblPr>
      <w:tblGrid>
        <w:gridCol w:w="7920"/>
      </w:tblGrid>
      <w:tr>
        <w:tc>
          <w:tcPr/>
          <w:bookmarkStart w:id="38" w:name="tbl-composition"/>
          <w:p>
            <w:pPr>
              <w:jc w:val="center"/>
            </w:pPr>
            <w:pPr>
              <w:jc w:val="left"/>
              <w:spacing w:before="200"/>
              <w:pStyle w:val="ImageCaption"/>
            </w:pPr>
            <w:r>
              <w:t xml:space="preserve">Table S7: Raw material composition of the river-bar cobbles and of the surface-collected Quina scrapers, by valley. Cells give the count with the percentage of the row in parentheses.</w:t>
            </w:r>
          </w:p>
          <w:tbl>
            <w:tblPr>
              <w:tblStyle w:val="Table"/>
              <w:tblW w:type="pct" w:w="5000"/>
              <w:tblLayout w:type="fixed"/>
              <w:tblLook w:firstRow="1" w:lastRow="0" w:firstColumn="0" w:lastColumn="0" w:noHBand="0" w:noVBand="0" w:val="0020"/>
            </w:tblPr>
            <w:tblGrid>
              <w:gridCol w:w="2607"/>
              <w:gridCol w:w="1159"/>
              <w:gridCol w:w="1159"/>
              <w:gridCol w:w="869"/>
              <w:gridCol w:w="869"/>
              <w:gridCol w:w="869"/>
              <w:gridCol w:w="386"/>
            </w:tblGrid>
            <w:tr>
              <w:trPr>
                <w:tblHeader w:val="on"/>
              </w:trPr>
              <w:tc>
                <w:tcPr/>
                <w:p>
                  <w:pPr>
                    <w:pStyle w:val="Compact"/>
                    <w:jc w:val="left"/>
                    <w:jc w:val="center"/>
                  </w:pPr>
                  <w:r>
                    <w:t xml:space="preserve">Valley</w:t>
                  </w:r>
                </w:p>
              </w:tc>
              <w:tc>
                <w:tcPr/>
                <w:p>
                  <w:pPr>
                    <w:pStyle w:val="Compact"/>
                    <w:jc w:val="right"/>
                    <w:jc w:val="center"/>
                  </w:pPr>
                  <w:r>
                    <w:t xml:space="preserve">Trachyte</w:t>
                  </w:r>
                </w:p>
              </w:tc>
              <w:tc>
                <w:tcPr/>
                <w:p>
                  <w:pPr>
                    <w:pStyle w:val="Compact"/>
                    <w:jc w:val="right"/>
                    <w:jc w:val="center"/>
                  </w:pPr>
                  <w:r>
                    <w:t xml:space="preserve">Sandstone</w:t>
                  </w:r>
                </w:p>
              </w:tc>
              <w:tc>
                <w:tcPr/>
                <w:p>
                  <w:pPr>
                    <w:pStyle w:val="Compact"/>
                    <w:jc w:val="right"/>
                    <w:jc w:val="center"/>
                  </w:pPr>
                  <w:r>
                    <w:t xml:space="preserve">Quartz</w:t>
                  </w:r>
                </w:p>
              </w:tc>
              <w:tc>
                <w:tcPr/>
                <w:p>
                  <w:pPr>
                    <w:pStyle w:val="Compact"/>
                    <w:jc w:val="right"/>
                    <w:jc w:val="center"/>
                  </w:pPr>
                  <w:r>
                    <w:t xml:space="preserve">Mudstone</w:t>
                  </w:r>
                </w:p>
              </w:tc>
              <w:tc>
                <w:tcPr/>
                <w:p>
                  <w:pPr>
                    <w:pStyle w:val="Compact"/>
                    <w:jc w:val="right"/>
                    <w:jc w:val="center"/>
                  </w:pPr>
                  <w:r>
                    <w:t xml:space="preserve">Andesite</w:t>
                  </w:r>
                </w:p>
              </w:tc>
              <w:tc>
                <w:tcPr/>
                <w:p>
                  <w:pPr>
                    <w:pStyle w:val="Compact"/>
                    <w:jc w:val="right"/>
                    <w:jc w:val="center"/>
                  </w:pPr>
                  <w:r>
                    <w:rPr>
                      <w:i/>
                      <w:iCs/>
                    </w:rPr>
                    <w:t xml:space="preserve">n</w:t>
                  </w:r>
                </w:p>
              </w:tc>
            </w:tr>
            <w:tr>
              <w:tc>
                <w:tcPr/>
                <w:p>
                  <w:pPr>
                    <w:pStyle w:val="Compact"/>
                    <w:jc w:val="left"/>
                    <w:jc w:val="center"/>
                  </w:pPr>
                  <w:r>
                    <w:rPr>
                      <w:b/>
                      <w:bCs/>
                    </w:rPr>
                    <w:t xml:space="preserve">River cobbles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Sangyuan</w:t>
                  </w:r>
                </w:p>
              </w:tc>
              <w:tc>
                <w:tcPr/>
                <w:p>
                  <w:pPr>
                    <w:pStyle w:val="Compact"/>
                    <w:jc w:val="right"/>
                    <w:jc w:val="center"/>
                  </w:pPr>
                  <w:r>
                    <w:t xml:space="preserve">9 (8.9%)</w:t>
                  </w:r>
                </w:p>
              </w:tc>
              <w:tc>
                <w:tcPr/>
                <w:p>
                  <w:pPr>
                    <w:pStyle w:val="Compact"/>
                    <w:jc w:val="right"/>
                    <w:jc w:val="center"/>
                  </w:pPr>
                  <w:r>
                    <w:t xml:space="preserve">84 (83.2%)</w:t>
                  </w:r>
                </w:p>
              </w:tc>
              <w:tc>
                <w:tcPr/>
                <w:p>
                  <w:pPr>
                    <w:pStyle w:val="Compact"/>
                    <w:jc w:val="right"/>
                    <w:jc w:val="center"/>
                  </w:pPr>
                  <w:r>
                    <w:t xml:space="preserve">1 (1.0%)</w:t>
                  </w:r>
                </w:p>
              </w:tc>
              <w:tc>
                <w:tcPr/>
                <w:p>
                  <w:pPr>
                    <w:pStyle w:val="Compact"/>
                    <w:jc w:val="right"/>
                    <w:jc w:val="center"/>
                  </w:pPr>
                  <w:r>
                    <w:t xml:space="preserve">7 (6.9%)</w:t>
                  </w:r>
                </w:p>
              </w:tc>
              <w:tc>
                <w:tcPr/>
                <w:p>
                  <w:pPr>
                    <w:pStyle w:val="Compact"/>
                    <w:jc w:val="right"/>
                    <w:jc w:val="center"/>
                  </w:pPr>
                  <w:r>
                    <w:t xml:space="preserve">0</w:t>
                  </w:r>
                </w:p>
              </w:tc>
              <w:tc>
                <w:tcPr/>
                <w:p>
                  <w:pPr>
                    <w:pStyle w:val="Compact"/>
                    <w:jc w:val="right"/>
                    <w:jc w:val="center"/>
                  </w:pPr>
                  <w:r>
                    <w:t xml:space="preserve">101</w:t>
                  </w:r>
                </w:p>
              </w:tc>
            </w:tr>
            <w:tr>
              <w:tc>
                <w:tcPr/>
                <w:p>
                  <w:pPr>
                    <w:pStyle w:val="Compact"/>
                    <w:jc w:val="left"/>
                    <w:jc w:val="center"/>
                  </w:pPr>
                  <w:r>
                    <w:t xml:space="preserve">   Liandong</w:t>
                  </w:r>
                </w:p>
              </w:tc>
              <w:tc>
                <w:tcPr/>
                <w:p>
                  <w:pPr>
                    <w:pStyle w:val="Compact"/>
                    <w:jc w:val="right"/>
                    <w:jc w:val="center"/>
                  </w:pPr>
                  <w:r>
                    <w:t xml:space="preserve">87 (46.3%)</w:t>
                  </w:r>
                </w:p>
              </w:tc>
              <w:tc>
                <w:tcPr/>
                <w:p>
                  <w:pPr>
                    <w:pStyle w:val="Compact"/>
                    <w:jc w:val="right"/>
                    <w:jc w:val="center"/>
                  </w:pPr>
                  <w:r>
                    <w:t xml:space="preserve">98 (52.1%)</w:t>
                  </w:r>
                </w:p>
              </w:tc>
              <w:tc>
                <w:tcPr/>
                <w:p>
                  <w:pPr>
                    <w:pStyle w:val="Compact"/>
                    <w:jc w:val="right"/>
                    <w:jc w:val="center"/>
                  </w:pPr>
                  <w:r>
                    <w:t xml:space="preserve">1 (0.5%)</w:t>
                  </w:r>
                </w:p>
              </w:tc>
              <w:tc>
                <w:tcPr/>
                <w:p>
                  <w:pPr>
                    <w:pStyle w:val="Compact"/>
                    <w:jc w:val="right"/>
                    <w:jc w:val="center"/>
                  </w:pPr>
                  <w:r>
                    <w:t xml:space="preserve">2 (1.1%)</w:t>
                  </w:r>
                </w:p>
              </w:tc>
              <w:tc>
                <w:tcPr/>
                <w:p>
                  <w:pPr>
                    <w:pStyle w:val="Compact"/>
                    <w:jc w:val="right"/>
                    <w:jc w:val="center"/>
                  </w:pPr>
                  <w:r>
                    <w:t xml:space="preserve">0</w:t>
                  </w:r>
                </w:p>
              </w:tc>
              <w:tc>
                <w:tcPr/>
                <w:p>
                  <w:pPr>
                    <w:pStyle w:val="Compact"/>
                    <w:jc w:val="right"/>
                    <w:jc w:val="center"/>
                  </w:pPr>
                  <w:r>
                    <w:t xml:space="preserve">188</w:t>
                  </w:r>
                </w:p>
              </w:tc>
            </w:tr>
            <w:tr>
              <w:tc>
                <w:tcPr/>
                <w:p>
                  <w:pPr>
                    <w:pStyle w:val="Compact"/>
                    <w:jc w:val="left"/>
                    <w:jc w:val="center"/>
                  </w:pPr>
                  <w:r>
                    <w:t xml:space="preserve">   Caifeng</w:t>
                  </w:r>
                </w:p>
              </w:tc>
              <w:tc>
                <w:tcPr/>
                <w:p>
                  <w:pPr>
                    <w:pStyle w:val="Compact"/>
                    <w:jc w:val="right"/>
                    <w:jc w:val="center"/>
                  </w:pPr>
                  <w:r>
                    <w:t xml:space="preserve">33 (18.3%)</w:t>
                  </w:r>
                </w:p>
              </w:tc>
              <w:tc>
                <w:tcPr/>
                <w:p>
                  <w:pPr>
                    <w:pStyle w:val="Compact"/>
                    <w:jc w:val="right"/>
                    <w:jc w:val="center"/>
                  </w:pPr>
                  <w:r>
                    <w:t xml:space="preserve">145 (80.6%)</w:t>
                  </w:r>
                </w:p>
              </w:tc>
              <w:tc>
                <w:tcPr/>
                <w:p>
                  <w:pPr>
                    <w:pStyle w:val="Compact"/>
                    <w:jc w:val="right"/>
                    <w:jc w:val="center"/>
                  </w:pPr>
                  <w:r>
                    <w:t xml:space="preserve">1 (0.6%)</w:t>
                  </w:r>
                </w:p>
              </w:tc>
              <w:tc>
                <w:tcPr/>
                <w:p>
                  <w:pPr>
                    <w:pStyle w:val="Compact"/>
                    <w:jc w:val="right"/>
                    <w:jc w:val="center"/>
                  </w:pPr>
                  <w:r>
                    <w:t xml:space="preserve">1 (0.6%)</w:t>
                  </w:r>
                </w:p>
              </w:tc>
              <w:tc>
                <w:tcPr/>
                <w:p>
                  <w:pPr>
                    <w:pStyle w:val="Compact"/>
                    <w:jc w:val="right"/>
                    <w:jc w:val="center"/>
                  </w:pPr>
                  <w:r>
                    <w:t xml:space="preserve">0</w:t>
                  </w:r>
                </w:p>
              </w:tc>
              <w:tc>
                <w:tcPr/>
                <w:p>
                  <w:pPr>
                    <w:pStyle w:val="Compact"/>
                    <w:jc w:val="right"/>
                    <w:jc w:val="center"/>
                  </w:pPr>
                  <w:r>
                    <w:t xml:space="preserve">180</w:t>
                  </w:r>
                </w:p>
              </w:tc>
            </w:tr>
            <w:tr>
              <w:tc>
                <w:tcPr/>
                <w:p>
                  <w:pPr>
                    <w:pStyle w:val="Compact"/>
                    <w:jc w:val="left"/>
                    <w:jc w:val="center"/>
                  </w:pPr>
                  <w:r>
                    <w:rPr>
                      <w:b/>
                      <w:bCs/>
                    </w:rPr>
                    <w:t xml:space="preserve">Surface Quina scrapers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Sangyuan</w:t>
                  </w:r>
                </w:p>
              </w:tc>
              <w:tc>
                <w:tcPr/>
                <w:p>
                  <w:pPr>
                    <w:pStyle w:val="Compact"/>
                    <w:jc w:val="right"/>
                    <w:jc w:val="center"/>
                  </w:pPr>
                  <w:r>
                    <w:t xml:space="preserve">6 (100.0%)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   Liandong</w:t>
                  </w:r>
                </w:p>
              </w:tc>
              <w:tc>
                <w:tcPr/>
                <w:p>
                  <w:pPr>
                    <w:pStyle w:val="Compact"/>
                    <w:jc w:val="right"/>
                    <w:jc w:val="center"/>
                  </w:pPr>
                  <w:r>
                    <w:t xml:space="preserve">39 (97.5%)</w:t>
                  </w:r>
                </w:p>
              </w:tc>
              <w:tc>
                <w:tcPr/>
                <w:p>
                  <w:pPr>
                    <w:pStyle w:val="Compact"/>
                    <w:jc w:val="right"/>
                    <w:jc w:val="center"/>
                  </w:pPr>
                  <w:r>
                    <w:t xml:space="preserve">1 (2.5%)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40</w:t>
                  </w:r>
                </w:p>
              </w:tc>
            </w:tr>
            <w:tr>
              <w:tc>
                <w:tcPr/>
                <w:p>
                  <w:pPr>
                    <w:pStyle w:val="Compact"/>
                    <w:jc w:val="left"/>
                    <w:jc w:val="center"/>
                  </w:pPr>
                  <w:r>
                    <w:t xml:space="preserve">   Caifeng</w:t>
                  </w:r>
                </w:p>
              </w:tc>
              <w:tc>
                <w:tcPr/>
                <w:p>
                  <w:pPr>
                    <w:pStyle w:val="Compact"/>
                    <w:jc w:val="right"/>
                    <w:jc w:val="center"/>
                  </w:pPr>
                  <w:r>
                    <w:t xml:space="preserve">114 (95.0%)</w:t>
                  </w:r>
                </w:p>
              </w:tc>
              <w:tc>
                <w:tcPr/>
                <w:p>
                  <w:pPr>
                    <w:pStyle w:val="Compact"/>
                    <w:jc w:val="right"/>
                    <w:jc w:val="center"/>
                  </w:pPr>
                  <w:r>
                    <w:t xml:space="preserve">2 (1.7%)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 (3.3%)</w:t>
                  </w:r>
                </w:p>
              </w:tc>
              <w:tc>
                <w:tcPr/>
                <w:p>
                  <w:pPr>
                    <w:pStyle w:val="Compact"/>
                    <w:jc w:val="right"/>
                    <w:jc w:val="center"/>
                  </w:pPr>
                  <w:r>
                    <w:t xml:space="preserve">120</w:t>
                  </w:r>
                </w:p>
              </w:tc>
            </w:tr>
          </w:tbl>
          <w:bookmarkEnd w:id="38"/>
          <w:p/>
        </w:tc>
      </w:tr>
    </w:tbl>
    <w:p>
      <w:r>
        <w:br w:type="page"/>
      </w:r>
    </w:p>
    <w:tbl>
      <w:tblPr>
        <w:tblStyle w:val="Table"/>
        <w:tblW w:type="pct" w:w="5000"/>
        <w:tblLayout w:type="fixed"/>
        <w:tblLook w:firstRow="0" w:lastRow="0" w:firstColumn="0" w:lastColumn="0" w:noHBand="0" w:noVBand="0" w:val="0000"/>
      </w:tblPr>
      <w:tblGrid>
        <w:gridCol w:w="7920"/>
      </w:tblGrid>
      <w:tr>
        <w:tc>
          <w:tcPr/>
          <w:bookmarkStart w:id="39" w:name="tbl-electivity"/>
          <w:p>
            <w:pPr>
              <w:jc w:val="center"/>
            </w:pPr>
            <w:pPr>
              <w:jc w:val="left"/>
              <w:spacing w:before="200"/>
              <w:pStyle w:val="ImageCaption"/>
            </w:pPr>
            <w:r>
              <w:t xml:space="preserve">Table S8: Jacobs’ electivity index for every raw material.</w:t>
            </w:r>
            <w:r>
              <w:t xml:space="preserve"> </w:t>
            </w:r>
            <w:r>
              <w:rPr>
                <w:i/>
                <w:iCs/>
              </w:rPr>
              <w:t xml:space="preserve">D</w:t>
            </w:r>
            <w:r>
              <w:t xml:space="preserve"> </w:t>
            </w:r>
            <w:r>
              <w:t xml:space="preserve">runs from −1, complete avoidance, through 0, use in proportion to availability, to +1, complete selection.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Raw material</w:t>
                  </w:r>
                </w:p>
              </w:tc>
              <w:tc>
                <w:tcPr/>
                <w:p>
                  <w:pPr>
                    <w:pStyle w:val="Compact"/>
                    <w:jc w:val="right"/>
                    <w:jc w:val="center"/>
                  </w:pPr>
                  <w:r>
                    <w:t xml:space="preserve">Cobbles</w:t>
                  </w:r>
                  <w:r>
                    <w:t xml:space="preserve"> </w:t>
                  </w:r>
                  <w:r>
                    <w:rPr>
                      <w:i/>
                      <w:iCs/>
                    </w:rPr>
                    <w:t xml:space="preserve">n</w:t>
                  </w:r>
                </w:p>
              </w:tc>
              <w:tc>
                <w:tcPr/>
                <w:p>
                  <w:pPr>
                    <w:pStyle w:val="Compact"/>
                    <w:jc w:val="right"/>
                    <w:jc w:val="center"/>
                  </w:pPr>
                  <w:r>
                    <w:t xml:space="preserve">Cobbles %</w:t>
                  </w:r>
                </w:p>
              </w:tc>
              <w:tc>
                <w:tcPr/>
                <w:p>
                  <w:pPr>
                    <w:pStyle w:val="Compact"/>
                    <w:jc w:val="right"/>
                    <w:jc w:val="center"/>
                  </w:pPr>
                  <w:r>
                    <w:t xml:space="preserve">Scrapers</w:t>
                  </w:r>
                  <w:r>
                    <w:t xml:space="preserve"> </w:t>
                  </w:r>
                  <w:r>
                    <w:rPr>
                      <w:i/>
                      <w:iCs/>
                    </w:rPr>
                    <w:t xml:space="preserve">n</w:t>
                  </w:r>
                </w:p>
              </w:tc>
              <w:tc>
                <w:tcPr/>
                <w:p>
                  <w:pPr>
                    <w:pStyle w:val="Compact"/>
                    <w:jc w:val="right"/>
                    <w:jc w:val="center"/>
                  </w:pPr>
                  <w:r>
                    <w:t xml:space="preserve">Scrapers %</w:t>
                  </w:r>
                </w:p>
              </w:tc>
              <w:tc>
                <w:tcPr/>
                <w:p>
                  <w:pPr>
                    <w:pStyle w:val="Compact"/>
                    <w:jc w:val="right"/>
                    <w:jc w:val="center"/>
                  </w:pPr>
                  <w:r>
                    <w:rPr>
                      <w:i/>
                      <w:iCs/>
                    </w:rPr>
                    <w:t xml:space="preserve">D</w:t>
                  </w:r>
                </w:p>
              </w:tc>
            </w:tr>
            <w:tr>
              <w:tc>
                <w:tcPr/>
                <w:p>
                  <w:pPr>
                    <w:pStyle w:val="Compact"/>
                    <w:jc w:val="left"/>
                    <w:jc w:val="center"/>
                  </w:pPr>
                  <w:r>
                    <w:t xml:space="preserve">Trachyte</w:t>
                  </w:r>
                </w:p>
              </w:tc>
              <w:tc>
                <w:tcPr/>
                <w:p>
                  <w:pPr>
                    <w:pStyle w:val="Compact"/>
                    <w:jc w:val="right"/>
                    <w:jc w:val="center"/>
                  </w:pPr>
                  <w:r>
                    <w:t xml:space="preserve">129</w:t>
                  </w:r>
                </w:p>
              </w:tc>
              <w:tc>
                <w:tcPr/>
                <w:p>
                  <w:pPr>
                    <w:pStyle w:val="Compact"/>
                    <w:jc w:val="right"/>
                    <w:jc w:val="center"/>
                  </w:pPr>
                  <w:r>
                    <w:t xml:space="preserve">27.5</w:t>
                  </w:r>
                </w:p>
              </w:tc>
              <w:tc>
                <w:tcPr/>
                <w:p>
                  <w:pPr>
                    <w:pStyle w:val="Compact"/>
                    <w:jc w:val="right"/>
                    <w:jc w:val="center"/>
                  </w:pPr>
                  <w:r>
                    <w:t xml:space="preserve">159</w:t>
                  </w:r>
                </w:p>
              </w:tc>
              <w:tc>
                <w:tcPr/>
                <w:p>
                  <w:pPr>
                    <w:pStyle w:val="Compact"/>
                    <w:jc w:val="right"/>
                    <w:jc w:val="center"/>
                  </w:pPr>
                  <w:r>
                    <w:t xml:space="preserve">95.8</w:t>
                  </w:r>
                </w:p>
              </w:tc>
              <w:tc>
                <w:tcPr/>
                <w:p>
                  <w:pPr>
                    <w:pStyle w:val="Compact"/>
                    <w:jc w:val="right"/>
                    <w:jc w:val="center"/>
                  </w:pPr>
                  <w:r>
                    <w:t xml:space="preserve">0.97</w:t>
                  </w:r>
                </w:p>
              </w:tc>
            </w:tr>
            <w:tr>
              <w:tc>
                <w:tcPr/>
                <w:p>
                  <w:pPr>
                    <w:pStyle w:val="Compact"/>
                    <w:jc w:val="left"/>
                    <w:jc w:val="center"/>
                  </w:pPr>
                  <w:r>
                    <w:t xml:space="preserve">Sandstone</w:t>
                  </w:r>
                </w:p>
              </w:tc>
              <w:tc>
                <w:tcPr/>
                <w:p>
                  <w:pPr>
                    <w:pStyle w:val="Compact"/>
                    <w:jc w:val="right"/>
                    <w:jc w:val="center"/>
                  </w:pPr>
                  <w:r>
                    <w:t xml:space="preserve">327</w:t>
                  </w:r>
                </w:p>
              </w:tc>
              <w:tc>
                <w:tcPr/>
                <w:p>
                  <w:pPr>
                    <w:pStyle w:val="Compact"/>
                    <w:jc w:val="right"/>
                    <w:jc w:val="center"/>
                  </w:pPr>
                  <w:r>
                    <w:t xml:space="preserve">69.7</w:t>
                  </w:r>
                </w:p>
              </w:tc>
              <w:tc>
                <w:tcPr/>
                <w:p>
                  <w:pPr>
                    <w:pStyle w:val="Compact"/>
                    <w:jc w:val="right"/>
                    <w:jc w:val="center"/>
                  </w:pPr>
                  <w:r>
                    <w:t xml:space="preserve">3</w:t>
                  </w:r>
                </w:p>
              </w:tc>
              <w:tc>
                <w:tcPr/>
                <w:p>
                  <w:pPr>
                    <w:pStyle w:val="Compact"/>
                    <w:jc w:val="right"/>
                    <w:jc w:val="center"/>
                  </w:pPr>
                  <w:r>
                    <w:t xml:space="preserve">1.8</w:t>
                  </w:r>
                </w:p>
              </w:tc>
              <w:tc>
                <w:tcPr/>
                <w:p>
                  <w:pPr>
                    <w:pStyle w:val="Compact"/>
                    <w:jc w:val="right"/>
                    <w:jc w:val="center"/>
                  </w:pPr>
                  <w:r>
                    <w:t xml:space="preserve">-0.98</w:t>
                  </w:r>
                </w:p>
              </w:tc>
            </w:tr>
            <w:tr>
              <w:tc>
                <w:tcPr/>
                <w:p>
                  <w:pPr>
                    <w:pStyle w:val="Compact"/>
                    <w:jc w:val="left"/>
                    <w:jc w:val="center"/>
                  </w:pPr>
                  <w:r>
                    <w:t xml:space="preserve">Quartz</w:t>
                  </w:r>
                </w:p>
              </w:tc>
              <w:tc>
                <w:tcPr/>
                <w:p>
                  <w:pPr>
                    <w:pStyle w:val="Compact"/>
                    <w:jc w:val="right"/>
                    <w:jc w:val="center"/>
                  </w:pPr>
                  <w:r>
                    <w:t xml:space="preserve">3</w:t>
                  </w:r>
                </w:p>
              </w:tc>
              <w:tc>
                <w:tcPr/>
                <w:p>
                  <w:pPr>
                    <w:pStyle w:val="Compact"/>
                    <w:jc w:val="right"/>
                    <w:jc w:val="center"/>
                  </w:pPr>
                  <w:r>
                    <w:t xml:space="preserve">0.6</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-1.00</w:t>
                  </w:r>
                </w:p>
              </w:tc>
            </w:tr>
            <w:tr>
              <w:tc>
                <w:tcPr/>
                <w:p>
                  <w:pPr>
                    <w:pStyle w:val="Compact"/>
                    <w:jc w:val="left"/>
                    <w:jc w:val="center"/>
                  </w:pPr>
                  <w:r>
                    <w:t xml:space="preserve">Mudstone</w:t>
                  </w:r>
                </w:p>
              </w:tc>
              <w:tc>
                <w:tcPr/>
                <w:p>
                  <w:pPr>
                    <w:pStyle w:val="Compact"/>
                    <w:jc w:val="right"/>
                    <w:jc w:val="center"/>
                  </w:pPr>
                  <w:r>
                    <w:t xml:space="preserve">10</w:t>
                  </w:r>
                </w:p>
              </w:tc>
              <w:tc>
                <w:tcPr/>
                <w:p>
                  <w:pPr>
                    <w:pStyle w:val="Compact"/>
                    <w:jc w:val="right"/>
                    <w:jc w:val="center"/>
                  </w:pPr>
                  <w:r>
                    <w:t xml:space="preserve">2.1</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-1.00</w:t>
                  </w:r>
                </w:p>
              </w:tc>
            </w:tr>
            <w:tr>
              <w:tc>
                <w:tcPr/>
                <w:p>
                  <w:pPr>
                    <w:pStyle w:val="Compact"/>
                    <w:jc w:val="left"/>
                    <w:jc w:val="center"/>
                  </w:pPr>
                  <w:r>
                    <w:t xml:space="preserve">Andesite†</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4</w:t>
                  </w:r>
                </w:p>
              </w:tc>
              <w:tc>
                <w:tcPr/>
                <w:p>
                  <w:pPr>
                    <w:pStyle w:val="Compact"/>
                    <w:jc w:val="right"/>
                    <w:jc w:val="center"/>
                  </w:pPr>
                  <w:r>
                    <w:t xml:space="preserve">2.4</w:t>
                  </w:r>
                </w:p>
              </w:tc>
              <w:tc>
                <w:tcPr/>
                <w:p>
                  <w:pPr>
                    <w:pStyle w:val="Compact"/>
                    <w:jc w:val="right"/>
                    <w:jc w:val="center"/>
                  </w:pPr>
                  <w:r>
                    <w:t xml:space="preserve">1.00</w:t>
                  </w:r>
                </w:p>
              </w:tc>
            </w:tr>
            <w:tr>
              <w:tc>
                <w:tcPr/>
                <w:p>
                  <w:pPr>
                    <w:pStyle w:val="Compact"/>
                    <w:jc w:val="left"/>
                    <w:jc w:val="center"/>
                  </w:pPr>
                  <w:r>
                    <w:rPr>
                      <w:b/>
                      <w:bCs/>
                    </w:rPr>
                    <w:t xml:space="preserve">Total</w:t>
                  </w:r>
                </w:p>
              </w:tc>
              <w:tc>
                <w:tcPr/>
                <w:p>
                  <w:pPr>
                    <w:pStyle w:val="Compact"/>
                    <w:jc w:val="right"/>
                    <w:jc w:val="center"/>
                  </w:pPr>
                  <w:r>
                    <w:t xml:space="preserve">469</w:t>
                  </w:r>
                </w:p>
              </w:tc>
              <w:tc>
                <w:tcPr/>
                <w:p>
                  <w:pPr>
                    <w:pStyle w:val="Compact"/>
                    <w:jc w:val="right"/>
                    <w:jc w:val="center"/>
                  </w:pPr>
                  <w:r>
                    <w:t xml:space="preserve">100.0</w:t>
                  </w:r>
                </w:p>
              </w:tc>
              <w:tc>
                <w:tcPr/>
                <w:p>
                  <w:pPr>
                    <w:pStyle w:val="Compact"/>
                    <w:jc w:val="right"/>
                    <w:jc w:val="center"/>
                  </w:pPr>
                  <w:r>
                    <w:t xml:space="preserve">166</w:t>
                  </w:r>
                </w:p>
              </w:tc>
              <w:tc>
                <w:tcPr/>
                <w:p>
                  <w:pPr>
                    <w:pStyle w:val="Compact"/>
                    <w:jc w:val="right"/>
                    <w:jc w:val="center"/>
                  </w:pPr>
                  <w:r>
                    <w:t xml:space="preserve">100.0</w:t>
                  </w:r>
                </w:p>
              </w:tc>
              <w:tc>
                <w:tcPr/>
                <w:p>
                  <w:pPr>
                    <w:pStyle w:val="Compact"/>
                  </w:pPr>
                </w:p>
              </w:tc>
            </w:tr>
          </w:tbl>
          <w:bookmarkEnd w:id="39"/>
          <w:p/>
        </w:tc>
      </w:tr>
    </w:tbl>
    <w:p>
      <w:r>
        <w:br w:type="page"/>
      </w:r>
    </w:p>
    <w:tbl>
      <w:tblPr>
        <w:tblStyle w:val="Table"/>
        <w:tblW w:type="pct" w:w="5000"/>
        <w:tblLayout w:type="fixed"/>
        <w:tblLook w:firstRow="0" w:lastRow="0" w:firstColumn="0" w:lastColumn="0" w:noHBand="0" w:noVBand="0" w:val="0000"/>
      </w:tblPr>
      <w:tblGrid>
        <w:gridCol w:w="7920"/>
      </w:tblGrid>
      <w:tr>
        <w:tc>
          <w:tcPr/>
          <w:bookmarkStart w:id="40" w:name="tbl-rawmat-permanova"/>
          <w:p>
            <w:pPr>
              <w:jc w:val="center"/>
            </w:pPr>
            <w:pPr>
              <w:jc w:val="left"/>
              <w:spacing w:before="200"/>
              <w:pStyle w:val="ImageCaption"/>
            </w:pPr>
            <w:r>
              <w:t xml:space="preserve">Table S9: PERMANOVA and PERMDISP on raw material composition, on Bray–Curtis dissimilarities with 9,999 permutations. Sums of squares, degrees of freedom and residual degrees of freedom are those of the PERMANOVA; the last two columns give the pseudo-</w:t>
            </w:r>
            <w:r>
              <w:rPr>
                <w:i/>
                <w:iCs/>
              </w:rPr>
              <w:t xml:space="preserve">F</w:t>
            </w:r>
            <w:r>
              <w:t xml:space="preserve"> </w:t>
            </w:r>
            <w:r>
              <w:t xml:space="preserve">and</w:t>
            </w:r>
            <w:r>
              <w:t xml:space="preserve"> </w:t>
            </w:r>
            <w:r>
              <w:rPr>
                <w:i/>
                <w:iCs/>
              </w:rPr>
              <w:t xml:space="preserve">p</w:t>
            </w:r>
            <w:r>
              <w:t xml:space="preserve"> </w:t>
            </w:r>
            <w:r>
              <w:t xml:space="preserve">of the test of homogeneity of dispersion on the same dissimilarity matrix. The unit is the individual cobble in the first panel and the individual artefact in the second.</w:t>
            </w:r>
          </w:p>
          <w:tbl>
            <w:tblPr>
              <w:tblStyle w:val="Table"/>
              <w:tblW w:type="pct" w:w="5000"/>
              <w:tblLayout w:type="fixed"/>
              <w:tblLook w:firstRow="1" w:lastRow="0" w:firstColumn="0" w:lastColumn="0" w:noHBand="0" w:noVBand="0" w:val="0020"/>
            </w:tblPr>
            <w:tblGrid>
              <w:gridCol w:w="3046"/>
              <w:gridCol w:w="533"/>
              <w:gridCol w:w="456"/>
              <w:gridCol w:w="456"/>
              <w:gridCol w:w="837"/>
              <w:gridCol w:w="609"/>
              <w:gridCol w:w="990"/>
              <w:gridCol w:w="990"/>
            </w:tblGrid>
            <w:tr>
              <w:trPr>
                <w:tblHeader w:val="on"/>
              </w:trPr>
              <w:tc>
                <w:tcPr/>
                <w:p>
                  <w:pPr>
                    <w:pStyle w:val="Compact"/>
                    <w:jc w:val="left"/>
                    <w:jc w:val="center"/>
                  </w:pPr>
                  <w:r>
                    <w:t xml:space="preserve">Model</w:t>
                  </w:r>
                </w:p>
              </w:tc>
              <w:tc>
                <w:tcPr/>
                <w:p>
                  <w:pPr>
                    <w:pStyle w:val="Compact"/>
                    <w:jc w:val="right"/>
                    <w:jc w:val="center"/>
                  </w:pPr>
                  <w:r>
                    <w:rPr>
                      <w:i/>
                      <w:iCs/>
                    </w:rPr>
                    <w:t xml:space="preserve">df</w:t>
                  </w:r>
                </w:p>
              </w:tc>
              <w:tc>
                <w:tcPr/>
                <w:p>
                  <w:pPr>
                    <w:pStyle w:val="Compact"/>
                    <w:jc w:val="right"/>
                    <w:jc w:val="center"/>
                  </w:pPr>
                  <w:r>
                    <w:t xml:space="preserve">SS</w:t>
                  </w:r>
                </w:p>
              </w:tc>
              <w:tc>
                <w:tcPr/>
                <w:p>
                  <w:pPr>
                    <w:pStyle w:val="Compact"/>
                    <w:jc w:val="right"/>
                    <w:jc w:val="center"/>
                  </w:pPr>
                  <w:r>
                    <w:rPr>
                      <w:i/>
                      <w:iCs/>
                    </w:rPr>
                    <w:t xml:space="preserve">R</w:t>
                  </w:r>
                  <w:r>
                    <w:t xml:space="preserve">²</w:t>
                  </w:r>
                </w:p>
              </w:tc>
              <w:tc>
                <w:tcPr/>
                <w:p>
                  <w:pPr>
                    <w:pStyle w:val="Compact"/>
                    <w:jc w:val="right"/>
                    <w:jc w:val="center"/>
                  </w:pPr>
                  <w:r>
                    <w:t xml:space="preserve">pseudo-</w:t>
                  </w:r>
                  <w:r>
                    <w:rPr>
                      <w:i/>
                      <w:iCs/>
                    </w:rPr>
                    <w:t xml:space="preserve">F</w:t>
                  </w:r>
                </w:p>
              </w:tc>
              <w:tc>
                <w:tcPr/>
                <w:p>
                  <w:pPr>
                    <w:pStyle w:val="Compact"/>
                    <w:jc w:val="right"/>
                    <w:jc w:val="center"/>
                  </w:pPr>
                  <w:r>
                    <w:rPr>
                      <w:i/>
                      <w:iCs/>
                    </w:rPr>
                    <w:t xml:space="preserve">p</w:t>
                  </w:r>
                </w:p>
              </w:tc>
              <w:tc>
                <w:tcPr/>
                <w:p>
                  <w:pPr>
                    <w:pStyle w:val="Compact"/>
                    <w:jc w:val="right"/>
                    <w:jc w:val="center"/>
                  </w:pPr>
                  <w:r>
                    <w:t xml:space="preserve">PERMDISP</w:t>
                  </w:r>
                  <w:r>
                    <w:t xml:space="preserve"> </w:t>
                  </w:r>
                  <w:r>
                    <w:rPr>
                      <w:i/>
                      <w:iCs/>
                    </w:rPr>
                    <w:t xml:space="preserve">F</w:t>
                  </w:r>
                </w:p>
              </w:tc>
              <w:tc>
                <w:tcPr/>
                <w:p>
                  <w:pPr>
                    <w:pStyle w:val="Compact"/>
                    <w:jc w:val="right"/>
                    <w:jc w:val="center"/>
                  </w:pPr>
                  <w:r>
                    <w:t xml:space="preserve">PERMDISP</w:t>
                  </w:r>
                  <w:r>
                    <w:t xml:space="preserve"> </w:t>
                  </w:r>
                  <w:r>
                    <w:rPr>
                      <w:i/>
                      <w:iCs/>
                    </w:rPr>
                    <w:t xml:space="preserve">p</w:t>
                  </w:r>
                </w:p>
              </w:tc>
            </w:tr>
            <w:tr>
              <w:tc>
                <w:tcPr/>
                <w:p>
                  <w:pPr>
                    <w:pStyle w:val="Compact"/>
                    <w:jc w:val="left"/>
                    <w:jc w:val="center"/>
                  </w:pPr>
                  <w:r>
                    <w:rPr>
                      <w:b/>
                      <w:bCs/>
                    </w:rPr>
                    <w:t xml:space="preserve">Available river cobbles (</w:t>
                  </w:r>
                  <w:r>
                    <w:rPr>
                      <w:b/>
                      <w:bCs/>
                      <w:i/>
                      <w:iCs/>
                    </w:rPr>
                    <w:t xml:space="preserve">n</w:t>
                  </w:r>
                  <w:r>
                    <w:rPr>
                      <w:b/>
                      <w:bCs/>
                    </w:rPr>
                    <w:t xml:space="preserve"> </w:t>
                  </w:r>
                  <w:r>
                    <w:rPr>
                      <w:b/>
                      <w:bCs/>
                    </w:rPr>
                    <w:t xml:space="preserve">= 469)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 sampling point</w:t>
                  </w:r>
                </w:p>
              </w:tc>
              <w:tc>
                <w:tcPr/>
                <w:p>
                  <w:pPr>
                    <w:pStyle w:val="Compact"/>
                    <w:jc w:val="right"/>
                    <w:jc w:val="center"/>
                  </w:pPr>
                  <w:r>
                    <w:t xml:space="preserve">4, 464</w:t>
                  </w:r>
                </w:p>
              </w:tc>
              <w:tc>
                <w:tcPr/>
                <w:p>
                  <w:pPr>
                    <w:pStyle w:val="Compact"/>
                    <w:jc w:val="right"/>
                    <w:jc w:val="center"/>
                  </w:pPr>
                  <w:r>
                    <w:t xml:space="preserve">11.07</w:t>
                  </w:r>
                </w:p>
              </w:tc>
              <w:tc>
                <w:tcPr/>
                <w:p>
                  <w:pPr>
                    <w:pStyle w:val="Compact"/>
                    <w:jc w:val="right"/>
                    <w:jc w:val="center"/>
                  </w:pPr>
                  <w:r>
                    <w:t xml:space="preserve">0.108</w:t>
                  </w:r>
                </w:p>
              </w:tc>
              <w:tc>
                <w:tcPr/>
                <w:p>
                  <w:pPr>
                    <w:pStyle w:val="Compact"/>
                    <w:jc w:val="right"/>
                    <w:jc w:val="center"/>
                  </w:pPr>
                  <w:r>
                    <w:t xml:space="preserve">14.02</w:t>
                  </w:r>
                </w:p>
              </w:tc>
              <w:tc>
                <w:tcPr/>
                <w:p>
                  <w:pPr>
                    <w:pStyle w:val="Compact"/>
                    <w:jc w:val="right"/>
                    <w:jc w:val="center"/>
                  </w:pPr>
                  <w:r>
                    <w:t xml:space="preserve">&lt; 0.001</w:t>
                  </w:r>
                </w:p>
              </w:tc>
              <w:tc>
                <w:tcPr/>
                <w:p>
                  <w:pPr>
                    <w:pStyle w:val="Compact"/>
                    <w:jc w:val="right"/>
                    <w:jc w:val="center"/>
                  </w:pPr>
                  <w:r>
                    <w:t xml:space="preserve">18.19</w:t>
                  </w:r>
                </w:p>
              </w:tc>
              <w:tc>
                <w:tcPr/>
                <w:p>
                  <w:pPr>
                    <w:pStyle w:val="Compact"/>
                    <w:jc w:val="right"/>
                    <w:jc w:val="center"/>
                  </w:pPr>
                  <w:r>
                    <w:t xml:space="preserve">&lt; 0.001</w:t>
                  </w:r>
                </w:p>
              </w:tc>
            </w:tr>
            <w:tr>
              <w:tc>
                <w:tcPr/>
                <w:p>
                  <w:pPr>
                    <w:pStyle w:val="Compact"/>
                    <w:jc w:val="left"/>
                    <w:jc w:val="center"/>
                  </w:pPr>
                  <w:r>
                    <w:t xml:space="preserve">   ~ valley</w:t>
                  </w:r>
                </w:p>
              </w:tc>
              <w:tc>
                <w:tcPr/>
                <w:p>
                  <w:pPr>
                    <w:pStyle w:val="Compact"/>
                    <w:jc w:val="right"/>
                    <w:jc w:val="center"/>
                  </w:pPr>
                  <w:r>
                    <w:t xml:space="preserve">2, 466</w:t>
                  </w:r>
                </w:p>
              </w:tc>
              <w:tc>
                <w:tcPr/>
                <w:p>
                  <w:pPr>
                    <w:pStyle w:val="Compact"/>
                    <w:jc w:val="right"/>
                    <w:jc w:val="center"/>
                  </w:pPr>
                  <w:r>
                    <w:t xml:space="preserve">10.84</w:t>
                  </w:r>
                </w:p>
              </w:tc>
              <w:tc>
                <w:tcPr/>
                <w:p>
                  <w:pPr>
                    <w:pStyle w:val="Compact"/>
                    <w:jc w:val="right"/>
                    <w:jc w:val="center"/>
                  </w:pPr>
                  <w:r>
                    <w:t xml:space="preserve">0.106</w:t>
                  </w:r>
                </w:p>
              </w:tc>
              <w:tc>
                <w:tcPr/>
                <w:p>
                  <w:pPr>
                    <w:pStyle w:val="Compact"/>
                    <w:jc w:val="right"/>
                    <w:jc w:val="center"/>
                  </w:pPr>
                  <w:r>
                    <w:t xml:space="preserve">27.53</w:t>
                  </w:r>
                </w:p>
              </w:tc>
              <w:tc>
                <w:tcPr/>
                <w:p>
                  <w:pPr>
                    <w:pStyle w:val="Compact"/>
                    <w:jc w:val="right"/>
                    <w:jc w:val="center"/>
                  </w:pPr>
                  <w:r>
                    <w:t xml:space="preserve">&lt; 0.001</w:t>
                  </w:r>
                </w:p>
              </w:tc>
              <w:tc>
                <w:tcPr/>
                <w:p>
                  <w:pPr>
                    <w:pStyle w:val="Compact"/>
                    <w:jc w:val="right"/>
                    <w:jc w:val="center"/>
                  </w:pPr>
                  <w:r>
                    <w:t xml:space="preserve">25.48</w:t>
                  </w:r>
                </w:p>
              </w:tc>
              <w:tc>
                <w:tcPr/>
                <w:p>
                  <w:pPr>
                    <w:pStyle w:val="Compact"/>
                    <w:jc w:val="right"/>
                    <w:jc w:val="center"/>
                  </w:pPr>
                  <w:r>
                    <w:t xml:space="preserve">&lt; 0.001</w:t>
                  </w:r>
                </w:p>
              </w:tc>
            </w:tr>
            <w:tr>
              <w:tc>
                <w:tcPr/>
                <w:p>
                  <w:pPr>
                    <w:pStyle w:val="Compact"/>
                    <w:jc w:val="left"/>
                    <w:jc w:val="center"/>
                  </w:pPr>
                  <w:r>
                    <w:rPr>
                      <w:b/>
                      <w:bCs/>
                    </w:rPr>
                    <w:t xml:space="preserve">Surface Quina scrapers (</w:t>
                  </w:r>
                  <w:r>
                    <w:rPr>
                      <w:b/>
                      <w:bCs/>
                      <w:i/>
                      <w:iCs/>
                    </w:rPr>
                    <w:t xml:space="preserve">n</w:t>
                  </w:r>
                  <w:r>
                    <w:rPr>
                      <w:b/>
                      <w:bCs/>
                    </w:rPr>
                    <w:t xml:space="preserve"> </w:t>
                  </w:r>
                  <w:r>
                    <w:rPr>
                      <w:b/>
                      <w:bCs/>
                    </w:rPr>
                    <w:t xml:space="preserve">= 166)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 basin</w:t>
                  </w:r>
                </w:p>
              </w:tc>
              <w:tc>
                <w:tcPr/>
                <w:p>
                  <w:pPr>
                    <w:pStyle w:val="Compact"/>
                    <w:jc w:val="right"/>
                    <w:jc w:val="center"/>
                  </w:pPr>
                  <w:r>
                    <w:t xml:space="preserve">1, 164</w:t>
                  </w:r>
                </w:p>
              </w:tc>
              <w:tc>
                <w:tcPr/>
                <w:p>
                  <w:pPr>
                    <w:pStyle w:val="Compact"/>
                    <w:jc w:val="right"/>
                    <w:jc w:val="center"/>
                  </w:pPr>
                  <w:r>
                    <w:t xml:space="preserve">0.03</w:t>
                  </w:r>
                </w:p>
              </w:tc>
              <w:tc>
                <w:tcPr/>
                <w:p>
                  <w:pPr>
                    <w:pStyle w:val="Compact"/>
                    <w:jc w:val="right"/>
                    <w:jc w:val="center"/>
                  </w:pPr>
                  <w:r>
                    <w:t xml:space="preserve">0.005</w:t>
                  </w:r>
                </w:p>
              </w:tc>
              <w:tc>
                <w:tcPr/>
                <w:p>
                  <w:pPr>
                    <w:pStyle w:val="Compact"/>
                    <w:jc w:val="right"/>
                    <w:jc w:val="center"/>
                  </w:pPr>
                  <w:r>
                    <w:t xml:space="preserve">0.78</w:t>
                  </w:r>
                </w:p>
              </w:tc>
              <w:tc>
                <w:tcPr/>
                <w:p>
                  <w:pPr>
                    <w:pStyle w:val="Compact"/>
                    <w:jc w:val="right"/>
                    <w:jc w:val="center"/>
                  </w:pPr>
                  <w:r>
                    <w:t xml:space="preserve">0.462</w:t>
                  </w:r>
                </w:p>
              </w:tc>
              <w:tc>
                <w:tcPr/>
                <w:p>
                  <w:pPr>
                    <w:pStyle w:val="Compact"/>
                    <w:jc w:val="right"/>
                    <w:jc w:val="center"/>
                  </w:pPr>
                  <w:r>
                    <w:t xml:space="preserve">0.65</w:t>
                  </w:r>
                </w:p>
              </w:tc>
              <w:tc>
                <w:tcPr/>
                <w:p>
                  <w:pPr>
                    <w:pStyle w:val="Compact"/>
                    <w:jc w:val="right"/>
                    <w:jc w:val="center"/>
                  </w:pPr>
                  <w:r>
                    <w:t xml:space="preserve">0.504</w:t>
                  </w:r>
                </w:p>
              </w:tc>
            </w:tr>
            <w:tr>
              <w:tc>
                <w:tcPr/>
                <w:p>
                  <w:pPr>
                    <w:pStyle w:val="Compact"/>
                    <w:jc w:val="left"/>
                    <w:jc w:val="center"/>
                  </w:pPr>
                  <w:r>
                    <w:t xml:space="preserve">   ~ valley</w:t>
                  </w:r>
                </w:p>
              </w:tc>
              <w:tc>
                <w:tcPr/>
                <w:p>
                  <w:pPr>
                    <w:pStyle w:val="Compact"/>
                    <w:jc w:val="right"/>
                    <w:jc w:val="center"/>
                  </w:pPr>
                  <w:r>
                    <w:t xml:space="preserve">2, 163</w:t>
                  </w:r>
                </w:p>
              </w:tc>
              <w:tc>
                <w:tcPr/>
                <w:p>
                  <w:pPr>
                    <w:pStyle w:val="Compact"/>
                    <w:jc w:val="right"/>
                    <w:jc w:val="center"/>
                  </w:pPr>
                  <w:r>
                    <w:t xml:space="preserve">0.04</w:t>
                  </w:r>
                </w:p>
              </w:tc>
              <w:tc>
                <w:tcPr/>
                <w:p>
                  <w:pPr>
                    <w:pStyle w:val="Compact"/>
                    <w:jc w:val="right"/>
                    <w:jc w:val="center"/>
                  </w:pPr>
                  <w:r>
                    <w:t xml:space="preserve">0.005</w:t>
                  </w:r>
                </w:p>
              </w:tc>
              <w:tc>
                <w:tcPr/>
                <w:p>
                  <w:pPr>
                    <w:pStyle w:val="Compact"/>
                    <w:jc w:val="right"/>
                    <w:jc w:val="center"/>
                  </w:pPr>
                  <w:r>
                    <w:t xml:space="preserve">0.43</w:t>
                  </w:r>
                </w:p>
              </w:tc>
              <w:tc>
                <w:tcPr/>
                <w:p>
                  <w:pPr>
                    <w:pStyle w:val="Compact"/>
                    <w:jc w:val="right"/>
                    <w:jc w:val="center"/>
                  </w:pPr>
                  <w:r>
                    <w:t xml:space="preserve">0.721</w:t>
                  </w:r>
                </w:p>
              </w:tc>
              <w:tc>
                <w:tcPr/>
                <w:p>
                  <w:pPr>
                    <w:pStyle w:val="Compact"/>
                    <w:jc w:val="right"/>
                    <w:jc w:val="center"/>
                  </w:pPr>
                  <w:r>
                    <w:t xml:space="preserve">0.36</w:t>
                  </w:r>
                </w:p>
              </w:tc>
              <w:tc>
                <w:tcPr/>
                <w:p>
                  <w:pPr>
                    <w:pStyle w:val="Compact"/>
                    <w:jc w:val="right"/>
                    <w:jc w:val="center"/>
                  </w:pPr>
                  <w:r>
                    <w:t xml:space="preserve">0.633</w:t>
                  </w:r>
                </w:p>
              </w:tc>
            </w:tr>
          </w:tbl>
          <w:bookmarkEnd w:id="40"/>
          <w:p/>
        </w:tc>
      </w:tr>
    </w:tbl>
    <w:p>
      <w:r>
        <w:br w:type="page"/>
      </w:r>
    </w:p>
    <w:tbl>
      <w:tblPr>
        <w:tblStyle w:val="Table"/>
        <w:tblW w:type="pct" w:w="5000"/>
        <w:tblLayout w:type="fixed"/>
        <w:tblLook w:firstRow="0" w:lastRow="0" w:firstColumn="0" w:lastColumn="0" w:noHBand="0" w:noVBand="0" w:val="0000"/>
      </w:tblPr>
      <w:tblGrid>
        <w:gridCol w:w="7920"/>
      </w:tblGrid>
      <w:tr>
        <w:tc>
          <w:tcPr/>
          <w:bookmarkStart w:id="41" w:name="tbl-clast-size"/>
          <w:p>
            <w:pPr>
              <w:jc w:val="center"/>
            </w:pPr>
            <w:pPr>
              <w:jc w:val="left"/>
              <w:spacing w:before="200"/>
              <w:pStyle w:val="ImageCaption"/>
            </w:pPr>
            <w:r>
              <w:t xml:space="preserve">Table S10: Size of the surveyed river cobbles by lithology. Size is the geometric mean of length, breadth and thickness in millimetres, and GM is the geometric mean of that quantity within each lithology.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Raw material</w:t>
                  </w:r>
                </w:p>
              </w:tc>
              <w:tc>
                <w:tcPr/>
                <w:p>
                  <w:pPr>
                    <w:pStyle w:val="Compact"/>
                    <w:jc w:val="right"/>
                    <w:jc w:val="center"/>
                  </w:pPr>
                  <w:r>
                    <w:rPr>
                      <w:i/>
                      <w:iCs/>
                    </w:rPr>
                    <w:t xml:space="preserve">n</w:t>
                  </w:r>
                </w:p>
              </w:tc>
              <w:tc>
                <w:tcPr/>
                <w:p>
                  <w:pPr>
                    <w:pStyle w:val="Compact"/>
                    <w:jc w:val="right"/>
                    <w:jc w:val="center"/>
                  </w:pPr>
                  <w:r>
                    <w:t xml:space="preserve">GM (mm)</w:t>
                  </w:r>
                </w:p>
              </w:tc>
              <w:tc>
                <w:tcPr/>
                <w:p>
                  <w:pPr>
                    <w:pStyle w:val="Compact"/>
                    <w:jc w:val="right"/>
                    <w:jc w:val="center"/>
                  </w:pPr>
                  <w:r>
                    <w:t xml:space="preserve">Median (mm)</w:t>
                  </w:r>
                </w:p>
              </w:tc>
              <w:tc>
                <w:tcPr/>
                <w:p>
                  <w:pPr>
                    <w:pStyle w:val="Compact"/>
                    <w:jc w:val="right"/>
                    <w:jc w:val="center"/>
                  </w:pPr>
                  <w:r>
                    <w:t xml:space="preserve">Q1–Q3 (mm)</w:t>
                  </w:r>
                </w:p>
              </w:tc>
              <w:tc>
                <w:tcPr/>
                <w:p>
                  <w:pPr>
                    <w:pStyle w:val="Compact"/>
                    <w:jc w:val="right"/>
                    <w:jc w:val="center"/>
                  </w:pPr>
                  <w:r>
                    <w:t xml:space="preserve">Range (mm)</w:t>
                  </w:r>
                </w:p>
              </w:tc>
            </w:tr>
            <w:tr>
              <w:tc>
                <w:tcPr/>
                <w:p>
                  <w:pPr>
                    <w:pStyle w:val="Compact"/>
                    <w:jc w:val="left"/>
                    <w:jc w:val="center"/>
                  </w:pPr>
                  <w:r>
                    <w:t xml:space="preserve">Trachyte</w:t>
                  </w:r>
                </w:p>
              </w:tc>
              <w:tc>
                <w:tcPr/>
                <w:p>
                  <w:pPr>
                    <w:pStyle w:val="Compact"/>
                    <w:jc w:val="right"/>
                    <w:jc w:val="center"/>
                  </w:pPr>
                  <w:r>
                    <w:t xml:space="preserve">129</w:t>
                  </w:r>
                </w:p>
              </w:tc>
              <w:tc>
                <w:tcPr/>
                <w:p>
                  <w:pPr>
                    <w:pStyle w:val="Compact"/>
                    <w:jc w:val="right"/>
                    <w:jc w:val="center"/>
                  </w:pPr>
                  <w:r>
                    <w:t xml:space="preserve">62.0</w:t>
                  </w:r>
                </w:p>
              </w:tc>
              <w:tc>
                <w:tcPr/>
                <w:p>
                  <w:pPr>
                    <w:pStyle w:val="Compact"/>
                    <w:jc w:val="right"/>
                    <w:jc w:val="center"/>
                  </w:pPr>
                  <w:r>
                    <w:t xml:space="preserve">55.9</w:t>
                  </w:r>
                </w:p>
              </w:tc>
              <w:tc>
                <w:tcPr/>
                <w:p>
                  <w:pPr>
                    <w:pStyle w:val="Compact"/>
                    <w:jc w:val="right"/>
                    <w:jc w:val="center"/>
                  </w:pPr>
                  <w:r>
                    <w:t xml:space="preserve">44.4–77.2</w:t>
                  </w:r>
                </w:p>
              </w:tc>
              <w:tc>
                <w:tcPr/>
                <w:p>
                  <w:pPr>
                    <w:pStyle w:val="Compact"/>
                    <w:jc w:val="right"/>
                    <w:jc w:val="center"/>
                  </w:pPr>
                  <w:r>
                    <w:t xml:space="preserve">28.3–388.2</w:t>
                  </w:r>
                </w:p>
              </w:tc>
            </w:tr>
            <w:tr>
              <w:tc>
                <w:tcPr/>
                <w:p>
                  <w:pPr>
                    <w:pStyle w:val="Compact"/>
                    <w:jc w:val="left"/>
                    <w:jc w:val="center"/>
                  </w:pPr>
                  <w:r>
                    <w:t xml:space="preserve">Sandstone</w:t>
                  </w:r>
                </w:p>
              </w:tc>
              <w:tc>
                <w:tcPr/>
                <w:p>
                  <w:pPr>
                    <w:pStyle w:val="Compact"/>
                    <w:jc w:val="right"/>
                    <w:jc w:val="center"/>
                  </w:pPr>
                  <w:r>
                    <w:t xml:space="preserve">327</w:t>
                  </w:r>
                </w:p>
              </w:tc>
              <w:tc>
                <w:tcPr/>
                <w:p>
                  <w:pPr>
                    <w:pStyle w:val="Compact"/>
                    <w:jc w:val="right"/>
                    <w:jc w:val="center"/>
                  </w:pPr>
                  <w:r>
                    <w:t xml:space="preserve">52.2</w:t>
                  </w:r>
                </w:p>
              </w:tc>
              <w:tc>
                <w:tcPr/>
                <w:p>
                  <w:pPr>
                    <w:pStyle w:val="Compact"/>
                    <w:jc w:val="right"/>
                    <w:jc w:val="center"/>
                  </w:pPr>
                  <w:r>
                    <w:t xml:space="preserve">50.6</w:t>
                  </w:r>
                </w:p>
              </w:tc>
              <w:tc>
                <w:tcPr/>
                <w:p>
                  <w:pPr>
                    <w:pStyle w:val="Compact"/>
                    <w:jc w:val="right"/>
                    <w:jc w:val="center"/>
                  </w:pPr>
                  <w:r>
                    <w:t xml:space="preserve">38.9–66.9</w:t>
                  </w:r>
                </w:p>
              </w:tc>
              <w:tc>
                <w:tcPr/>
                <w:p>
                  <w:pPr>
                    <w:pStyle w:val="Compact"/>
                    <w:jc w:val="right"/>
                    <w:jc w:val="center"/>
                  </w:pPr>
                  <w:r>
                    <w:t xml:space="preserve">20.5–152.4</w:t>
                  </w:r>
                </w:p>
              </w:tc>
            </w:tr>
            <w:tr>
              <w:tc>
                <w:tcPr/>
                <w:p>
                  <w:pPr>
                    <w:pStyle w:val="Compact"/>
                    <w:jc w:val="left"/>
                    <w:jc w:val="center"/>
                  </w:pPr>
                  <w:r>
                    <w:t xml:space="preserve">Quartz</w:t>
                  </w:r>
                </w:p>
              </w:tc>
              <w:tc>
                <w:tcPr/>
                <w:p>
                  <w:pPr>
                    <w:pStyle w:val="Compact"/>
                    <w:jc w:val="right"/>
                    <w:jc w:val="center"/>
                  </w:pPr>
                  <w:r>
                    <w:t xml:space="preserve">3</w:t>
                  </w:r>
                </w:p>
              </w:tc>
              <w:tc>
                <w:tcPr/>
                <w:p>
                  <w:pPr>
                    <w:pStyle w:val="Compact"/>
                    <w:jc w:val="right"/>
                    <w:jc w:val="center"/>
                  </w:pPr>
                  <w:r>
                    <w:t xml:space="preserve">56.7</w:t>
                  </w:r>
                </w:p>
              </w:tc>
              <w:tc>
                <w:tcPr/>
                <w:p>
                  <w:pPr>
                    <w:pStyle w:val="Compact"/>
                    <w:jc w:val="right"/>
                    <w:jc w:val="center"/>
                  </w:pPr>
                  <w:r>
                    <w:t xml:space="preserve">42.0</w:t>
                  </w:r>
                </w:p>
              </w:tc>
              <w:tc>
                <w:tcPr/>
                <w:p>
                  <w:pPr>
                    <w:pStyle w:val="Compact"/>
                    <w:jc w:val="right"/>
                    <w:jc w:val="center"/>
                  </w:pPr>
                  <w:r>
                    <w:t xml:space="preserve">40.2–77.4</w:t>
                  </w:r>
                </w:p>
              </w:tc>
              <w:tc>
                <w:tcPr/>
                <w:p>
                  <w:pPr>
                    <w:pStyle w:val="Compact"/>
                    <w:jc w:val="right"/>
                    <w:jc w:val="center"/>
                  </w:pPr>
                  <w:r>
                    <w:t xml:space="preserve">38.5–112.7</w:t>
                  </w:r>
                </w:p>
              </w:tc>
            </w:tr>
            <w:tr>
              <w:tc>
                <w:tcPr/>
                <w:p>
                  <w:pPr>
                    <w:pStyle w:val="Compact"/>
                    <w:jc w:val="left"/>
                    <w:jc w:val="center"/>
                  </w:pPr>
                  <w:r>
                    <w:t xml:space="preserve">Mudstone</w:t>
                  </w:r>
                </w:p>
              </w:tc>
              <w:tc>
                <w:tcPr/>
                <w:p>
                  <w:pPr>
                    <w:pStyle w:val="Compact"/>
                    <w:jc w:val="right"/>
                    <w:jc w:val="center"/>
                  </w:pPr>
                  <w:r>
                    <w:t xml:space="preserve">10</w:t>
                  </w:r>
                </w:p>
              </w:tc>
              <w:tc>
                <w:tcPr/>
                <w:p>
                  <w:pPr>
                    <w:pStyle w:val="Compact"/>
                    <w:jc w:val="right"/>
                    <w:jc w:val="center"/>
                  </w:pPr>
                  <w:r>
                    <w:t xml:space="preserve">52.6</w:t>
                  </w:r>
                </w:p>
              </w:tc>
              <w:tc>
                <w:tcPr/>
                <w:p>
                  <w:pPr>
                    <w:pStyle w:val="Compact"/>
                    <w:jc w:val="right"/>
                    <w:jc w:val="center"/>
                  </w:pPr>
                  <w:r>
                    <w:t xml:space="preserve">48.2</w:t>
                  </w:r>
                </w:p>
              </w:tc>
              <w:tc>
                <w:tcPr/>
                <w:p>
                  <w:pPr>
                    <w:pStyle w:val="Compact"/>
                    <w:jc w:val="right"/>
                    <w:jc w:val="center"/>
                  </w:pPr>
                  <w:r>
                    <w:t xml:space="preserve">44.3–54.1</w:t>
                  </w:r>
                </w:p>
              </w:tc>
              <w:tc>
                <w:tcPr/>
                <w:p>
                  <w:pPr>
                    <w:pStyle w:val="Compact"/>
                    <w:jc w:val="right"/>
                    <w:jc w:val="center"/>
                  </w:pPr>
                  <w:r>
                    <w:t xml:space="preserve">37.8–91.0</w:t>
                  </w:r>
                </w:p>
              </w:tc>
            </w:tr>
          </w:tbl>
          <w:bookmarkEnd w:id="41"/>
          <w:p/>
        </w:tc>
      </w:tr>
    </w:tbl>
    <w:p>
      <w:r>
        <w:br w:type="page"/>
      </w:r>
    </w:p>
    <w:bookmarkEnd w:id="42"/>
    <w:bookmarkStart w:id="57" w:name="landscape-structure"/>
    <w:p>
      <w:pPr>
        <w:pStyle w:val="Heading1"/>
      </w:pPr>
      <w:r>
        <w:t xml:space="preserve">Landscape structure</w:t>
      </w:r>
    </w:p>
    <w:p>
      <w:pPr>
        <w:pStyle w:val="FirstParagraph"/>
      </w:pPr>
      <w:r>
        <w:t xml:space="preserve">This section asks whether the technological variation follows position in the landscape, with the locality rather than the specimen as the unit.</w:t>
      </w:r>
      <w:r>
        <w:t xml:space="preserve"> </w:t>
      </w:r>
      <w:hyperlink w:anchor="tbl-locality-matrix">
        <w:r>
          <w:rPr>
            <w:rStyle w:val="Hyperlink"/>
          </w:rPr>
          <w:t xml:space="preserve">Table S11</w:t>
        </w:r>
      </w:hyperlink>
      <w:r>
        <w:t xml:space="preserve"> </w:t>
      </w:r>
      <w:r>
        <w:t xml:space="preserve">lists the localities that enter the analysis with their median value on each of the six measures, and</w:t>
      </w:r>
      <w:r>
        <w:t xml:space="preserve"> </w:t>
      </w:r>
      <w:hyperlink w:anchor="tbl-landscape-permanova">
        <w:r>
          <w:rPr>
            <w:rStyle w:val="Hyperlink"/>
          </w:rPr>
          <w:t xml:space="preserve">Table S12</w:t>
        </w:r>
      </w:hyperlink>
      <w:r>
        <w:t xml:space="preserve"> </w:t>
      </w:r>
      <w:r>
        <w:t xml:space="preserve">tests each landscape variable against that space. The three figures show the same data in turn:</w:t>
      </w:r>
      <w:r>
        <w:t xml:space="preserve"> </w:t>
      </w:r>
      <w:hyperlink w:anchor="fig-site-pca">
        <w:r>
          <w:rPr>
            <w:rStyle w:val="Hyperlink"/>
          </w:rPr>
          <w:t xml:space="preserve">Fig. S6</w:t>
        </w:r>
      </w:hyperlink>
      <w:r>
        <w:t xml:space="preserve"> </w:t>
      </w:r>
      <w:r>
        <w:t xml:space="preserve">as an ordination of the localities coloured by each landscape variable,</w:t>
      </w:r>
      <w:r>
        <w:t xml:space="preserve"> </w:t>
      </w:r>
      <w:hyperlink w:anchor="fig-landscape-scatter">
        <w:r>
          <w:rPr>
            <w:rStyle w:val="Hyperlink"/>
          </w:rPr>
          <w:t xml:space="preserve">Fig. S7</w:t>
        </w:r>
      </w:hyperlink>
      <w:r>
        <w:t xml:space="preserve"> </w:t>
      </w:r>
      <w:r>
        <w:t xml:space="preserve">as each measure against each of the continuous variables, and</w:t>
      </w:r>
      <w:r>
        <w:t xml:space="preserve"> </w:t>
      </w:r>
      <w:hyperlink w:anchor="fig-basin-boxplot">
        <w:r>
          <w:rPr>
            <w:rStyle w:val="Hyperlink"/>
          </w:rPr>
          <w:t xml:space="preserve">Fig. S8</w:t>
        </w:r>
      </w:hyperlink>
      <w:r>
        <w:t xml:space="preserve"> </w:t>
      </w:r>
      <w:r>
        <w:t xml:space="preserve">as a comparison between the two basins.</w:t>
      </w:r>
    </w:p>
    <w:p>
      <w:r>
        <w:br w:type="page"/>
      </w:r>
    </w:p>
    <w:tbl>
      <w:tblPr>
        <w:tblStyle w:val="Table"/>
        <w:tblW w:type="pct" w:w="5000"/>
        <w:tblLayout w:type="fixed"/>
        <w:tblLook w:firstRow="0" w:lastRow="0" w:firstColumn="0" w:lastColumn="0" w:noHBand="0" w:noVBand="0" w:val="0000"/>
      </w:tblPr>
      <w:tblGrid>
        <w:gridCol w:w="7920"/>
      </w:tblGrid>
      <w:tr>
        <w:tc>
          <w:tcPr/>
          <w:bookmarkStart w:id="43" w:name="tbl-locality-matrix"/>
          <w:p>
            <w:pPr>
              <w:jc w:val="center"/>
            </w:pPr>
            <w:pPr>
              <w:jc w:val="left"/>
              <w:spacing w:before="200"/>
              <w:pStyle w:val="ImageCaption"/>
            </w:pPr>
            <w:r>
              <w:t xml:space="preserve">Table S11: Locality-level analysis frame. Each row is one Quina locality, with the number of Quina scrapers complete on all six variables and the median of those specimens on each. Distance and height are measured to and above the nearest channel.</w:t>
            </w:r>
          </w:p>
          <w:tbl>
            <w:tblPr>
              <w:tblStyle w:val="Table"/>
              <w:tblW w:type="pct" w:w="5000"/>
              <w:tblLayout w:type="fixed"/>
              <w:tblLook w:firstRow="1" w:lastRow="0" w:firstColumn="0" w:lastColumn="0" w:noHBand="0" w:noVBand="0" w:val="0020"/>
            </w:tblPr>
            <w:tblGrid>
              <w:gridCol w:w="1003"/>
              <w:gridCol w:w="501"/>
              <w:gridCol w:w="223"/>
              <w:gridCol w:w="725"/>
              <w:gridCol w:w="613"/>
              <w:gridCol w:w="836"/>
              <w:gridCol w:w="1115"/>
              <w:gridCol w:w="278"/>
              <w:gridCol w:w="669"/>
              <w:gridCol w:w="1115"/>
              <w:gridCol w:w="836"/>
            </w:tblGrid>
            <w:tr>
              <w:trPr>
                <w:tblHeader w:val="on"/>
              </w:trPr>
              <w:tc>
                <w:tcPr/>
                <w:p>
                  <w:pPr>
                    <w:pStyle w:val="Compact"/>
                    <w:jc w:val="left"/>
                    <w:jc w:val="center"/>
                  </w:pPr>
                  <w:r>
                    <w:t xml:space="preserve">Locality</w:t>
                  </w:r>
                </w:p>
              </w:tc>
              <w:tc>
                <w:tcPr/>
                <w:p>
                  <w:pPr>
                    <w:pStyle w:val="Compact"/>
                    <w:jc w:val="left"/>
                    <w:jc w:val="center"/>
                  </w:pPr>
                  <w:r>
                    <w:t xml:space="preserve">Basin</w:t>
                  </w:r>
                </w:p>
              </w:tc>
              <w:tc>
                <w:tcPr/>
                <w:p>
                  <w:pPr>
                    <w:pStyle w:val="Compact"/>
                    <w:jc w:val="right"/>
                    <w:jc w:val="center"/>
                  </w:pPr>
                  <w:r>
                    <w:rPr>
                      <w:i/>
                      <w:iCs/>
                    </w:rPr>
                    <w:t xml:space="preserve">n</w:t>
                  </w:r>
                </w:p>
              </w:tc>
              <w:tc>
                <w:tcPr/>
                <w:p>
                  <w:pPr>
                    <w:pStyle w:val="Compact"/>
                    <w:jc w:val="right"/>
                    <w:jc w:val="center"/>
                  </w:pPr>
                  <w:r>
                    <w:t xml:space="preserve">Distance (m)</w:t>
                  </w:r>
                </w:p>
              </w:tc>
              <w:tc>
                <w:tcPr/>
                <w:p>
                  <w:pPr>
                    <w:pStyle w:val="Compact"/>
                    <w:jc w:val="right"/>
                    <w:jc w:val="center"/>
                  </w:pPr>
                  <w:r>
                    <w:t xml:space="preserve">Height (m)</w:t>
                  </w:r>
                </w:p>
              </w:tc>
              <w:tc>
                <w:tcPr/>
                <w:p>
                  <w:pPr>
                    <w:pStyle w:val="Compact"/>
                    <w:jc w:val="right"/>
                    <w:jc w:val="center"/>
                  </w:pPr>
                  <w:r>
                    <w:t xml:space="preserve">Thickness (mm)</w:t>
                  </w:r>
                </w:p>
              </w:tc>
              <w:tc>
                <w:tcPr/>
                <w:p>
                  <w:pPr>
                    <w:pStyle w:val="Compact"/>
                    <w:jc w:val="right"/>
                    <w:jc w:val="center"/>
                  </w:pPr>
                  <w:r>
                    <w:t xml:space="preserve">Retouched perimeter</w:t>
                  </w:r>
                </w:p>
              </w:tc>
              <w:tc>
                <w:tcPr/>
                <w:p>
                  <w:pPr>
                    <w:pStyle w:val="Compact"/>
                    <w:jc w:val="right"/>
                    <w:jc w:val="center"/>
                  </w:pPr>
                  <w:r>
                    <w:t xml:space="preserve">GIUR</w:t>
                  </w:r>
                </w:p>
              </w:tc>
              <w:tc>
                <w:tcPr/>
                <w:p>
                  <w:pPr>
                    <w:pStyle w:val="Compact"/>
                    <w:jc w:val="right"/>
                    <w:jc w:val="center"/>
                  </w:pPr>
                  <w:r>
                    <w:t xml:space="preserve">Total scars</w:t>
                  </w:r>
                </w:p>
              </w:tc>
              <w:tc>
                <w:tcPr/>
                <w:p>
                  <w:pPr>
                    <w:pStyle w:val="Compact"/>
                    <w:jc w:val="right"/>
                    <w:jc w:val="center"/>
                  </w:pPr>
                  <w:r>
                    <w:t xml:space="preserve">Retouch generations</w:t>
                  </w:r>
                </w:p>
              </w:tc>
              <w:tc>
                <w:tcPr/>
                <w:p>
                  <w:pPr>
                    <w:pStyle w:val="Compact"/>
                    <w:jc w:val="right"/>
                    <w:jc w:val="center"/>
                  </w:pPr>
                  <w:r>
                    <w:t xml:space="preserve">Edge angle (°)</w:t>
                  </w:r>
                </w:p>
              </w:tc>
            </w:tr>
            <w:tr>
              <w:tc>
                <w:tcPr/>
                <w:p>
                  <w:pPr>
                    <w:pStyle w:val="Compact"/>
                    <w:jc w:val="left"/>
                    <w:jc w:val="center"/>
                  </w:pPr>
                  <w:r>
                    <w:t xml:space="preserve">Wayaowan</w:t>
                  </w:r>
                </w:p>
              </w:tc>
              <w:tc>
                <w:tcPr/>
                <w:p>
                  <w:pPr>
                    <w:pStyle w:val="Compact"/>
                    <w:jc w:val="left"/>
                    <w:jc w:val="center"/>
                  </w:pPr>
                  <w:r>
                    <w:t xml:space="preserve">Binchuan</w:t>
                  </w:r>
                </w:p>
              </w:tc>
              <w:tc>
                <w:tcPr/>
                <w:p>
                  <w:pPr>
                    <w:pStyle w:val="Compact"/>
                    <w:jc w:val="right"/>
                    <w:jc w:val="center"/>
                  </w:pPr>
                  <w:r>
                    <w:t xml:space="preserve">10</w:t>
                  </w:r>
                </w:p>
              </w:tc>
              <w:tc>
                <w:tcPr/>
                <w:p>
                  <w:pPr>
                    <w:pStyle w:val="Compact"/>
                    <w:jc w:val="right"/>
                    <w:jc w:val="center"/>
                  </w:pPr>
                  <w:r>
                    <w:t xml:space="preserve">663</w:t>
                  </w:r>
                </w:p>
              </w:tc>
              <w:tc>
                <w:tcPr/>
                <w:p>
                  <w:pPr>
                    <w:pStyle w:val="Compact"/>
                    <w:jc w:val="right"/>
                    <w:jc w:val="center"/>
                  </w:pPr>
                  <w:r>
                    <w:t xml:space="preserve">150</w:t>
                  </w:r>
                </w:p>
              </w:tc>
              <w:tc>
                <w:tcPr/>
                <w:p>
                  <w:pPr>
                    <w:pStyle w:val="Compact"/>
                    <w:jc w:val="right"/>
                    <w:jc w:val="center"/>
                  </w:pPr>
                  <w:r>
                    <w:t xml:space="preserve">21.5</w:t>
                  </w:r>
                </w:p>
              </w:tc>
              <w:tc>
                <w:tcPr/>
                <w:p>
                  <w:pPr>
                    <w:pStyle w:val="Compact"/>
                    <w:jc w:val="right"/>
                    <w:jc w:val="center"/>
                  </w:pPr>
                  <w:r>
                    <w:t xml:space="preserve">0.40</w:t>
                  </w:r>
                </w:p>
              </w:tc>
              <w:tc>
                <w:tcPr/>
                <w:p>
                  <w:pPr>
                    <w:pStyle w:val="Compact"/>
                    <w:jc w:val="right"/>
                    <w:jc w:val="center"/>
                  </w:pPr>
                  <w:r>
                    <w:t xml:space="preserve">0.75</w:t>
                  </w:r>
                </w:p>
              </w:tc>
              <w:tc>
                <w:tcPr/>
                <w:p>
                  <w:pPr>
                    <w:pStyle w:val="Compact"/>
                    <w:jc w:val="right"/>
                    <w:jc w:val="center"/>
                  </w:pPr>
                  <w:r>
                    <w:t xml:space="preserve">15</w:t>
                  </w:r>
                </w:p>
              </w:tc>
              <w:tc>
                <w:tcPr/>
                <w:p>
                  <w:pPr>
                    <w:pStyle w:val="Compact"/>
                    <w:jc w:val="right"/>
                    <w:jc w:val="center"/>
                  </w:pPr>
                  <w:r>
                    <w:t xml:space="preserve">3.00</w:t>
                  </w:r>
                </w:p>
              </w:tc>
              <w:tc>
                <w:tcPr/>
                <w:p>
                  <w:pPr>
                    <w:pStyle w:val="Compact"/>
                    <w:jc w:val="right"/>
                    <w:jc w:val="center"/>
                  </w:pPr>
                  <w:r>
                    <w:t xml:space="preserve">69.2</w:t>
                  </w:r>
                </w:p>
              </w:tc>
            </w:tr>
            <w:tr>
              <w:tc>
                <w:tcPr/>
                <w:p>
                  <w:pPr>
                    <w:pStyle w:val="Compact"/>
                    <w:jc w:val="left"/>
                    <w:jc w:val="center"/>
                  </w:pPr>
                  <w:r>
                    <w:t xml:space="preserve">Caifengcun</w:t>
                  </w:r>
                </w:p>
              </w:tc>
              <w:tc>
                <w:tcPr/>
                <w:p>
                  <w:pPr>
                    <w:pStyle w:val="Compact"/>
                    <w:jc w:val="left"/>
                    <w:jc w:val="center"/>
                  </w:pPr>
                  <w:r>
                    <w:t xml:space="preserve">Binchuan</w:t>
                  </w:r>
                </w:p>
              </w:tc>
              <w:tc>
                <w:tcPr/>
                <w:p>
                  <w:pPr>
                    <w:pStyle w:val="Compact"/>
                    <w:jc w:val="right"/>
                    <w:jc w:val="center"/>
                  </w:pPr>
                  <w:r>
                    <w:t xml:space="preserve">6</w:t>
                  </w:r>
                </w:p>
              </w:tc>
              <w:tc>
                <w:tcPr/>
                <w:p>
                  <w:pPr>
                    <w:pStyle w:val="Compact"/>
                    <w:jc w:val="right"/>
                    <w:jc w:val="center"/>
                  </w:pPr>
                  <w:r>
                    <w:t xml:space="preserve">721</w:t>
                  </w:r>
                </w:p>
              </w:tc>
              <w:tc>
                <w:tcPr/>
                <w:p>
                  <w:pPr>
                    <w:pStyle w:val="Compact"/>
                    <w:jc w:val="right"/>
                    <w:jc w:val="center"/>
                  </w:pPr>
                  <w:r>
                    <w:t xml:space="preserve">51</w:t>
                  </w:r>
                </w:p>
              </w:tc>
              <w:tc>
                <w:tcPr/>
                <w:p>
                  <w:pPr>
                    <w:pStyle w:val="Compact"/>
                    <w:jc w:val="right"/>
                    <w:jc w:val="center"/>
                  </w:pPr>
                  <w:r>
                    <w:t xml:space="preserve">18.7</w:t>
                  </w:r>
                </w:p>
              </w:tc>
              <w:tc>
                <w:tcPr/>
                <w:p>
                  <w:pPr>
                    <w:pStyle w:val="Compact"/>
                    <w:jc w:val="right"/>
                    <w:jc w:val="center"/>
                  </w:pPr>
                  <w:r>
                    <w:t xml:space="preserve">0.39</w:t>
                  </w:r>
                </w:p>
              </w:tc>
              <w:tc>
                <w:tcPr/>
                <w:p>
                  <w:pPr>
                    <w:pStyle w:val="Compact"/>
                    <w:jc w:val="right"/>
                    <w:jc w:val="center"/>
                  </w:pPr>
                  <w:r>
                    <w:t xml:space="preserve">0.91</w:t>
                  </w:r>
                </w:p>
              </w:tc>
              <w:tc>
                <w:tcPr/>
                <w:p>
                  <w:pPr>
                    <w:pStyle w:val="Compact"/>
                    <w:jc w:val="right"/>
                    <w:jc w:val="center"/>
                  </w:pPr>
                  <w:r>
                    <w:t xml:space="preserve">13</w:t>
                  </w:r>
                </w:p>
              </w:tc>
              <w:tc>
                <w:tcPr/>
                <w:p>
                  <w:pPr>
                    <w:pStyle w:val="Compact"/>
                    <w:jc w:val="right"/>
                    <w:jc w:val="center"/>
                  </w:pPr>
                  <w:r>
                    <w:t xml:space="preserve">2.50</w:t>
                  </w:r>
                </w:p>
              </w:tc>
              <w:tc>
                <w:tcPr/>
                <w:p>
                  <w:pPr>
                    <w:pStyle w:val="Compact"/>
                    <w:jc w:val="right"/>
                    <w:jc w:val="center"/>
                  </w:pPr>
                  <w:r>
                    <w:t xml:space="preserve">67.4</w:t>
                  </w:r>
                </w:p>
              </w:tc>
            </w:tr>
            <w:tr>
              <w:tc>
                <w:tcPr/>
                <w:p>
                  <w:pPr>
                    <w:pStyle w:val="Compact"/>
                    <w:jc w:val="left"/>
                    <w:jc w:val="center"/>
                  </w:pPr>
                  <w:r>
                    <w:t xml:space="preserve">Mianhualiangzi</w:t>
                  </w:r>
                </w:p>
              </w:tc>
              <w:tc>
                <w:tcPr/>
                <w:p>
                  <w:pPr>
                    <w:pStyle w:val="Compact"/>
                    <w:jc w:val="left"/>
                    <w:jc w:val="center"/>
                  </w:pPr>
                  <w:r>
                    <w:t xml:space="preserve">Binchuan</w:t>
                  </w:r>
                </w:p>
              </w:tc>
              <w:tc>
                <w:tcPr/>
                <w:p>
                  <w:pPr>
                    <w:pStyle w:val="Compact"/>
                    <w:jc w:val="right"/>
                    <w:jc w:val="center"/>
                  </w:pPr>
                  <w:r>
                    <w:t xml:space="preserve">4</w:t>
                  </w:r>
                </w:p>
              </w:tc>
              <w:tc>
                <w:tcPr/>
                <w:p>
                  <w:pPr>
                    <w:pStyle w:val="Compact"/>
                    <w:jc w:val="right"/>
                    <w:jc w:val="center"/>
                  </w:pPr>
                  <w:r>
                    <w:t xml:space="preserve">468</w:t>
                  </w:r>
                </w:p>
              </w:tc>
              <w:tc>
                <w:tcPr/>
                <w:p>
                  <w:pPr>
                    <w:pStyle w:val="Compact"/>
                    <w:jc w:val="right"/>
                    <w:jc w:val="center"/>
                  </w:pPr>
                  <w:r>
                    <w:t xml:space="preserve">55</w:t>
                  </w:r>
                </w:p>
              </w:tc>
              <w:tc>
                <w:tcPr/>
                <w:p>
                  <w:pPr>
                    <w:pStyle w:val="Compact"/>
                    <w:jc w:val="right"/>
                    <w:jc w:val="center"/>
                  </w:pPr>
                  <w:r>
                    <w:t xml:space="preserve">36.2</w:t>
                  </w:r>
                </w:p>
              </w:tc>
              <w:tc>
                <w:tcPr/>
                <w:p>
                  <w:pPr>
                    <w:pStyle w:val="Compact"/>
                    <w:jc w:val="right"/>
                    <w:jc w:val="center"/>
                  </w:pPr>
                  <w:r>
                    <w:t xml:space="preserve">0.45</w:t>
                  </w:r>
                </w:p>
              </w:tc>
              <w:tc>
                <w:tcPr/>
                <w:p>
                  <w:pPr>
                    <w:pStyle w:val="Compact"/>
                    <w:jc w:val="right"/>
                    <w:jc w:val="center"/>
                  </w:pPr>
                  <w:r>
                    <w:t xml:space="preserve">0.60</w:t>
                  </w:r>
                </w:p>
              </w:tc>
              <w:tc>
                <w:tcPr/>
                <w:p>
                  <w:pPr>
                    <w:pStyle w:val="Compact"/>
                    <w:jc w:val="right"/>
                    <w:jc w:val="center"/>
                  </w:pPr>
                  <w:r>
                    <w:t xml:space="preserve">26</w:t>
                  </w:r>
                </w:p>
              </w:tc>
              <w:tc>
                <w:tcPr/>
                <w:p>
                  <w:pPr>
                    <w:pStyle w:val="Compact"/>
                    <w:jc w:val="right"/>
                    <w:jc w:val="center"/>
                  </w:pPr>
                  <w:r>
                    <w:t xml:space="preserve">3.00</w:t>
                  </w:r>
                </w:p>
              </w:tc>
              <w:tc>
                <w:tcPr/>
                <w:p>
                  <w:pPr>
                    <w:pStyle w:val="Compact"/>
                    <w:jc w:val="right"/>
                    <w:jc w:val="center"/>
                  </w:pPr>
                  <w:r>
                    <w:t xml:space="preserve">73.8</w:t>
                  </w:r>
                </w:p>
              </w:tc>
            </w:tr>
            <w:tr>
              <w:tc>
                <w:tcPr/>
                <w:p>
                  <w:pPr>
                    <w:pStyle w:val="Compact"/>
                    <w:jc w:val="left"/>
                    <w:jc w:val="center"/>
                  </w:pPr>
                  <w:r>
                    <w:t xml:space="preserve">Laojianshan</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721</w:t>
                  </w:r>
                </w:p>
              </w:tc>
              <w:tc>
                <w:tcPr/>
                <w:p>
                  <w:pPr>
                    <w:pStyle w:val="Compact"/>
                    <w:jc w:val="right"/>
                    <w:jc w:val="center"/>
                  </w:pPr>
                  <w:r>
                    <w:t xml:space="preserve">60</w:t>
                  </w:r>
                </w:p>
              </w:tc>
              <w:tc>
                <w:tcPr/>
                <w:p>
                  <w:pPr>
                    <w:pStyle w:val="Compact"/>
                    <w:jc w:val="right"/>
                    <w:jc w:val="center"/>
                  </w:pPr>
                  <w:r>
                    <w:t xml:space="preserve">27.5</w:t>
                  </w:r>
                </w:p>
              </w:tc>
              <w:tc>
                <w:tcPr/>
                <w:p>
                  <w:pPr>
                    <w:pStyle w:val="Compact"/>
                    <w:jc w:val="right"/>
                    <w:jc w:val="center"/>
                  </w:pPr>
                  <w:r>
                    <w:t xml:space="preserve">0.60</w:t>
                  </w:r>
                </w:p>
              </w:tc>
              <w:tc>
                <w:tcPr/>
                <w:p>
                  <w:pPr>
                    <w:pStyle w:val="Compact"/>
                    <w:jc w:val="right"/>
                    <w:jc w:val="center"/>
                  </w:pPr>
                  <w:r>
                    <w:t xml:space="preserve">0.94</w:t>
                  </w:r>
                </w:p>
              </w:tc>
              <w:tc>
                <w:tcPr/>
                <w:p>
                  <w:pPr>
                    <w:pStyle w:val="Compact"/>
                    <w:jc w:val="right"/>
                    <w:jc w:val="center"/>
                  </w:pPr>
                  <w:r>
                    <w:t xml:space="preserve">30</w:t>
                  </w:r>
                </w:p>
              </w:tc>
              <w:tc>
                <w:tcPr/>
                <w:p>
                  <w:pPr>
                    <w:pStyle w:val="Compact"/>
                    <w:jc w:val="right"/>
                    <w:jc w:val="center"/>
                  </w:pPr>
                  <w:r>
                    <w:t xml:space="preserve">3.17</w:t>
                  </w:r>
                </w:p>
              </w:tc>
              <w:tc>
                <w:tcPr/>
                <w:p>
                  <w:pPr>
                    <w:pStyle w:val="Compact"/>
                    <w:jc w:val="right"/>
                    <w:jc w:val="center"/>
                  </w:pPr>
                  <w:r>
                    <w:t xml:space="preserve">75.3</w:t>
                  </w:r>
                </w:p>
              </w:tc>
            </w:tr>
            <w:tr>
              <w:tc>
                <w:tcPr/>
                <w:p>
                  <w:pPr>
                    <w:pStyle w:val="Compact"/>
                    <w:jc w:val="left"/>
                    <w:jc w:val="center"/>
                  </w:pPr>
                  <w:r>
                    <w:t xml:space="preserve">Mianhuadi</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593</w:t>
                  </w:r>
                </w:p>
              </w:tc>
              <w:tc>
                <w:tcPr/>
                <w:p>
                  <w:pPr>
                    <w:pStyle w:val="Compact"/>
                    <w:jc w:val="right"/>
                    <w:jc w:val="center"/>
                  </w:pPr>
                  <w:r>
                    <w:t xml:space="preserve">46</w:t>
                  </w:r>
                </w:p>
              </w:tc>
              <w:tc>
                <w:tcPr/>
                <w:p>
                  <w:pPr>
                    <w:pStyle w:val="Compact"/>
                    <w:jc w:val="right"/>
                    <w:jc w:val="center"/>
                  </w:pPr>
                  <w:r>
                    <w:t xml:space="preserve">30.9</w:t>
                  </w:r>
                </w:p>
              </w:tc>
              <w:tc>
                <w:tcPr/>
                <w:p>
                  <w:pPr>
                    <w:pStyle w:val="Compact"/>
                    <w:jc w:val="right"/>
                    <w:jc w:val="center"/>
                  </w:pPr>
                  <w:r>
                    <w:t xml:space="preserve">0.46</w:t>
                  </w:r>
                </w:p>
              </w:tc>
              <w:tc>
                <w:tcPr/>
                <w:p>
                  <w:pPr>
                    <w:pStyle w:val="Compact"/>
                    <w:jc w:val="right"/>
                    <w:jc w:val="center"/>
                  </w:pPr>
                  <w:r>
                    <w:t xml:space="preserve">0.83</w:t>
                  </w:r>
                </w:p>
              </w:tc>
              <w:tc>
                <w:tcPr/>
                <w:p>
                  <w:pPr>
                    <w:pStyle w:val="Compact"/>
                    <w:jc w:val="right"/>
                    <w:jc w:val="center"/>
                  </w:pPr>
                  <w:r>
                    <w:t xml:space="preserve">26</w:t>
                  </w:r>
                </w:p>
              </w:tc>
              <w:tc>
                <w:tcPr/>
                <w:p>
                  <w:pPr>
                    <w:pStyle w:val="Compact"/>
                    <w:jc w:val="right"/>
                    <w:jc w:val="center"/>
                  </w:pPr>
                  <w:r>
                    <w:t xml:space="preserve">3.25</w:t>
                  </w:r>
                </w:p>
              </w:tc>
              <w:tc>
                <w:tcPr/>
                <w:p>
                  <w:pPr>
                    <w:pStyle w:val="Compact"/>
                    <w:jc w:val="right"/>
                    <w:jc w:val="center"/>
                  </w:pPr>
                  <w:r>
                    <w:t xml:space="preserve">77.3</w:t>
                  </w:r>
                </w:p>
              </w:tc>
            </w:tr>
            <w:tr>
              <w:tc>
                <w:tcPr/>
                <w:p>
                  <w:pPr>
                    <w:pStyle w:val="Compact"/>
                    <w:jc w:val="left"/>
                    <w:jc w:val="center"/>
                  </w:pPr>
                  <w:r>
                    <w:t xml:space="preserve">Nanjingzhuang</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944</w:t>
                  </w:r>
                </w:p>
              </w:tc>
              <w:tc>
                <w:tcPr/>
                <w:p>
                  <w:pPr>
                    <w:pStyle w:val="Compact"/>
                    <w:jc w:val="right"/>
                    <w:jc w:val="center"/>
                  </w:pPr>
                  <w:r>
                    <w:t xml:space="preserve">30</w:t>
                  </w:r>
                </w:p>
              </w:tc>
              <w:tc>
                <w:tcPr/>
                <w:p>
                  <w:pPr>
                    <w:pStyle w:val="Compact"/>
                    <w:jc w:val="right"/>
                    <w:jc w:val="center"/>
                  </w:pPr>
                  <w:r>
                    <w:t xml:space="preserve">25.9</w:t>
                  </w:r>
                </w:p>
              </w:tc>
              <w:tc>
                <w:tcPr/>
                <w:p>
                  <w:pPr>
                    <w:pStyle w:val="Compact"/>
                    <w:jc w:val="right"/>
                    <w:jc w:val="center"/>
                  </w:pPr>
                  <w:r>
                    <w:t xml:space="preserve">0.79</w:t>
                  </w:r>
                </w:p>
              </w:tc>
              <w:tc>
                <w:tcPr/>
                <w:p>
                  <w:pPr>
                    <w:pStyle w:val="Compact"/>
                    <w:jc w:val="right"/>
                    <w:jc w:val="center"/>
                  </w:pPr>
                  <w:r>
                    <w:t xml:space="preserve">0.73</w:t>
                  </w:r>
                </w:p>
              </w:tc>
              <w:tc>
                <w:tcPr/>
                <w:p>
                  <w:pPr>
                    <w:pStyle w:val="Compact"/>
                    <w:jc w:val="right"/>
                    <w:jc w:val="center"/>
                  </w:pPr>
                  <w:r>
                    <w:t xml:space="preserve">48</w:t>
                  </w:r>
                </w:p>
              </w:tc>
              <w:tc>
                <w:tcPr/>
                <w:p>
                  <w:pPr>
                    <w:pStyle w:val="Compact"/>
                    <w:jc w:val="right"/>
                    <w:jc w:val="center"/>
                  </w:pPr>
                  <w:r>
                    <w:t xml:space="preserve">3.17</w:t>
                  </w:r>
                </w:p>
              </w:tc>
              <w:tc>
                <w:tcPr/>
                <w:p>
                  <w:pPr>
                    <w:pStyle w:val="Compact"/>
                    <w:jc w:val="right"/>
                    <w:jc w:val="center"/>
                  </w:pPr>
                  <w:r>
                    <w:t xml:space="preserve">69.4</w:t>
                  </w:r>
                </w:p>
              </w:tc>
            </w:tr>
            <w:tr>
              <w:tc>
                <w:tcPr/>
                <w:p>
                  <w:pPr>
                    <w:pStyle w:val="Compact"/>
                    <w:jc w:val="left"/>
                    <w:jc w:val="center"/>
                  </w:pPr>
                  <w:r>
                    <w:t xml:space="preserve">Pengjiadadi</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1110</w:t>
                  </w:r>
                </w:p>
              </w:tc>
              <w:tc>
                <w:tcPr/>
                <w:p>
                  <w:pPr>
                    <w:pStyle w:val="Compact"/>
                    <w:jc w:val="right"/>
                    <w:jc w:val="center"/>
                  </w:pPr>
                  <w:r>
                    <w:t xml:space="preserve">46</w:t>
                  </w:r>
                </w:p>
              </w:tc>
              <w:tc>
                <w:tcPr/>
                <w:p>
                  <w:pPr>
                    <w:pStyle w:val="Compact"/>
                    <w:jc w:val="right"/>
                    <w:jc w:val="center"/>
                  </w:pPr>
                  <w:r>
                    <w:t xml:space="preserve">32.0</w:t>
                  </w:r>
                </w:p>
              </w:tc>
              <w:tc>
                <w:tcPr/>
                <w:p>
                  <w:pPr>
                    <w:pStyle w:val="Compact"/>
                    <w:jc w:val="right"/>
                    <w:jc w:val="center"/>
                  </w:pPr>
                  <w:r>
                    <w:t xml:space="preserve">0.66</w:t>
                  </w:r>
                </w:p>
              </w:tc>
              <w:tc>
                <w:tcPr/>
                <w:p>
                  <w:pPr>
                    <w:pStyle w:val="Compact"/>
                    <w:jc w:val="right"/>
                    <w:jc w:val="center"/>
                  </w:pPr>
                  <w:r>
                    <w:t xml:space="preserve">0.57</w:t>
                  </w:r>
                </w:p>
              </w:tc>
              <w:tc>
                <w:tcPr/>
                <w:p>
                  <w:pPr>
                    <w:pStyle w:val="Compact"/>
                    <w:jc w:val="right"/>
                    <w:jc w:val="center"/>
                  </w:pPr>
                  <w:r>
                    <w:t xml:space="preserve">30</w:t>
                  </w:r>
                </w:p>
              </w:tc>
              <w:tc>
                <w:tcPr/>
                <w:p>
                  <w:pPr>
                    <w:pStyle w:val="Compact"/>
                    <w:jc w:val="right"/>
                    <w:jc w:val="center"/>
                  </w:pPr>
                  <w:r>
                    <w:t xml:space="preserve">3.00</w:t>
                  </w:r>
                </w:p>
              </w:tc>
              <w:tc>
                <w:tcPr/>
                <w:p>
                  <w:pPr>
                    <w:pStyle w:val="Compact"/>
                    <w:jc w:val="right"/>
                    <w:jc w:val="center"/>
                  </w:pPr>
                  <w:r>
                    <w:t xml:space="preserve">68.1</w:t>
                  </w:r>
                </w:p>
              </w:tc>
            </w:tr>
            <w:tr>
              <w:tc>
                <w:tcPr/>
                <w:p>
                  <w:pPr>
                    <w:pStyle w:val="Compact"/>
                    <w:jc w:val="left"/>
                    <w:jc w:val="center"/>
                  </w:pPr>
                  <w:r>
                    <w:t xml:space="preserve">Shitouwan</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523</w:t>
                  </w:r>
                </w:p>
              </w:tc>
              <w:tc>
                <w:tcPr/>
                <w:p>
                  <w:pPr>
                    <w:pStyle w:val="Compact"/>
                    <w:jc w:val="right"/>
                    <w:jc w:val="center"/>
                  </w:pPr>
                  <w:r>
                    <w:t xml:space="preserve">37</w:t>
                  </w:r>
                </w:p>
              </w:tc>
              <w:tc>
                <w:tcPr/>
                <w:p>
                  <w:pPr>
                    <w:pStyle w:val="Compact"/>
                    <w:jc w:val="right"/>
                    <w:jc w:val="center"/>
                  </w:pPr>
                  <w:r>
                    <w:t xml:space="preserve">24.2</w:t>
                  </w:r>
                </w:p>
              </w:tc>
              <w:tc>
                <w:tcPr/>
                <w:p>
                  <w:pPr>
                    <w:pStyle w:val="Compact"/>
                    <w:jc w:val="right"/>
                    <w:jc w:val="center"/>
                  </w:pPr>
                  <w:r>
                    <w:t xml:space="preserve">0.41</w:t>
                  </w:r>
                </w:p>
              </w:tc>
              <w:tc>
                <w:tcPr/>
                <w:p>
                  <w:pPr>
                    <w:pStyle w:val="Compact"/>
                    <w:jc w:val="right"/>
                    <w:jc w:val="center"/>
                  </w:pPr>
                  <w:r>
                    <w:t xml:space="preserve">0.85</w:t>
                  </w:r>
                </w:p>
              </w:tc>
              <w:tc>
                <w:tcPr/>
                <w:p>
                  <w:pPr>
                    <w:pStyle w:val="Compact"/>
                    <w:jc w:val="right"/>
                    <w:jc w:val="center"/>
                  </w:pPr>
                  <w:r>
                    <w:t xml:space="preserve">24</w:t>
                  </w:r>
                </w:p>
              </w:tc>
              <w:tc>
                <w:tcPr/>
                <w:p>
                  <w:pPr>
                    <w:pStyle w:val="Compact"/>
                    <w:jc w:val="right"/>
                    <w:jc w:val="center"/>
                  </w:pPr>
                  <w:r>
                    <w:t xml:space="preserve">3.00</w:t>
                  </w:r>
                </w:p>
              </w:tc>
              <w:tc>
                <w:tcPr/>
                <w:p>
                  <w:pPr>
                    <w:pStyle w:val="Compact"/>
                    <w:jc w:val="right"/>
                    <w:jc w:val="center"/>
                  </w:pPr>
                  <w:r>
                    <w:t xml:space="preserve">68.7</w:t>
                  </w:r>
                </w:p>
              </w:tc>
            </w:tr>
            <w:tr>
              <w:tc>
                <w:tcPr/>
                <w:p>
                  <w:pPr>
                    <w:pStyle w:val="Compact"/>
                    <w:jc w:val="left"/>
                    <w:jc w:val="center"/>
                  </w:pPr>
                  <w:r>
                    <w:t xml:space="preserve">Yanjianqiao</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204</w:t>
                  </w:r>
                </w:p>
              </w:tc>
              <w:tc>
                <w:tcPr/>
                <w:p>
                  <w:pPr>
                    <w:pStyle w:val="Compact"/>
                    <w:jc w:val="right"/>
                    <w:jc w:val="center"/>
                  </w:pPr>
                  <w:r>
                    <w:t xml:space="preserve">48</w:t>
                  </w:r>
                </w:p>
              </w:tc>
              <w:tc>
                <w:tcPr/>
                <w:p>
                  <w:pPr>
                    <w:pStyle w:val="Compact"/>
                    <w:jc w:val="right"/>
                    <w:jc w:val="center"/>
                  </w:pPr>
                  <w:r>
                    <w:t xml:space="preserve">19.8</w:t>
                  </w:r>
                </w:p>
              </w:tc>
              <w:tc>
                <w:tcPr/>
                <w:p>
                  <w:pPr>
                    <w:pStyle w:val="Compact"/>
                    <w:jc w:val="right"/>
                    <w:jc w:val="center"/>
                  </w:pPr>
                  <w:r>
                    <w:t xml:space="preserve">0.51</w:t>
                  </w:r>
                </w:p>
              </w:tc>
              <w:tc>
                <w:tcPr/>
                <w:p>
                  <w:pPr>
                    <w:pStyle w:val="Compact"/>
                    <w:jc w:val="right"/>
                    <w:jc w:val="center"/>
                  </w:pPr>
                  <w:r>
                    <w:t xml:space="preserve">0.64</w:t>
                  </w:r>
                </w:p>
              </w:tc>
              <w:tc>
                <w:tcPr/>
                <w:p>
                  <w:pPr>
                    <w:pStyle w:val="Compact"/>
                    <w:jc w:val="right"/>
                    <w:jc w:val="center"/>
                  </w:pPr>
                  <w:r>
                    <w:t xml:space="preserve">20</w:t>
                  </w:r>
                </w:p>
              </w:tc>
              <w:tc>
                <w:tcPr/>
                <w:p>
                  <w:pPr>
                    <w:pStyle w:val="Compact"/>
                    <w:jc w:val="right"/>
                    <w:jc w:val="center"/>
                  </w:pPr>
                  <w:r>
                    <w:t xml:space="preserve">2.25</w:t>
                  </w:r>
                </w:p>
              </w:tc>
              <w:tc>
                <w:tcPr/>
                <w:p>
                  <w:pPr>
                    <w:pStyle w:val="Compact"/>
                    <w:jc w:val="right"/>
                    <w:jc w:val="center"/>
                  </w:pPr>
                  <w:r>
                    <w:t xml:space="preserve">69.1</w:t>
                  </w:r>
                </w:p>
              </w:tc>
            </w:tr>
            <w:tr>
              <w:tc>
                <w:tcPr/>
                <w:p>
                  <w:pPr>
                    <w:pStyle w:val="Compact"/>
                    <w:jc w:val="left"/>
                    <w:jc w:val="center"/>
                  </w:pPr>
                  <w:r>
                    <w:t xml:space="preserve">Zhongjialiangzi</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908</w:t>
                  </w:r>
                </w:p>
              </w:tc>
              <w:tc>
                <w:tcPr/>
                <w:p>
                  <w:pPr>
                    <w:pStyle w:val="Compact"/>
                    <w:jc w:val="right"/>
                    <w:jc w:val="center"/>
                  </w:pPr>
                  <w:r>
                    <w:t xml:space="preserve">30</w:t>
                  </w:r>
                </w:p>
              </w:tc>
              <w:tc>
                <w:tcPr/>
                <w:p>
                  <w:pPr>
                    <w:pStyle w:val="Compact"/>
                    <w:jc w:val="right"/>
                    <w:jc w:val="center"/>
                  </w:pPr>
                  <w:r>
                    <w:t xml:space="preserve">23.3</w:t>
                  </w:r>
                </w:p>
              </w:tc>
              <w:tc>
                <w:tcPr/>
                <w:p>
                  <w:pPr>
                    <w:pStyle w:val="Compact"/>
                    <w:jc w:val="right"/>
                    <w:jc w:val="center"/>
                  </w:pPr>
                  <w:r>
                    <w:t xml:space="preserve">0.62</w:t>
                  </w:r>
                </w:p>
              </w:tc>
              <w:tc>
                <w:tcPr/>
                <w:p>
                  <w:pPr>
                    <w:pStyle w:val="Compact"/>
                    <w:jc w:val="right"/>
                    <w:jc w:val="center"/>
                  </w:pPr>
                  <w:r>
                    <w:t xml:space="preserve">0.98</w:t>
                  </w:r>
                </w:p>
              </w:tc>
              <w:tc>
                <w:tcPr/>
                <w:p>
                  <w:pPr>
                    <w:pStyle w:val="Compact"/>
                    <w:jc w:val="right"/>
                    <w:jc w:val="center"/>
                  </w:pPr>
                  <w:r>
                    <w:t xml:space="preserve">24</w:t>
                  </w:r>
                </w:p>
              </w:tc>
              <w:tc>
                <w:tcPr/>
                <w:p>
                  <w:pPr>
                    <w:pStyle w:val="Compact"/>
                    <w:jc w:val="right"/>
                    <w:jc w:val="center"/>
                  </w:pPr>
                  <w:r>
                    <w:t xml:space="preserve">3.25</w:t>
                  </w:r>
                </w:p>
              </w:tc>
              <w:tc>
                <w:tcPr/>
                <w:p>
                  <w:pPr>
                    <w:pStyle w:val="Compact"/>
                    <w:jc w:val="right"/>
                    <w:jc w:val="center"/>
                  </w:pPr>
                  <w:r>
                    <w:t xml:space="preserve">73.5</w:t>
                  </w:r>
                </w:p>
              </w:tc>
            </w:tr>
            <w:tr>
              <w:tc>
                <w:tcPr/>
                <w:p>
                  <w:pPr>
                    <w:pStyle w:val="Compact"/>
                    <w:jc w:val="left"/>
                    <w:jc w:val="center"/>
                  </w:pPr>
                  <w:r>
                    <w:t xml:space="preserve">Zhouxiyingliangzi</w:t>
                  </w:r>
                </w:p>
              </w:tc>
              <w:tc>
                <w:tcPr/>
                <w:p>
                  <w:pPr>
                    <w:pStyle w:val="Compact"/>
                    <w:jc w:val="left"/>
                    <w:jc w:val="center"/>
                  </w:pPr>
                  <w:r>
                    <w:t xml:space="preserve">Binchuan</w:t>
                  </w:r>
                </w:p>
              </w:tc>
              <w:tc>
                <w:tcPr/>
                <w:p>
                  <w:pPr>
                    <w:pStyle w:val="Compact"/>
                    <w:jc w:val="right"/>
                    <w:jc w:val="center"/>
                  </w:pPr>
                  <w:r>
                    <w:t xml:space="preserve">2</w:t>
                  </w:r>
                </w:p>
              </w:tc>
              <w:tc>
                <w:tcPr/>
                <w:p>
                  <w:pPr>
                    <w:pStyle w:val="Compact"/>
                    <w:jc w:val="right"/>
                    <w:jc w:val="center"/>
                  </w:pPr>
                  <w:r>
                    <w:t xml:space="preserve">210</w:t>
                  </w:r>
                </w:p>
              </w:tc>
              <w:tc>
                <w:tcPr/>
                <w:p>
                  <w:pPr>
                    <w:pStyle w:val="Compact"/>
                    <w:jc w:val="right"/>
                    <w:jc w:val="center"/>
                  </w:pPr>
                  <w:r>
                    <w:t xml:space="preserve">40</w:t>
                  </w:r>
                </w:p>
              </w:tc>
              <w:tc>
                <w:tcPr/>
                <w:p>
                  <w:pPr>
                    <w:pStyle w:val="Compact"/>
                    <w:jc w:val="right"/>
                    <w:jc w:val="center"/>
                  </w:pPr>
                  <w:r>
                    <w:t xml:space="preserve">24.2</w:t>
                  </w:r>
                </w:p>
              </w:tc>
              <w:tc>
                <w:tcPr/>
                <w:p>
                  <w:pPr>
                    <w:pStyle w:val="Compact"/>
                    <w:jc w:val="right"/>
                    <w:jc w:val="center"/>
                  </w:pPr>
                  <w:r>
                    <w:t xml:space="preserve">0.37</w:t>
                  </w:r>
                </w:p>
              </w:tc>
              <w:tc>
                <w:tcPr/>
                <w:p>
                  <w:pPr>
                    <w:pStyle w:val="Compact"/>
                    <w:jc w:val="right"/>
                    <w:jc w:val="center"/>
                  </w:pPr>
                  <w:r>
                    <w:t xml:space="preserve">0.88</w:t>
                  </w:r>
                </w:p>
              </w:tc>
              <w:tc>
                <w:tcPr/>
                <w:p>
                  <w:pPr>
                    <w:pStyle w:val="Compact"/>
                    <w:jc w:val="right"/>
                    <w:jc w:val="center"/>
                  </w:pPr>
                  <w:r>
                    <w:t xml:space="preserve">18</w:t>
                  </w:r>
                </w:p>
              </w:tc>
              <w:tc>
                <w:tcPr/>
                <w:p>
                  <w:pPr>
                    <w:pStyle w:val="Compact"/>
                    <w:jc w:val="right"/>
                    <w:jc w:val="center"/>
                  </w:pPr>
                  <w:r>
                    <w:t xml:space="preserve">2.50</w:t>
                  </w:r>
                </w:p>
              </w:tc>
              <w:tc>
                <w:tcPr/>
                <w:p>
                  <w:pPr>
                    <w:pStyle w:val="Compact"/>
                    <w:jc w:val="right"/>
                    <w:jc w:val="center"/>
                  </w:pPr>
                  <w:r>
                    <w:t xml:space="preserve">62.6</w:t>
                  </w:r>
                </w:p>
              </w:tc>
            </w:tr>
            <w:tr>
              <w:tc>
                <w:tcPr/>
                <w:p>
                  <w:pPr>
                    <w:pStyle w:val="Compact"/>
                    <w:jc w:val="left"/>
                    <w:jc w:val="center"/>
                  </w:pPr>
                  <w:r>
                    <w:t xml:space="preserve">Baifen</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716</w:t>
                  </w:r>
                </w:p>
              </w:tc>
              <w:tc>
                <w:tcPr/>
                <w:p>
                  <w:pPr>
                    <w:pStyle w:val="Compact"/>
                    <w:jc w:val="right"/>
                    <w:jc w:val="center"/>
                  </w:pPr>
                  <w:r>
                    <w:t xml:space="preserve">40</w:t>
                  </w:r>
                </w:p>
              </w:tc>
              <w:tc>
                <w:tcPr/>
                <w:p>
                  <w:pPr>
                    <w:pStyle w:val="Compact"/>
                    <w:jc w:val="right"/>
                    <w:jc w:val="center"/>
                  </w:pPr>
                  <w:r>
                    <w:t xml:space="preserve">17.5</w:t>
                  </w:r>
                </w:p>
              </w:tc>
              <w:tc>
                <w:tcPr/>
                <w:p>
                  <w:pPr>
                    <w:pStyle w:val="Compact"/>
                    <w:jc w:val="right"/>
                    <w:jc w:val="center"/>
                  </w:pPr>
                  <w:r>
                    <w:t xml:space="preserve">0.36</w:t>
                  </w:r>
                </w:p>
              </w:tc>
              <w:tc>
                <w:tcPr/>
                <w:p>
                  <w:pPr>
                    <w:pStyle w:val="Compact"/>
                    <w:jc w:val="right"/>
                    <w:jc w:val="center"/>
                  </w:pPr>
                  <w:r>
                    <w:t xml:space="preserve">0.97</w:t>
                  </w:r>
                </w:p>
              </w:tc>
              <w:tc>
                <w:tcPr/>
                <w:p>
                  <w:pPr>
                    <w:pStyle w:val="Compact"/>
                    <w:jc w:val="right"/>
                    <w:jc w:val="center"/>
                  </w:pPr>
                  <w:r>
                    <w:t xml:space="preserve">9</w:t>
                  </w:r>
                </w:p>
              </w:tc>
              <w:tc>
                <w:tcPr/>
                <w:p>
                  <w:pPr>
                    <w:pStyle w:val="Compact"/>
                    <w:jc w:val="right"/>
                    <w:jc w:val="center"/>
                  </w:pPr>
                  <w:r>
                    <w:t xml:space="preserve">2.00</w:t>
                  </w:r>
                </w:p>
              </w:tc>
              <w:tc>
                <w:tcPr/>
                <w:p>
                  <w:pPr>
                    <w:pStyle w:val="Compact"/>
                    <w:jc w:val="right"/>
                    <w:jc w:val="center"/>
                  </w:pPr>
                  <w:r>
                    <w:t xml:space="preserve">62.0</w:t>
                  </w:r>
                </w:p>
              </w:tc>
            </w:tr>
            <w:tr>
              <w:tc>
                <w:tcPr/>
                <w:p>
                  <w:pPr>
                    <w:pStyle w:val="Compact"/>
                    <w:jc w:val="left"/>
                    <w:jc w:val="center"/>
                  </w:pPr>
                  <w:r>
                    <w:t xml:space="preserve">Dapingdi 1</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1390</w:t>
                  </w:r>
                </w:p>
              </w:tc>
              <w:tc>
                <w:tcPr/>
                <w:p>
                  <w:pPr>
                    <w:pStyle w:val="Compact"/>
                    <w:jc w:val="right"/>
                    <w:jc w:val="center"/>
                  </w:pPr>
                  <w:r>
                    <w:t xml:space="preserve">25</w:t>
                  </w:r>
                </w:p>
              </w:tc>
              <w:tc>
                <w:tcPr/>
                <w:p>
                  <w:pPr>
                    <w:pStyle w:val="Compact"/>
                    <w:jc w:val="right"/>
                    <w:jc w:val="center"/>
                  </w:pPr>
                  <w:r>
                    <w:t xml:space="preserve">38.6</w:t>
                  </w:r>
                </w:p>
              </w:tc>
              <w:tc>
                <w:tcPr/>
                <w:p>
                  <w:pPr>
                    <w:pStyle w:val="Compact"/>
                    <w:jc w:val="right"/>
                    <w:jc w:val="center"/>
                  </w:pPr>
                  <w:r>
                    <w:t xml:space="preserve">0.33</w:t>
                  </w:r>
                </w:p>
              </w:tc>
              <w:tc>
                <w:tcPr/>
                <w:p>
                  <w:pPr>
                    <w:pStyle w:val="Compact"/>
                    <w:jc w:val="right"/>
                    <w:jc w:val="center"/>
                  </w:pPr>
                  <w:r>
                    <w:t xml:space="preserve">1.00</w:t>
                  </w:r>
                </w:p>
              </w:tc>
              <w:tc>
                <w:tcPr/>
                <w:p>
                  <w:pPr>
                    <w:pStyle w:val="Compact"/>
                    <w:jc w:val="right"/>
                    <w:jc w:val="center"/>
                  </w:pPr>
                  <w:r>
                    <w:t xml:space="preserve">16</w:t>
                  </w:r>
                </w:p>
              </w:tc>
              <w:tc>
                <w:tcPr/>
                <w:p>
                  <w:pPr>
                    <w:pStyle w:val="Compact"/>
                    <w:jc w:val="right"/>
                    <w:jc w:val="center"/>
                  </w:pPr>
                  <w:r>
                    <w:t xml:space="preserve">3.00</w:t>
                  </w:r>
                </w:p>
              </w:tc>
              <w:tc>
                <w:tcPr/>
                <w:p>
                  <w:pPr>
                    <w:pStyle w:val="Compact"/>
                    <w:jc w:val="right"/>
                    <w:jc w:val="center"/>
                  </w:pPr>
                  <w:r>
                    <w:t xml:space="preserve">87.7</w:t>
                  </w:r>
                </w:p>
              </w:tc>
            </w:tr>
            <w:tr>
              <w:tc>
                <w:tcPr/>
                <w:p>
                  <w:pPr>
                    <w:pStyle w:val="Compact"/>
                    <w:jc w:val="left"/>
                    <w:jc w:val="center"/>
                  </w:pPr>
                  <w:r>
                    <w:t xml:space="preserve">Dapingdi 2</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268</w:t>
                  </w:r>
                </w:p>
              </w:tc>
              <w:tc>
                <w:tcPr/>
                <w:p>
                  <w:pPr>
                    <w:pStyle w:val="Compact"/>
                    <w:jc w:val="right"/>
                    <w:jc w:val="center"/>
                  </w:pPr>
                  <w:r>
                    <w:t xml:space="preserve">38</w:t>
                  </w:r>
                </w:p>
              </w:tc>
              <w:tc>
                <w:tcPr/>
                <w:p>
                  <w:pPr>
                    <w:pStyle w:val="Compact"/>
                    <w:jc w:val="right"/>
                    <w:jc w:val="center"/>
                  </w:pPr>
                  <w:r>
                    <w:t xml:space="preserve">22.9</w:t>
                  </w:r>
                </w:p>
              </w:tc>
              <w:tc>
                <w:tcPr/>
                <w:p>
                  <w:pPr>
                    <w:pStyle w:val="Compact"/>
                    <w:jc w:val="right"/>
                    <w:jc w:val="center"/>
                  </w:pPr>
                  <w:r>
                    <w:t xml:space="preserve">0.36</w:t>
                  </w:r>
                </w:p>
              </w:tc>
              <w:tc>
                <w:tcPr/>
                <w:p>
                  <w:pPr>
                    <w:pStyle w:val="Compact"/>
                    <w:jc w:val="right"/>
                    <w:jc w:val="center"/>
                  </w:pPr>
                  <w:r>
                    <w:t xml:space="preserve">0.21</w:t>
                  </w:r>
                </w:p>
              </w:tc>
              <w:tc>
                <w:tcPr/>
                <w:p>
                  <w:pPr>
                    <w:pStyle w:val="Compact"/>
                    <w:jc w:val="right"/>
                    <w:jc w:val="center"/>
                  </w:pPr>
                  <w:r>
                    <w:t xml:space="preserve">9</w:t>
                  </w:r>
                </w:p>
              </w:tc>
              <w:tc>
                <w:tcPr/>
                <w:p>
                  <w:pPr>
                    <w:pStyle w:val="Compact"/>
                    <w:jc w:val="right"/>
                    <w:jc w:val="center"/>
                  </w:pPr>
                  <w:r>
                    <w:t xml:space="preserve">1.00</w:t>
                  </w:r>
                </w:p>
              </w:tc>
              <w:tc>
                <w:tcPr/>
                <w:p>
                  <w:pPr>
                    <w:pStyle w:val="Compact"/>
                    <w:jc w:val="right"/>
                    <w:jc w:val="center"/>
                  </w:pPr>
                  <w:r>
                    <w:t xml:space="preserve">55.0</w:t>
                  </w:r>
                </w:p>
              </w:tc>
            </w:tr>
            <w:tr>
              <w:tc>
                <w:tcPr/>
                <w:p>
                  <w:pPr>
                    <w:pStyle w:val="Compact"/>
                    <w:jc w:val="left"/>
                    <w:jc w:val="center"/>
                  </w:pPr>
                  <w:r>
                    <w:t xml:space="preserve">Futianzhuang</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459</w:t>
                  </w:r>
                </w:p>
              </w:tc>
              <w:tc>
                <w:tcPr/>
                <w:p>
                  <w:pPr>
                    <w:pStyle w:val="Compact"/>
                    <w:jc w:val="right"/>
                    <w:jc w:val="center"/>
                  </w:pPr>
                  <w:r>
                    <w:t xml:space="preserve">73</w:t>
                  </w:r>
                </w:p>
              </w:tc>
              <w:tc>
                <w:tcPr/>
                <w:p>
                  <w:pPr>
                    <w:pStyle w:val="Compact"/>
                    <w:jc w:val="right"/>
                    <w:jc w:val="center"/>
                  </w:pPr>
                  <w:r>
                    <w:t xml:space="preserve">13.7</w:t>
                  </w:r>
                </w:p>
              </w:tc>
              <w:tc>
                <w:tcPr/>
                <w:p>
                  <w:pPr>
                    <w:pStyle w:val="Compact"/>
                    <w:jc w:val="right"/>
                    <w:jc w:val="center"/>
                  </w:pPr>
                  <w:r>
                    <w:t xml:space="preserve">0.22</w:t>
                  </w:r>
                </w:p>
              </w:tc>
              <w:tc>
                <w:tcPr/>
                <w:p>
                  <w:pPr>
                    <w:pStyle w:val="Compact"/>
                    <w:jc w:val="right"/>
                    <w:jc w:val="center"/>
                  </w:pPr>
                  <w:r>
                    <w:t xml:space="preserve">1.00</w:t>
                  </w:r>
                </w:p>
              </w:tc>
              <w:tc>
                <w:tcPr/>
                <w:p>
                  <w:pPr>
                    <w:pStyle w:val="Compact"/>
                    <w:jc w:val="right"/>
                    <w:jc w:val="center"/>
                  </w:pPr>
                  <w:r>
                    <w:t xml:space="preserve">16</w:t>
                  </w:r>
                </w:p>
              </w:tc>
              <w:tc>
                <w:tcPr/>
                <w:p>
                  <w:pPr>
                    <w:pStyle w:val="Compact"/>
                    <w:jc w:val="right"/>
                    <w:jc w:val="center"/>
                  </w:pPr>
                  <w:r>
                    <w:t xml:space="preserve">3.00</w:t>
                  </w:r>
                </w:p>
              </w:tc>
              <w:tc>
                <w:tcPr/>
                <w:p>
                  <w:pPr>
                    <w:pStyle w:val="Compact"/>
                    <w:jc w:val="right"/>
                    <w:jc w:val="center"/>
                  </w:pPr>
                  <w:r>
                    <w:t xml:space="preserve">65.7</w:t>
                  </w:r>
                </w:p>
              </w:tc>
            </w:tr>
            <w:tr>
              <w:tc>
                <w:tcPr/>
                <w:p>
                  <w:pPr>
                    <w:pStyle w:val="Compact"/>
                    <w:jc w:val="left"/>
                    <w:jc w:val="center"/>
                  </w:pPr>
                  <w:r>
                    <w:t xml:space="preserve">Haibacun</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550</w:t>
                  </w:r>
                </w:p>
              </w:tc>
              <w:tc>
                <w:tcPr/>
                <w:p>
                  <w:pPr>
                    <w:pStyle w:val="Compact"/>
                    <w:jc w:val="right"/>
                    <w:jc w:val="center"/>
                  </w:pPr>
                  <w:r>
                    <w:t xml:space="preserve">158</w:t>
                  </w:r>
                </w:p>
              </w:tc>
              <w:tc>
                <w:tcPr/>
                <w:p>
                  <w:pPr>
                    <w:pStyle w:val="Compact"/>
                    <w:jc w:val="right"/>
                    <w:jc w:val="center"/>
                  </w:pPr>
                  <w:r>
                    <w:t xml:space="preserve">31.8</w:t>
                  </w:r>
                </w:p>
              </w:tc>
              <w:tc>
                <w:tcPr/>
                <w:p>
                  <w:pPr>
                    <w:pStyle w:val="Compact"/>
                    <w:jc w:val="right"/>
                    <w:jc w:val="center"/>
                  </w:pPr>
                  <w:r>
                    <w:t xml:space="preserve">0.62</w:t>
                  </w:r>
                </w:p>
              </w:tc>
              <w:tc>
                <w:tcPr/>
                <w:p>
                  <w:pPr>
                    <w:pStyle w:val="Compact"/>
                    <w:jc w:val="right"/>
                    <w:jc w:val="center"/>
                  </w:pPr>
                  <w:r>
                    <w:t xml:space="preserve">0.88</w:t>
                  </w:r>
                </w:p>
              </w:tc>
              <w:tc>
                <w:tcPr/>
                <w:p>
                  <w:pPr>
                    <w:pStyle w:val="Compact"/>
                    <w:jc w:val="right"/>
                    <w:jc w:val="center"/>
                  </w:pPr>
                  <w:r>
                    <w:t xml:space="preserve">32</w:t>
                  </w:r>
                </w:p>
              </w:tc>
              <w:tc>
                <w:tcPr/>
                <w:p>
                  <w:pPr>
                    <w:pStyle w:val="Compact"/>
                    <w:jc w:val="right"/>
                    <w:jc w:val="center"/>
                  </w:pPr>
                  <w:r>
                    <w:t xml:space="preserve">3.50</w:t>
                  </w:r>
                </w:p>
              </w:tc>
              <w:tc>
                <w:tcPr/>
                <w:p>
                  <w:pPr>
                    <w:pStyle w:val="Compact"/>
                    <w:jc w:val="right"/>
                    <w:jc w:val="center"/>
                  </w:pPr>
                  <w:r>
                    <w:t xml:space="preserve">87.0</w:t>
                  </w:r>
                </w:p>
              </w:tc>
            </w:tr>
            <w:tr>
              <w:tc>
                <w:tcPr/>
                <w:p>
                  <w:pPr>
                    <w:pStyle w:val="Compact"/>
                    <w:jc w:val="left"/>
                    <w:jc w:val="center"/>
                  </w:pPr>
                  <w:r>
                    <w:t xml:space="preserve">Jiancaowan</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596</w:t>
                  </w:r>
                </w:p>
              </w:tc>
              <w:tc>
                <w:tcPr/>
                <w:p>
                  <w:pPr>
                    <w:pStyle w:val="Compact"/>
                    <w:jc w:val="right"/>
                    <w:jc w:val="center"/>
                  </w:pPr>
                  <w:r>
                    <w:t xml:space="preserve">55</w:t>
                  </w:r>
                </w:p>
              </w:tc>
              <w:tc>
                <w:tcPr/>
                <w:p>
                  <w:pPr>
                    <w:pStyle w:val="Compact"/>
                    <w:jc w:val="right"/>
                    <w:jc w:val="center"/>
                  </w:pPr>
                  <w:r>
                    <w:t xml:space="preserve">28.4</w:t>
                  </w:r>
                </w:p>
              </w:tc>
              <w:tc>
                <w:tcPr/>
                <w:p>
                  <w:pPr>
                    <w:pStyle w:val="Compact"/>
                    <w:jc w:val="right"/>
                    <w:jc w:val="center"/>
                  </w:pPr>
                  <w:r>
                    <w:t xml:space="preserve">0.40</w:t>
                  </w:r>
                </w:p>
              </w:tc>
              <w:tc>
                <w:tcPr/>
                <w:p>
                  <w:pPr>
                    <w:pStyle w:val="Compact"/>
                    <w:jc w:val="right"/>
                    <w:jc w:val="center"/>
                  </w:pPr>
                  <w:r>
                    <w:t xml:space="preserve">0.65</w:t>
                  </w:r>
                </w:p>
              </w:tc>
              <w:tc>
                <w:tcPr/>
                <w:p>
                  <w:pPr>
                    <w:pStyle w:val="Compact"/>
                    <w:jc w:val="right"/>
                    <w:jc w:val="center"/>
                  </w:pPr>
                  <w:r>
                    <w:t xml:space="preserve">31</w:t>
                  </w:r>
                </w:p>
              </w:tc>
              <w:tc>
                <w:tcPr/>
                <w:p>
                  <w:pPr>
                    <w:pStyle w:val="Compact"/>
                    <w:jc w:val="right"/>
                    <w:jc w:val="center"/>
                  </w:pPr>
                  <w:r>
                    <w:t xml:space="preserve">3.00</w:t>
                  </w:r>
                </w:p>
              </w:tc>
              <w:tc>
                <w:tcPr/>
                <w:p>
                  <w:pPr>
                    <w:pStyle w:val="Compact"/>
                    <w:jc w:val="right"/>
                    <w:jc w:val="center"/>
                  </w:pPr>
                  <w:r>
                    <w:t xml:space="preserve">69.0</w:t>
                  </w:r>
                </w:p>
              </w:tc>
            </w:tr>
            <w:tr>
              <w:tc>
                <w:tcPr/>
                <w:p>
                  <w:pPr>
                    <w:pStyle w:val="Compact"/>
                    <w:jc w:val="left"/>
                    <w:jc w:val="center"/>
                  </w:pPr>
                  <w:r>
                    <w:t xml:space="preserve">Niunitang</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480</w:t>
                  </w:r>
                </w:p>
              </w:tc>
              <w:tc>
                <w:tcPr/>
                <w:p>
                  <w:pPr>
                    <w:pStyle w:val="Compact"/>
                    <w:jc w:val="right"/>
                    <w:jc w:val="center"/>
                  </w:pPr>
                  <w:r>
                    <w:t xml:space="preserve">58</w:t>
                  </w:r>
                </w:p>
              </w:tc>
              <w:tc>
                <w:tcPr/>
                <w:p>
                  <w:pPr>
                    <w:pStyle w:val="Compact"/>
                    <w:jc w:val="right"/>
                    <w:jc w:val="center"/>
                  </w:pPr>
                  <w:r>
                    <w:t xml:space="preserve">20.9</w:t>
                  </w:r>
                </w:p>
              </w:tc>
              <w:tc>
                <w:tcPr/>
                <w:p>
                  <w:pPr>
                    <w:pStyle w:val="Compact"/>
                    <w:jc w:val="right"/>
                    <w:jc w:val="center"/>
                  </w:pPr>
                  <w:r>
                    <w:t xml:space="preserve">0.27</w:t>
                  </w:r>
                </w:p>
              </w:tc>
              <w:tc>
                <w:tcPr/>
                <w:p>
                  <w:pPr>
                    <w:pStyle w:val="Compact"/>
                    <w:jc w:val="right"/>
                    <w:jc w:val="center"/>
                  </w:pPr>
                  <w:r>
                    <w:t xml:space="preserve">0.37</w:t>
                  </w:r>
                </w:p>
              </w:tc>
              <w:tc>
                <w:tcPr/>
                <w:p>
                  <w:pPr>
                    <w:pStyle w:val="Compact"/>
                    <w:jc w:val="right"/>
                    <w:jc w:val="center"/>
                  </w:pPr>
                  <w:r>
                    <w:t xml:space="preserve">15</w:t>
                  </w:r>
                </w:p>
              </w:tc>
              <w:tc>
                <w:tcPr/>
                <w:p>
                  <w:pPr>
                    <w:pStyle w:val="Compact"/>
                    <w:jc w:val="right"/>
                    <w:jc w:val="center"/>
                  </w:pPr>
                  <w:r>
                    <w:t xml:space="preserve">2.00</w:t>
                  </w:r>
                </w:p>
              </w:tc>
              <w:tc>
                <w:tcPr/>
                <w:p>
                  <w:pPr>
                    <w:pStyle w:val="Compact"/>
                    <w:jc w:val="right"/>
                    <w:jc w:val="center"/>
                  </w:pPr>
                  <w:r>
                    <w:t xml:space="preserve">78.3</w:t>
                  </w:r>
                </w:p>
              </w:tc>
            </w:tr>
            <w:tr>
              <w:tc>
                <w:tcPr/>
                <w:p>
                  <w:pPr>
                    <w:pStyle w:val="Compact"/>
                    <w:jc w:val="left"/>
                    <w:jc w:val="center"/>
                  </w:pPr>
                  <w:r>
                    <w:t xml:space="preserve">Qingguangshan</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768</w:t>
                  </w:r>
                </w:p>
              </w:tc>
              <w:tc>
                <w:tcPr/>
                <w:p>
                  <w:pPr>
                    <w:pStyle w:val="Compact"/>
                    <w:jc w:val="right"/>
                    <w:jc w:val="center"/>
                  </w:pPr>
                  <w:r>
                    <w:t xml:space="preserve">46</w:t>
                  </w:r>
                </w:p>
              </w:tc>
              <w:tc>
                <w:tcPr/>
                <w:p>
                  <w:pPr>
                    <w:pStyle w:val="Compact"/>
                    <w:jc w:val="right"/>
                    <w:jc w:val="center"/>
                  </w:pPr>
                  <w:r>
                    <w:t xml:space="preserve">17.5</w:t>
                  </w:r>
                </w:p>
              </w:tc>
              <w:tc>
                <w:tcPr/>
                <w:p>
                  <w:pPr>
                    <w:pStyle w:val="Compact"/>
                    <w:jc w:val="right"/>
                    <w:jc w:val="center"/>
                  </w:pPr>
                  <w:r>
                    <w:t xml:space="preserve">0.52</w:t>
                  </w:r>
                </w:p>
              </w:tc>
              <w:tc>
                <w:tcPr/>
                <w:p>
                  <w:pPr>
                    <w:pStyle w:val="Compact"/>
                    <w:jc w:val="right"/>
                    <w:jc w:val="center"/>
                  </w:pPr>
                  <w:r>
                    <w:t xml:space="preserve">0.83</w:t>
                  </w:r>
                </w:p>
              </w:tc>
              <w:tc>
                <w:tcPr/>
                <w:p>
                  <w:pPr>
                    <w:pStyle w:val="Compact"/>
                    <w:jc w:val="right"/>
                    <w:jc w:val="center"/>
                  </w:pPr>
                  <w:r>
                    <w:t xml:space="preserve">30</w:t>
                  </w:r>
                </w:p>
              </w:tc>
              <w:tc>
                <w:tcPr/>
                <w:p>
                  <w:pPr>
                    <w:pStyle w:val="Compact"/>
                    <w:jc w:val="right"/>
                    <w:jc w:val="center"/>
                  </w:pPr>
                  <w:r>
                    <w:t xml:space="preserve">3.00</w:t>
                  </w:r>
                </w:p>
              </w:tc>
              <w:tc>
                <w:tcPr/>
                <w:p>
                  <w:pPr>
                    <w:pStyle w:val="Compact"/>
                    <w:jc w:val="right"/>
                    <w:jc w:val="center"/>
                  </w:pPr>
                  <w:r>
                    <w:t xml:space="preserve">66.2</w:t>
                  </w:r>
                </w:p>
              </w:tc>
            </w:tr>
            <w:tr>
              <w:tc>
                <w:tcPr/>
                <w:p>
                  <w:pPr>
                    <w:pStyle w:val="Compact"/>
                    <w:jc w:val="left"/>
                    <w:jc w:val="center"/>
                  </w:pPr>
                  <w:r>
                    <w:t xml:space="preserve">Wuguiqing</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305</w:t>
                  </w:r>
                </w:p>
              </w:tc>
              <w:tc>
                <w:tcPr/>
                <w:p>
                  <w:pPr>
                    <w:pStyle w:val="Compact"/>
                    <w:jc w:val="right"/>
                    <w:jc w:val="center"/>
                  </w:pPr>
                  <w:r>
                    <w:t xml:space="preserve">187</w:t>
                  </w:r>
                </w:p>
              </w:tc>
              <w:tc>
                <w:tcPr/>
                <w:p>
                  <w:pPr>
                    <w:pStyle w:val="Compact"/>
                    <w:jc w:val="right"/>
                    <w:jc w:val="center"/>
                  </w:pPr>
                  <w:r>
                    <w:t xml:space="preserve">16.9</w:t>
                  </w:r>
                </w:p>
              </w:tc>
              <w:tc>
                <w:tcPr/>
                <w:p>
                  <w:pPr>
                    <w:pStyle w:val="Compact"/>
                    <w:jc w:val="right"/>
                    <w:jc w:val="center"/>
                  </w:pPr>
                  <w:r>
                    <w:t xml:space="preserve">0.35</w:t>
                  </w:r>
                </w:p>
              </w:tc>
              <w:tc>
                <w:tcPr/>
                <w:p>
                  <w:pPr>
                    <w:pStyle w:val="Compact"/>
                    <w:jc w:val="right"/>
                    <w:jc w:val="center"/>
                  </w:pPr>
                  <w:r>
                    <w:t xml:space="preserve">0.52</w:t>
                  </w:r>
                </w:p>
              </w:tc>
              <w:tc>
                <w:tcPr/>
                <w:p>
                  <w:pPr>
                    <w:pStyle w:val="Compact"/>
                    <w:jc w:val="right"/>
                    <w:jc w:val="center"/>
                  </w:pPr>
                  <w:r>
                    <w:t xml:space="preserve">24</w:t>
                  </w:r>
                </w:p>
              </w:tc>
              <w:tc>
                <w:tcPr/>
                <w:p>
                  <w:pPr>
                    <w:pStyle w:val="Compact"/>
                    <w:jc w:val="right"/>
                    <w:jc w:val="center"/>
                  </w:pPr>
                  <w:r>
                    <w:t xml:space="preserve">3.00</w:t>
                  </w:r>
                </w:p>
              </w:tc>
              <w:tc>
                <w:tcPr/>
                <w:p>
                  <w:pPr>
                    <w:pStyle w:val="Compact"/>
                    <w:jc w:val="right"/>
                    <w:jc w:val="center"/>
                  </w:pPr>
                  <w:r>
                    <w:t xml:space="preserve">73.7</w:t>
                  </w:r>
                </w:p>
              </w:tc>
            </w:tr>
            <w:tr>
              <w:tc>
                <w:tcPr/>
                <w:p>
                  <w:pPr>
                    <w:pStyle w:val="Compact"/>
                    <w:jc w:val="left"/>
                    <w:jc w:val="center"/>
                  </w:pPr>
                  <w:r>
                    <w:t xml:space="preserve">Zhaokanzhuang</w:t>
                  </w:r>
                </w:p>
              </w:tc>
              <w:tc>
                <w:tcPr/>
                <w:p>
                  <w:pPr>
                    <w:pStyle w:val="Compact"/>
                    <w:jc w:val="left"/>
                    <w:jc w:val="center"/>
                  </w:pPr>
                  <w:r>
                    <w:t xml:space="preserve">Binchuan</w:t>
                  </w:r>
                </w:p>
              </w:tc>
              <w:tc>
                <w:tcPr/>
                <w:p>
                  <w:pPr>
                    <w:pStyle w:val="Compact"/>
                    <w:jc w:val="right"/>
                    <w:jc w:val="center"/>
                  </w:pPr>
                  <w:r>
                    <w:t xml:space="preserve">1</w:t>
                  </w:r>
                </w:p>
              </w:tc>
              <w:tc>
                <w:tcPr/>
                <w:p>
                  <w:pPr>
                    <w:pStyle w:val="Compact"/>
                    <w:jc w:val="right"/>
                    <w:jc w:val="center"/>
                  </w:pPr>
                  <w:r>
                    <w:t xml:space="preserve">2540</w:t>
                  </w:r>
                </w:p>
              </w:tc>
              <w:tc>
                <w:tcPr/>
                <w:p>
                  <w:pPr>
                    <w:pStyle w:val="Compact"/>
                    <w:jc w:val="right"/>
                    <w:jc w:val="center"/>
                  </w:pPr>
                  <w:r>
                    <w:t xml:space="preserve">45</w:t>
                  </w:r>
                </w:p>
              </w:tc>
              <w:tc>
                <w:tcPr/>
                <w:p>
                  <w:pPr>
                    <w:pStyle w:val="Compact"/>
                    <w:jc w:val="right"/>
                    <w:jc w:val="center"/>
                  </w:pPr>
                  <w:r>
                    <w:t xml:space="preserve">31.5</w:t>
                  </w:r>
                </w:p>
              </w:tc>
              <w:tc>
                <w:tcPr/>
                <w:p>
                  <w:pPr>
                    <w:pStyle w:val="Compact"/>
                    <w:jc w:val="right"/>
                    <w:jc w:val="center"/>
                  </w:pPr>
                  <w:r>
                    <w:t xml:space="preserve">0.39</w:t>
                  </w:r>
                </w:p>
              </w:tc>
              <w:tc>
                <w:tcPr/>
                <w:p>
                  <w:pPr>
                    <w:pStyle w:val="Compact"/>
                    <w:jc w:val="right"/>
                    <w:jc w:val="center"/>
                  </w:pPr>
                  <w:r>
                    <w:t xml:space="preserve">0.31</w:t>
                  </w:r>
                </w:p>
              </w:tc>
              <w:tc>
                <w:tcPr/>
                <w:p>
                  <w:pPr>
                    <w:pStyle w:val="Compact"/>
                    <w:jc w:val="right"/>
                    <w:jc w:val="center"/>
                  </w:pPr>
                  <w:r>
                    <w:t xml:space="preserve">11</w:t>
                  </w:r>
                </w:p>
              </w:tc>
              <w:tc>
                <w:tcPr/>
                <w:p>
                  <w:pPr>
                    <w:pStyle w:val="Compact"/>
                    <w:jc w:val="right"/>
                    <w:jc w:val="center"/>
                  </w:pPr>
                  <w:r>
                    <w:t xml:space="preserve">2.00</w:t>
                  </w:r>
                </w:p>
              </w:tc>
              <w:tc>
                <w:tcPr/>
                <w:p>
                  <w:pPr>
                    <w:pStyle w:val="Compact"/>
                    <w:jc w:val="right"/>
                    <w:jc w:val="center"/>
                  </w:pPr>
                  <w:r>
                    <w:t xml:space="preserve">68.7</w:t>
                  </w:r>
                </w:p>
              </w:tc>
            </w:tr>
            <w:tr>
              <w:tc>
                <w:tcPr/>
                <w:p>
                  <w:pPr>
                    <w:pStyle w:val="Compact"/>
                    <w:jc w:val="left"/>
                    <w:jc w:val="center"/>
                  </w:pPr>
                  <w:r>
                    <w:t xml:space="preserve">Tianhua Cave</w:t>
                  </w:r>
                </w:p>
              </w:tc>
              <w:tc>
                <w:tcPr/>
                <w:p>
                  <w:pPr>
                    <w:pStyle w:val="Compact"/>
                    <w:jc w:val="left"/>
                    <w:jc w:val="center"/>
                  </w:pPr>
                  <w:r>
                    <w:t xml:space="preserve">Heqing</w:t>
                  </w:r>
                </w:p>
              </w:tc>
              <w:tc>
                <w:tcPr/>
                <w:p>
                  <w:pPr>
                    <w:pStyle w:val="Compact"/>
                    <w:jc w:val="right"/>
                    <w:jc w:val="center"/>
                  </w:pPr>
                  <w:r>
                    <w:t xml:space="preserve">49</w:t>
                  </w:r>
                </w:p>
              </w:tc>
              <w:tc>
                <w:tcPr/>
                <w:p>
                  <w:pPr>
                    <w:pStyle w:val="Compact"/>
                    <w:jc w:val="right"/>
                    <w:jc w:val="center"/>
                  </w:pPr>
                  <w:r>
                    <w:t xml:space="preserve">2690</w:t>
                  </w:r>
                </w:p>
              </w:tc>
              <w:tc>
                <w:tcPr/>
                <w:p>
                  <w:pPr>
                    <w:pStyle w:val="Compact"/>
                    <w:jc w:val="right"/>
                    <w:jc w:val="center"/>
                  </w:pPr>
                  <w:r>
                    <w:t xml:space="preserve">35</w:t>
                  </w:r>
                </w:p>
              </w:tc>
              <w:tc>
                <w:tcPr/>
                <w:p>
                  <w:pPr>
                    <w:pStyle w:val="Compact"/>
                    <w:jc w:val="right"/>
                    <w:jc w:val="center"/>
                  </w:pPr>
                  <w:r>
                    <w:t xml:space="preserve">26.1</w:t>
                  </w:r>
                </w:p>
              </w:tc>
              <w:tc>
                <w:tcPr/>
                <w:p>
                  <w:pPr>
                    <w:pStyle w:val="Compact"/>
                    <w:jc w:val="right"/>
                    <w:jc w:val="center"/>
                  </w:pPr>
                  <w:r>
                    <w:t xml:space="preserve">0.50</w:t>
                  </w:r>
                </w:p>
              </w:tc>
              <w:tc>
                <w:tcPr/>
                <w:p>
                  <w:pPr>
                    <w:pStyle w:val="Compact"/>
                    <w:jc w:val="right"/>
                    <w:jc w:val="center"/>
                  </w:pPr>
                  <w:r>
                    <w:t xml:space="preserve">0.78</w:t>
                  </w:r>
                </w:p>
              </w:tc>
              <w:tc>
                <w:tcPr/>
                <w:p>
                  <w:pPr>
                    <w:pStyle w:val="Compact"/>
                    <w:jc w:val="right"/>
                    <w:jc w:val="center"/>
                  </w:pPr>
                  <w:r>
                    <w:t xml:space="preserve">24</w:t>
                  </w:r>
                </w:p>
              </w:tc>
              <w:tc>
                <w:tcPr/>
                <w:p>
                  <w:pPr>
                    <w:pStyle w:val="Compact"/>
                    <w:jc w:val="right"/>
                    <w:jc w:val="center"/>
                  </w:pPr>
                  <w:r>
                    <w:t xml:space="preserve">3.00</w:t>
                  </w:r>
                </w:p>
              </w:tc>
              <w:tc>
                <w:tcPr/>
                <w:p>
                  <w:pPr>
                    <w:pStyle w:val="Compact"/>
                    <w:jc w:val="right"/>
                    <w:jc w:val="center"/>
                  </w:pPr>
                  <w:r>
                    <w:t xml:space="preserve">73.0</w:t>
                  </w:r>
                </w:p>
              </w:tc>
            </w:tr>
            <w:tr>
              <w:tc>
                <w:tcPr/>
                <w:p>
                  <w:pPr>
                    <w:pStyle w:val="Compact"/>
                    <w:jc w:val="left"/>
                    <w:jc w:val="center"/>
                  </w:pPr>
                  <w:r>
                    <w:t xml:space="preserve">Guanshan</w:t>
                  </w:r>
                </w:p>
              </w:tc>
              <w:tc>
                <w:tcPr/>
                <w:p>
                  <w:pPr>
                    <w:pStyle w:val="Compact"/>
                    <w:jc w:val="left"/>
                    <w:jc w:val="center"/>
                  </w:pPr>
                  <w:r>
                    <w:t xml:space="preserve">Heqing</w:t>
                  </w:r>
                </w:p>
              </w:tc>
              <w:tc>
                <w:tcPr/>
                <w:p>
                  <w:pPr>
                    <w:pStyle w:val="Compact"/>
                    <w:jc w:val="right"/>
                    <w:jc w:val="center"/>
                  </w:pPr>
                  <w:r>
                    <w:t xml:space="preserve">31</w:t>
                  </w:r>
                </w:p>
              </w:tc>
              <w:tc>
                <w:tcPr/>
                <w:p>
                  <w:pPr>
                    <w:pStyle w:val="Compact"/>
                    <w:jc w:val="right"/>
                    <w:jc w:val="center"/>
                  </w:pPr>
                  <w:r>
                    <w:t xml:space="preserve">917</w:t>
                  </w:r>
                </w:p>
              </w:tc>
              <w:tc>
                <w:tcPr/>
                <w:p>
                  <w:pPr>
                    <w:pStyle w:val="Compact"/>
                    <w:jc w:val="right"/>
                    <w:jc w:val="center"/>
                  </w:pPr>
                  <w:r>
                    <w:t xml:space="preserve">68</w:t>
                  </w:r>
                </w:p>
              </w:tc>
              <w:tc>
                <w:tcPr/>
                <w:p>
                  <w:pPr>
                    <w:pStyle w:val="Compact"/>
                    <w:jc w:val="right"/>
                    <w:jc w:val="center"/>
                  </w:pPr>
                  <w:r>
                    <w:t xml:space="preserve">24.9</w:t>
                  </w:r>
                </w:p>
              </w:tc>
              <w:tc>
                <w:tcPr/>
                <w:p>
                  <w:pPr>
                    <w:pStyle w:val="Compact"/>
                    <w:jc w:val="right"/>
                    <w:jc w:val="center"/>
                  </w:pPr>
                  <w:r>
                    <w:t xml:space="preserve">0.54</w:t>
                  </w:r>
                </w:p>
              </w:tc>
              <w:tc>
                <w:tcPr/>
                <w:p>
                  <w:pPr>
                    <w:pStyle w:val="Compact"/>
                    <w:jc w:val="right"/>
                    <w:jc w:val="center"/>
                  </w:pPr>
                  <w:r>
                    <w:t xml:space="preserve">0.81</w:t>
                  </w:r>
                </w:p>
              </w:tc>
              <w:tc>
                <w:tcPr/>
                <w:p>
                  <w:pPr>
                    <w:pStyle w:val="Compact"/>
                    <w:jc w:val="right"/>
                    <w:jc w:val="center"/>
                  </w:pPr>
                  <w:r>
                    <w:t xml:space="preserve">23</w:t>
                  </w:r>
                </w:p>
              </w:tc>
              <w:tc>
                <w:tcPr/>
                <w:p>
                  <w:pPr>
                    <w:pStyle w:val="Compact"/>
                    <w:jc w:val="right"/>
                    <w:jc w:val="center"/>
                  </w:pPr>
                  <w:r>
                    <w:t xml:space="preserve">3.00</w:t>
                  </w:r>
                </w:p>
              </w:tc>
              <w:tc>
                <w:tcPr/>
                <w:p>
                  <w:pPr>
                    <w:pStyle w:val="Compact"/>
                    <w:jc w:val="right"/>
                    <w:jc w:val="center"/>
                  </w:pPr>
                  <w:r>
                    <w:t xml:space="preserve">72.3</w:t>
                  </w:r>
                </w:p>
              </w:tc>
            </w:tr>
            <w:tr>
              <w:tc>
                <w:tcPr/>
                <w:p>
                  <w:pPr>
                    <w:pStyle w:val="Compact"/>
                    <w:jc w:val="left"/>
                    <w:jc w:val="center"/>
                  </w:pPr>
                  <w:r>
                    <w:t xml:space="preserve">Songping</w:t>
                  </w:r>
                </w:p>
              </w:tc>
              <w:tc>
                <w:tcPr/>
                <w:p>
                  <w:pPr>
                    <w:pStyle w:val="Compact"/>
                    <w:jc w:val="left"/>
                    <w:jc w:val="center"/>
                  </w:pPr>
                  <w:r>
                    <w:t xml:space="preserve">Heqing</w:t>
                  </w:r>
                </w:p>
              </w:tc>
              <w:tc>
                <w:tcPr/>
                <w:p>
                  <w:pPr>
                    <w:pStyle w:val="Compact"/>
                    <w:jc w:val="right"/>
                    <w:jc w:val="center"/>
                  </w:pPr>
                  <w:r>
                    <w:t xml:space="preserve">18</w:t>
                  </w:r>
                </w:p>
              </w:tc>
              <w:tc>
                <w:tcPr/>
                <w:p>
                  <w:pPr>
                    <w:pStyle w:val="Compact"/>
                    <w:jc w:val="right"/>
                    <w:jc w:val="center"/>
                  </w:pPr>
                  <w:r>
                    <w:t xml:space="preserve">612</w:t>
                  </w:r>
                </w:p>
              </w:tc>
              <w:tc>
                <w:tcPr/>
                <w:p>
                  <w:pPr>
                    <w:pStyle w:val="Compact"/>
                    <w:jc w:val="right"/>
                    <w:jc w:val="center"/>
                  </w:pPr>
                  <w:r>
                    <w:t xml:space="preserve">69</w:t>
                  </w:r>
                </w:p>
              </w:tc>
              <w:tc>
                <w:tcPr/>
                <w:p>
                  <w:pPr>
                    <w:pStyle w:val="Compact"/>
                    <w:jc w:val="right"/>
                    <w:jc w:val="center"/>
                  </w:pPr>
                  <w:r>
                    <w:t xml:space="preserve">24.5</w:t>
                  </w:r>
                </w:p>
              </w:tc>
              <w:tc>
                <w:tcPr/>
                <w:p>
                  <w:pPr>
                    <w:pStyle w:val="Compact"/>
                    <w:jc w:val="right"/>
                    <w:jc w:val="center"/>
                  </w:pPr>
                  <w:r>
                    <w:t xml:space="preserve">0.51</w:t>
                  </w:r>
                </w:p>
              </w:tc>
              <w:tc>
                <w:tcPr/>
                <w:p>
                  <w:pPr>
                    <w:pStyle w:val="Compact"/>
                    <w:jc w:val="right"/>
                    <w:jc w:val="center"/>
                  </w:pPr>
                  <w:r>
                    <w:t xml:space="preserve">0.77</w:t>
                  </w:r>
                </w:p>
              </w:tc>
              <w:tc>
                <w:tcPr/>
                <w:p>
                  <w:pPr>
                    <w:pStyle w:val="Compact"/>
                    <w:jc w:val="right"/>
                    <w:jc w:val="center"/>
                  </w:pPr>
                  <w:r>
                    <w:t xml:space="preserve">18</w:t>
                  </w:r>
                </w:p>
              </w:tc>
              <w:tc>
                <w:tcPr/>
                <w:p>
                  <w:pPr>
                    <w:pStyle w:val="Compact"/>
                    <w:jc w:val="right"/>
                    <w:jc w:val="center"/>
                  </w:pPr>
                  <w:r>
                    <w:t xml:space="preserve">3.00</w:t>
                  </w:r>
                </w:p>
              </w:tc>
              <w:tc>
                <w:tcPr/>
                <w:p>
                  <w:pPr>
                    <w:pStyle w:val="Compact"/>
                    <w:jc w:val="right"/>
                    <w:jc w:val="center"/>
                  </w:pPr>
                  <w:r>
                    <w:t xml:space="preserve">67.8</w:t>
                  </w:r>
                </w:p>
              </w:tc>
            </w:tr>
            <w:tr>
              <w:tc>
                <w:tcPr/>
                <w:p>
                  <w:pPr>
                    <w:pStyle w:val="Compact"/>
                    <w:jc w:val="left"/>
                    <w:jc w:val="center"/>
                  </w:pPr>
                  <w:r>
                    <w:t xml:space="preserve">Longtan</w:t>
                  </w:r>
                </w:p>
              </w:tc>
              <w:tc>
                <w:tcPr/>
                <w:p>
                  <w:pPr>
                    <w:pStyle w:val="Compact"/>
                    <w:jc w:val="left"/>
                    <w:jc w:val="center"/>
                  </w:pPr>
                  <w:r>
                    <w:t xml:space="preserve">Heqing</w:t>
                  </w:r>
                </w:p>
              </w:tc>
              <w:tc>
                <w:tcPr/>
                <w:p>
                  <w:pPr>
                    <w:pStyle w:val="Compact"/>
                    <w:jc w:val="right"/>
                    <w:jc w:val="center"/>
                  </w:pPr>
                  <w:r>
                    <w:t xml:space="preserve">15</w:t>
                  </w:r>
                </w:p>
              </w:tc>
              <w:tc>
                <w:tcPr/>
                <w:p>
                  <w:pPr>
                    <w:pStyle w:val="Compact"/>
                    <w:jc w:val="right"/>
                    <w:jc w:val="center"/>
                  </w:pPr>
                  <w:r>
                    <w:t xml:space="preserve">617</w:t>
                  </w:r>
                </w:p>
              </w:tc>
              <w:tc>
                <w:tcPr/>
                <w:p>
                  <w:pPr>
                    <w:pStyle w:val="Compact"/>
                    <w:jc w:val="right"/>
                    <w:jc w:val="center"/>
                  </w:pPr>
                  <w:r>
                    <w:t xml:space="preserve">40</w:t>
                  </w:r>
                </w:p>
              </w:tc>
              <w:tc>
                <w:tcPr/>
                <w:p>
                  <w:pPr>
                    <w:pStyle w:val="Compact"/>
                    <w:jc w:val="right"/>
                    <w:jc w:val="center"/>
                  </w:pPr>
                  <w:r>
                    <w:t xml:space="preserve">18.4</w:t>
                  </w:r>
                </w:p>
              </w:tc>
              <w:tc>
                <w:tcPr/>
                <w:p>
                  <w:pPr>
                    <w:pStyle w:val="Compact"/>
                    <w:jc w:val="right"/>
                    <w:jc w:val="center"/>
                  </w:pPr>
                  <w:r>
                    <w:t xml:space="preserve">0.37</w:t>
                  </w:r>
                </w:p>
              </w:tc>
              <w:tc>
                <w:tcPr/>
                <w:p>
                  <w:pPr>
                    <w:pStyle w:val="Compact"/>
                    <w:jc w:val="right"/>
                    <w:jc w:val="center"/>
                  </w:pPr>
                  <w:r>
                    <w:t xml:space="preserve">0.69</w:t>
                  </w:r>
                </w:p>
              </w:tc>
              <w:tc>
                <w:tcPr/>
                <w:p>
                  <w:pPr>
                    <w:pStyle w:val="Compact"/>
                    <w:jc w:val="right"/>
                    <w:jc w:val="center"/>
                  </w:pPr>
                  <w:r>
                    <w:t xml:space="preserve">11</w:t>
                  </w:r>
                </w:p>
              </w:tc>
              <w:tc>
                <w:tcPr/>
                <w:p>
                  <w:pPr>
                    <w:pStyle w:val="Compact"/>
                    <w:jc w:val="right"/>
                    <w:jc w:val="center"/>
                  </w:pPr>
                  <w:r>
                    <w:t xml:space="preserve">2.00</w:t>
                  </w:r>
                </w:p>
              </w:tc>
              <w:tc>
                <w:tcPr/>
                <w:p>
                  <w:pPr>
                    <w:pStyle w:val="Compact"/>
                    <w:jc w:val="right"/>
                    <w:jc w:val="center"/>
                  </w:pPr>
                  <w:r>
                    <w:t xml:space="preserve">63.0</w:t>
                  </w:r>
                </w:p>
              </w:tc>
            </w:tr>
            <w:tr>
              <w:tc>
                <w:tcPr/>
                <w:p>
                  <w:pPr>
                    <w:pStyle w:val="Compact"/>
                    <w:jc w:val="left"/>
                    <w:jc w:val="center"/>
                  </w:pPr>
                  <w:r>
                    <w:t xml:space="preserve">Dazhuang</w:t>
                  </w:r>
                </w:p>
              </w:tc>
              <w:tc>
                <w:tcPr/>
                <w:p>
                  <w:pPr>
                    <w:pStyle w:val="Compact"/>
                    <w:jc w:val="left"/>
                    <w:jc w:val="center"/>
                  </w:pPr>
                  <w:r>
                    <w:t xml:space="preserve">Heqing</w:t>
                  </w:r>
                </w:p>
              </w:tc>
              <w:tc>
                <w:tcPr/>
                <w:p>
                  <w:pPr>
                    <w:pStyle w:val="Compact"/>
                    <w:jc w:val="right"/>
                    <w:jc w:val="center"/>
                  </w:pPr>
                  <w:r>
                    <w:t xml:space="preserve">6</w:t>
                  </w:r>
                </w:p>
              </w:tc>
              <w:tc>
                <w:tcPr/>
                <w:p>
                  <w:pPr>
                    <w:pStyle w:val="Compact"/>
                    <w:jc w:val="right"/>
                    <w:jc w:val="center"/>
                  </w:pPr>
                  <w:r>
                    <w:t xml:space="preserve">339</w:t>
                  </w:r>
                </w:p>
              </w:tc>
              <w:tc>
                <w:tcPr/>
                <w:p>
                  <w:pPr>
                    <w:pStyle w:val="Compact"/>
                    <w:jc w:val="right"/>
                    <w:jc w:val="center"/>
                  </w:pPr>
                  <w:r>
                    <w:t xml:space="preserve">43</w:t>
                  </w:r>
                </w:p>
              </w:tc>
              <w:tc>
                <w:tcPr/>
                <w:p>
                  <w:pPr>
                    <w:pStyle w:val="Compact"/>
                    <w:jc w:val="right"/>
                    <w:jc w:val="center"/>
                  </w:pPr>
                  <w:r>
                    <w:t xml:space="preserve">28.0</w:t>
                  </w:r>
                </w:p>
              </w:tc>
              <w:tc>
                <w:tcPr/>
                <w:p>
                  <w:pPr>
                    <w:pStyle w:val="Compact"/>
                    <w:jc w:val="right"/>
                    <w:jc w:val="center"/>
                  </w:pPr>
                  <w:r>
                    <w:t xml:space="preserve">0.45</w:t>
                  </w:r>
                </w:p>
              </w:tc>
              <w:tc>
                <w:tcPr/>
                <w:p>
                  <w:pPr>
                    <w:pStyle w:val="Compact"/>
                    <w:jc w:val="right"/>
                    <w:jc w:val="center"/>
                  </w:pPr>
                  <w:r>
                    <w:t xml:space="preserve">0.70</w:t>
                  </w:r>
                </w:p>
              </w:tc>
              <w:tc>
                <w:tcPr/>
                <w:p>
                  <w:pPr>
                    <w:pStyle w:val="Compact"/>
                    <w:jc w:val="right"/>
                    <w:jc w:val="center"/>
                  </w:pPr>
                  <w:r>
                    <w:t xml:space="preserve">12</w:t>
                  </w:r>
                </w:p>
              </w:tc>
              <w:tc>
                <w:tcPr/>
                <w:p>
                  <w:pPr>
                    <w:pStyle w:val="Compact"/>
                    <w:jc w:val="right"/>
                    <w:jc w:val="center"/>
                  </w:pPr>
                  <w:r>
                    <w:t xml:space="preserve">2.00</w:t>
                  </w:r>
                </w:p>
              </w:tc>
              <w:tc>
                <w:tcPr/>
                <w:p>
                  <w:pPr>
                    <w:pStyle w:val="Compact"/>
                    <w:jc w:val="right"/>
                    <w:jc w:val="center"/>
                  </w:pPr>
                  <w:r>
                    <w:t xml:space="preserve">70.0</w:t>
                  </w:r>
                </w:p>
              </w:tc>
            </w:tr>
          </w:tbl>
          <w:bookmarkEnd w:id="43"/>
          <w:p/>
        </w:tc>
      </w:tr>
    </w:tbl>
    <w:p>
      <w:r>
        <w:br w:type="page"/>
      </w:r>
    </w:p>
    <w:tbl>
      <w:tblPr>
        <w:tblStyle w:val="Table"/>
        <w:tblW w:type="pct" w:w="5000"/>
        <w:tblLayout w:type="fixed"/>
        <w:tblLook w:firstRow="0" w:lastRow="0" w:firstColumn="0" w:lastColumn="0" w:noHBand="0" w:noVBand="0" w:val="0000"/>
      </w:tblPr>
      <w:tblGrid>
        <w:gridCol w:w="7920"/>
      </w:tblGrid>
      <w:tr>
        <w:tc>
          <w:tcPr/>
          <w:bookmarkStart w:id="44" w:name="tbl-landscape-permanova"/>
          <w:p>
            <w:pPr>
              <w:jc w:val="center"/>
            </w:pPr>
            <w:pPr>
              <w:jc w:val="left"/>
              <w:spacing w:before="200"/>
              <w:pStyle w:val="ImageCaption"/>
            </w:pPr>
            <w:r>
              <w:t xml:space="preserve">Table S12: Locality-level PERMANOVA for each landscape variable, on Euclidean distances in the z-scored six-variable space with 9,999 permutations, together with the test of dispersion for the one categorical variable.</w:t>
            </w:r>
          </w:p>
          <w:tbl>
            <w:tblPr>
              <w:tblStyle w:val="Table"/>
              <w:tblW w:type="pct" w:w="5000"/>
              <w:tblLayout w:type="fixed"/>
              <w:tblLook w:firstRow="1" w:lastRow="0" w:firstColumn="0" w:lastColumn="0" w:noHBand="0" w:noVBand="0" w:val="0020"/>
            </w:tblPr>
            <w:tblGrid>
              <w:gridCol w:w="4127"/>
              <w:gridCol w:w="669"/>
              <w:gridCol w:w="557"/>
              <w:gridCol w:w="669"/>
              <w:gridCol w:w="1227"/>
              <w:gridCol w:w="669"/>
            </w:tblGrid>
            <w:tr>
              <w:trPr>
                <w:tblHeader w:val="on"/>
              </w:trPr>
              <w:tc>
                <w:tcPr/>
                <w:p>
                  <w:pPr>
                    <w:pStyle w:val="Compact"/>
                    <w:jc w:val="left"/>
                    <w:jc w:val="center"/>
                  </w:pPr>
                  <w:r>
                    <w:t xml:space="preserve">Landscape variable</w:t>
                  </w:r>
                </w:p>
              </w:tc>
              <w:tc>
                <w:tcPr/>
                <w:p>
                  <w:pPr>
                    <w:pStyle w:val="Compact"/>
                    <w:jc w:val="right"/>
                    <w:jc w:val="center"/>
                  </w:pPr>
                  <w:r>
                    <w:rPr>
                      <w:i/>
                      <w:iCs/>
                    </w:rPr>
                    <w:t xml:space="preserve">df</w:t>
                  </w:r>
                </w:p>
              </w:tc>
              <w:tc>
                <w:tcPr/>
                <w:p>
                  <w:pPr>
                    <w:pStyle w:val="Compact"/>
                    <w:jc w:val="right"/>
                    <w:jc w:val="center"/>
                  </w:pPr>
                  <w:r>
                    <w:t xml:space="preserve">SS</w:t>
                  </w:r>
                </w:p>
              </w:tc>
              <w:tc>
                <w:tcPr/>
                <w:p>
                  <w:pPr>
                    <w:pStyle w:val="Compact"/>
                    <w:jc w:val="right"/>
                    <w:jc w:val="center"/>
                  </w:pPr>
                  <w:r>
                    <w:rPr>
                      <w:i/>
                      <w:iCs/>
                    </w:rPr>
                    <w:t xml:space="preserve">R</w:t>
                  </w:r>
                  <w:r>
                    <w:t xml:space="preserve">²</w:t>
                  </w:r>
                </w:p>
              </w:tc>
              <w:tc>
                <w:tcPr/>
                <w:p>
                  <w:pPr>
                    <w:pStyle w:val="Compact"/>
                    <w:jc w:val="right"/>
                    <w:jc w:val="center"/>
                  </w:pPr>
                  <w:r>
                    <w:t xml:space="preserve">pseudo-</w:t>
                  </w:r>
                  <w:r>
                    <w:rPr>
                      <w:i/>
                      <w:iCs/>
                    </w:rPr>
                    <w:t xml:space="preserve">F</w:t>
                  </w:r>
                </w:p>
              </w:tc>
              <w:tc>
                <w:tcPr/>
                <w:p>
                  <w:pPr>
                    <w:pStyle w:val="Compact"/>
                    <w:jc w:val="right"/>
                    <w:jc w:val="center"/>
                  </w:pPr>
                  <w:r>
                    <w:rPr>
                      <w:i/>
                      <w:iCs/>
                    </w:rPr>
                    <w:t xml:space="preserve">p</w:t>
                  </w:r>
                </w:p>
              </w:tc>
            </w:tr>
            <w:tr>
              <w:tc>
                <w:tcPr/>
                <w:p>
                  <w:pPr>
                    <w:pStyle w:val="Compact"/>
                    <w:jc w:val="left"/>
                    <w:jc w:val="center"/>
                  </w:pPr>
                  <w:r>
                    <w:rPr>
                      <w:b/>
                      <w:bCs/>
                    </w:rPr>
                    <w:t xml:space="preserve">Basin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PERMANOVA (Binchuan 21, Heqing 5)</w:t>
                  </w:r>
                </w:p>
              </w:tc>
              <w:tc>
                <w:tcPr/>
                <w:p>
                  <w:pPr>
                    <w:pStyle w:val="Compact"/>
                    <w:jc w:val="right"/>
                    <w:jc w:val="center"/>
                  </w:pPr>
                  <w:r>
                    <w:t xml:space="preserve">1, 24</w:t>
                  </w:r>
                </w:p>
              </w:tc>
              <w:tc>
                <w:tcPr/>
                <w:p>
                  <w:pPr>
                    <w:pStyle w:val="Compact"/>
                    <w:jc w:val="right"/>
                    <w:jc w:val="center"/>
                  </w:pPr>
                  <w:r>
                    <w:t xml:space="preserve">1.64</w:t>
                  </w:r>
                </w:p>
              </w:tc>
              <w:tc>
                <w:tcPr/>
                <w:p>
                  <w:pPr>
                    <w:pStyle w:val="Compact"/>
                    <w:jc w:val="right"/>
                    <w:jc w:val="center"/>
                  </w:pPr>
                  <w:r>
                    <w:t xml:space="preserve">0.011</w:t>
                  </w:r>
                </w:p>
              </w:tc>
              <w:tc>
                <w:tcPr/>
                <w:p>
                  <w:pPr>
                    <w:pStyle w:val="Compact"/>
                    <w:jc w:val="right"/>
                    <w:jc w:val="center"/>
                  </w:pPr>
                  <w:r>
                    <w:t xml:space="preserve">0.265</w:t>
                  </w:r>
                </w:p>
              </w:tc>
              <w:tc>
                <w:tcPr/>
                <w:p>
                  <w:pPr>
                    <w:pStyle w:val="Compact"/>
                    <w:jc w:val="right"/>
                    <w:jc w:val="center"/>
                  </w:pPr>
                  <w:r>
                    <w:t xml:space="preserve">0.909</w:t>
                  </w:r>
                </w:p>
              </w:tc>
            </w:tr>
            <w:tr>
              <w:tc>
                <w:tcPr/>
                <w:p>
                  <w:pPr>
                    <w:pStyle w:val="Compact"/>
                    <w:jc w:val="left"/>
                    <w:jc w:val="center"/>
                  </w:pPr>
                  <w:r>
                    <w:t xml:space="preserve">   PERMDISP</w:t>
                  </w:r>
                </w:p>
              </w:tc>
              <w:tc>
                <w:tcPr/>
                <w:p>
                  <w:pPr>
                    <w:pStyle w:val="Compact"/>
                  </w:pPr>
                </w:p>
              </w:tc>
              <w:tc>
                <w:tcPr/>
                <w:p>
                  <w:pPr>
                    <w:pStyle w:val="Compact"/>
                  </w:pPr>
                </w:p>
              </w:tc>
              <w:tc>
                <w:tcPr/>
                <w:p>
                  <w:pPr>
                    <w:pStyle w:val="Compact"/>
                  </w:pPr>
                </w:p>
              </w:tc>
              <w:tc>
                <w:tcPr/>
                <w:p>
                  <w:pPr>
                    <w:pStyle w:val="Compact"/>
                    <w:jc w:val="right"/>
                    <w:jc w:val="center"/>
                  </w:pPr>
                  <w:r>
                    <w:t xml:space="preserve">4.880</w:t>
                  </w:r>
                </w:p>
              </w:tc>
              <w:tc>
                <w:tcPr/>
                <w:p>
                  <w:pPr>
                    <w:pStyle w:val="Compact"/>
                    <w:jc w:val="right"/>
                    <w:jc w:val="center"/>
                  </w:pPr>
                  <w:r>
                    <w:t xml:space="preserve">0.035</w:t>
                  </w:r>
                </w:p>
              </w:tc>
            </w:tr>
            <w:tr>
              <w:tc>
                <w:tcPr/>
                <w:p>
                  <w:pPr>
                    <w:pStyle w:val="Compact"/>
                    <w:jc w:val="left"/>
                    <w:jc w:val="center"/>
                  </w:pPr>
                  <w:r>
                    <w:rPr>
                      <w:b/>
                      <w:bCs/>
                    </w:rPr>
                    <w:t xml:space="preserve">Height above channel (m)</w:t>
                  </w:r>
                </w:p>
              </w:tc>
              <w:tc>
                <w:tcPr/>
                <w:p>
                  <w:pPr>
                    <w:pStyle w:val="Compact"/>
                    <w:jc w:val="right"/>
                    <w:jc w:val="center"/>
                  </w:pPr>
                  <w:r>
                    <w:t xml:space="preserve">1, 24</w:t>
                  </w:r>
                </w:p>
              </w:tc>
              <w:tc>
                <w:tcPr/>
                <w:p>
                  <w:pPr>
                    <w:pStyle w:val="Compact"/>
                    <w:jc w:val="right"/>
                    <w:jc w:val="center"/>
                  </w:pPr>
                  <w:r>
                    <w:t xml:space="preserve">5.46</w:t>
                  </w:r>
                </w:p>
              </w:tc>
              <w:tc>
                <w:tcPr/>
                <w:p>
                  <w:pPr>
                    <w:pStyle w:val="Compact"/>
                    <w:jc w:val="right"/>
                    <w:jc w:val="center"/>
                  </w:pPr>
                  <w:r>
                    <w:t xml:space="preserve">0.036</w:t>
                  </w:r>
                </w:p>
              </w:tc>
              <w:tc>
                <w:tcPr/>
                <w:p>
                  <w:pPr>
                    <w:pStyle w:val="Compact"/>
                    <w:jc w:val="right"/>
                    <w:jc w:val="center"/>
                  </w:pPr>
                  <w:r>
                    <w:t xml:space="preserve">0.906</w:t>
                  </w:r>
                </w:p>
              </w:tc>
              <w:tc>
                <w:tcPr/>
                <w:p>
                  <w:pPr>
                    <w:pStyle w:val="Compact"/>
                    <w:jc w:val="right"/>
                    <w:jc w:val="center"/>
                  </w:pPr>
                  <w:r>
                    <w:t xml:space="preserve">0.443</w:t>
                  </w:r>
                </w:p>
              </w:tc>
            </w:tr>
            <w:tr>
              <w:tc>
                <w:tcPr/>
                <w:p>
                  <w:pPr>
                    <w:pStyle w:val="Compact"/>
                    <w:jc w:val="left"/>
                    <w:jc w:val="center"/>
                  </w:pPr>
                  <w:r>
                    <w:rPr>
                      <w:b/>
                      <w:bCs/>
                    </w:rPr>
                    <w:t xml:space="preserve">Distance to channel (m)</w:t>
                  </w:r>
                </w:p>
              </w:tc>
              <w:tc>
                <w:tcPr/>
                <w:p>
                  <w:pPr>
                    <w:pStyle w:val="Compact"/>
                    <w:jc w:val="right"/>
                    <w:jc w:val="center"/>
                  </w:pPr>
                  <w:r>
                    <w:t xml:space="preserve">1, 24</w:t>
                  </w:r>
                </w:p>
              </w:tc>
              <w:tc>
                <w:tcPr/>
                <w:p>
                  <w:pPr>
                    <w:pStyle w:val="Compact"/>
                    <w:jc w:val="right"/>
                    <w:jc w:val="center"/>
                  </w:pPr>
                  <w:r>
                    <w:t xml:space="preserve">4.61</w:t>
                  </w:r>
                </w:p>
              </w:tc>
              <w:tc>
                <w:tcPr/>
                <w:p>
                  <w:pPr>
                    <w:pStyle w:val="Compact"/>
                    <w:jc w:val="right"/>
                    <w:jc w:val="center"/>
                  </w:pPr>
                  <w:r>
                    <w:t xml:space="preserve">0.031</w:t>
                  </w:r>
                </w:p>
              </w:tc>
              <w:tc>
                <w:tcPr/>
                <w:p>
                  <w:pPr>
                    <w:pStyle w:val="Compact"/>
                    <w:jc w:val="right"/>
                    <w:jc w:val="center"/>
                  </w:pPr>
                  <w:r>
                    <w:t xml:space="preserve">0.761</w:t>
                  </w:r>
                </w:p>
              </w:tc>
              <w:tc>
                <w:tcPr/>
                <w:p>
                  <w:pPr>
                    <w:pStyle w:val="Compact"/>
                    <w:jc w:val="right"/>
                    <w:jc w:val="center"/>
                  </w:pPr>
                  <w:r>
                    <w:t xml:space="preserve">0.513</w:t>
                  </w:r>
                </w:p>
              </w:tc>
            </w:tr>
            <w:tr>
              <w:tc>
                <w:tcPr/>
                <w:p>
                  <w:pPr>
                    <w:pStyle w:val="Compact"/>
                    <w:jc w:val="left"/>
                    <w:jc w:val="center"/>
                  </w:pPr>
                  <w:r>
                    <w:rPr>
                      <w:b/>
                      <w:bCs/>
                    </w:rPr>
                    <w:t xml:space="preserve">Assemblage size (n specimens)</w:t>
                  </w:r>
                </w:p>
              </w:tc>
              <w:tc>
                <w:tcPr/>
                <w:p>
                  <w:pPr>
                    <w:pStyle w:val="Compact"/>
                    <w:jc w:val="right"/>
                    <w:jc w:val="center"/>
                  </w:pPr>
                  <w:r>
                    <w:t xml:space="preserve">1, 24</w:t>
                  </w:r>
                </w:p>
              </w:tc>
              <w:tc>
                <w:tcPr/>
                <w:p>
                  <w:pPr>
                    <w:pStyle w:val="Compact"/>
                    <w:jc w:val="right"/>
                    <w:jc w:val="center"/>
                  </w:pPr>
                  <w:r>
                    <w:t xml:space="preserve">0.87</w:t>
                  </w:r>
                </w:p>
              </w:tc>
              <w:tc>
                <w:tcPr/>
                <w:p>
                  <w:pPr>
                    <w:pStyle w:val="Compact"/>
                    <w:jc w:val="right"/>
                    <w:jc w:val="center"/>
                  </w:pPr>
                  <w:r>
                    <w:t xml:space="preserve">0.006</w:t>
                  </w:r>
                </w:p>
              </w:tc>
              <w:tc>
                <w:tcPr/>
                <w:p>
                  <w:pPr>
                    <w:pStyle w:val="Compact"/>
                    <w:jc w:val="right"/>
                    <w:jc w:val="center"/>
                  </w:pPr>
                  <w:r>
                    <w:t xml:space="preserve">0.140</w:t>
                  </w:r>
                </w:p>
              </w:tc>
              <w:tc>
                <w:tcPr/>
                <w:p>
                  <w:pPr>
                    <w:pStyle w:val="Compact"/>
                    <w:jc w:val="right"/>
                    <w:jc w:val="center"/>
                  </w:pPr>
                  <w:r>
                    <w:t xml:space="preserve">0.970</w:t>
                  </w:r>
                </w:p>
              </w:tc>
            </w:tr>
          </w:tbl>
          <w:bookmarkEnd w:id="44"/>
          <w:p/>
        </w:tc>
      </w:tr>
    </w:tbl>
    <w:p>
      <w:r>
        <w:br w:type="page"/>
      </w:r>
    </w:p>
    <w:tbl>
      <w:tblPr>
        <w:tblStyle w:val="Table"/>
        <w:tblW w:type="pct" w:w="5000"/>
        <w:tblLayout w:type="fixed"/>
        <w:tblLook w:firstRow="0" w:lastRow="0" w:firstColumn="0" w:lastColumn="0" w:noHBand="0" w:noVBand="0" w:val="0000"/>
      </w:tblPr>
      <w:tblGrid>
        <w:gridCol w:w="7920"/>
      </w:tblGrid>
      <w:tr>
        <w:tc>
          <w:tcPr/>
          <w:bookmarkStart w:id="48" w:name="fig-site-pca"/>
          <w:p>
            <w:pPr>
              <w:pStyle w:val="Compact"/>
              <w:jc w:val="center"/>
            </w:pPr>
            <w:r>
              <w:drawing>
                <wp:inline>
                  <wp:extent cx="5403966" cy="5312373"/>
                  <wp:effectExtent b="0" l="0" r="0" t="0"/>
                  <wp:docPr descr="" title="" id="46" name="Picture"/>
                  <a:graphic>
                    <a:graphicData uri="http://schemas.openxmlformats.org/drawingml/2006/picture">
                      <pic:pic>
                        <pic:nvPicPr>
                          <pic:cNvPr descr="supplementary_files/figure-docx/fig-site-pca-1.png" id="47" name="Picture"/>
                          <pic:cNvPicPr>
                            <a:picLocks noChangeArrowheads="1" noChangeAspect="1"/>
                          </pic:cNvPicPr>
                        </pic:nvPicPr>
                        <pic:blipFill>
                          <a:blip r:embed="rId45"/>
                          <a:stretch>
                            <a:fillRect/>
                          </a:stretch>
                        </pic:blipFill>
                        <pic:spPr bwMode="auto">
                          <a:xfrm>
                            <a:off x="0" y="0"/>
                            <a:ext cx="5403966" cy="5312373"/>
                          </a:xfrm>
                          <a:prstGeom prst="rect">
                            <a:avLst/>
                          </a:prstGeom>
                          <a:noFill/>
                          <a:ln w="9525">
                            <a:noFill/>
                            <a:headEnd/>
                            <a:tailEnd/>
                          </a:ln>
                        </pic:spPr>
                      </pic:pic>
                    </a:graphicData>
                  </a:graphic>
                </wp:inline>
              </w:drawing>
            </w:r>
          </w:p>
          <w:p>
            <w:pPr>
              <w:jc w:val="center"/>
            </w:pPr>
            <w:pPr>
              <w:jc w:val="left"/>
              <w:spacing w:before="200"/>
              <w:pStyle w:val="ImageCaption"/>
            </w:pPr>
            <w:r>
              <w:t xml:space="preserve">Fig. S6: Locality-level ordination of the six technological measures, each locality entered as the median of its Quina scrapers, coloured by (A) basin, (B) height above the channel, (C) assemblage size and (D) distance to the nearest channel. The four panels are the same ordination and differ only in the landscape variable shown, which is named in the legend beneath each. The three continuous variables are carried by the colour gradient at their measured values, the form in which they enter every test reported here; the gradient runs between the two colours that distinguish the basins in (A), the colour scale is square-root, all three being right-skewed, and the legend ticks are in the original units. Behind the localities of (B) to (D), on that same scale, is a thin-plate spline of the variable fitted over the ordination plane and clipped to the area the localities cover. A landscape gradient would show as colour running in a direction across a panel. Basin, the one categorical variable, has hulls enclosing each group and filled points marking group centroids.</w:t>
            </w:r>
          </w:p>
          <w:bookmarkEnd w:id="48"/>
        </w:tc>
      </w:tr>
    </w:tbl>
    <w:p>
      <w:r>
        <w:br w:type="page"/>
      </w:r>
    </w:p>
    <w:tbl>
      <w:tblPr>
        <w:tblStyle w:val="Table"/>
        <w:tblW w:type="pct" w:w="5000"/>
        <w:tblLayout w:type="fixed"/>
        <w:tblLook w:firstRow="0" w:lastRow="0" w:firstColumn="0" w:lastColumn="0" w:noHBand="0" w:noVBand="0" w:val="0000"/>
      </w:tblPr>
      <w:tblGrid>
        <w:gridCol w:w="7920"/>
      </w:tblGrid>
      <w:tr>
        <w:tc>
          <w:tcPr/>
          <w:bookmarkStart w:id="52" w:name="fig-landscape-scatter"/>
          <w:p>
            <w:pPr>
              <w:pStyle w:val="Compact"/>
              <w:jc w:val="center"/>
            </w:pPr>
            <w:r>
              <w:drawing>
                <wp:inline>
                  <wp:extent cx="5403966" cy="7144227"/>
                  <wp:effectExtent b="0" l="0" r="0" t="0"/>
                  <wp:docPr descr="" title="" id="50" name="Picture"/>
                  <a:graphic>
                    <a:graphicData uri="http://schemas.openxmlformats.org/drawingml/2006/picture">
                      <pic:pic>
                        <pic:nvPicPr>
                          <pic:cNvPr descr="supplementary_files/figure-docx/fig-landscape-scatter-1.png" id="51" name="Picture"/>
                          <pic:cNvPicPr>
                            <a:picLocks noChangeArrowheads="1" noChangeAspect="1"/>
                          </pic:cNvPicPr>
                        </pic:nvPicPr>
                        <pic:blipFill>
                          <a:blip r:embed="rId49"/>
                          <a:stretch>
                            <a:fillRect/>
                          </a:stretch>
                        </pic:blipFill>
                        <pic:spPr bwMode="auto">
                          <a:xfrm>
                            <a:off x="0" y="0"/>
                            <a:ext cx="5403966" cy="7144227"/>
                          </a:xfrm>
                          <a:prstGeom prst="rect">
                            <a:avLst/>
                          </a:prstGeom>
                          <a:noFill/>
                          <a:ln w="9525">
                            <a:noFill/>
                            <a:headEnd/>
                            <a:tailEnd/>
                          </a:ln>
                        </pic:spPr>
                      </pic:pic>
                    </a:graphicData>
                  </a:graphic>
                </wp:inline>
              </w:drawing>
            </w:r>
          </w:p>
          <w:p>
            <w:pPr>
              <w:jc w:val="center"/>
            </w:pPr>
            <w:pPr>
              <w:jc w:val="left"/>
              <w:spacing w:before="200"/>
              <w:pStyle w:val="ImageCaption"/>
            </w:pPr>
            <w:r>
              <w:t xml:space="preserve">Fig. S7: Each of the six technological measures against each of the three continuous landscape variables, at the scale of the locality: one row per measure, one column per landscape variable, all at measured values. The dashed line is an ordinary least-squares fit, shown only as a guide to the direction of the relationship. Each panel gives Spearman’s ρ with its</w:t>
            </w:r>
            <w:r>
              <w:t xml:space="preserve"> </w:t>
            </w:r>
            <w:r>
              <w:rPr>
                <w:i/>
                <w:iCs/>
              </w:rPr>
              <w:t xml:space="preserve">p</w:t>
            </w:r>
            <w:r>
              <w:t xml:space="preserve">-value, adjusted by the Bonferroni procedure within each column, every column being one family of six tests; the distance column is the family reported in the main text.</w:t>
            </w:r>
          </w:p>
          <w:bookmarkEnd w:id="52"/>
        </w:tc>
      </w:tr>
    </w:tbl>
    <w:p>
      <w:r>
        <w:br w:type="page"/>
      </w:r>
    </w:p>
    <w:tbl>
      <w:tblPr>
        <w:tblStyle w:val="Table"/>
        <w:tblW w:type="pct" w:w="5000"/>
        <w:tblLayout w:type="fixed"/>
        <w:tblLook w:firstRow="0" w:lastRow="0" w:firstColumn="0" w:lastColumn="0" w:noHBand="0" w:noVBand="0" w:val="0000"/>
      </w:tblPr>
      <w:tblGrid>
        <w:gridCol w:w="7920"/>
      </w:tblGrid>
      <w:tr>
        <w:tc>
          <w:tcPr/>
          <w:bookmarkStart w:id="56" w:name="fig-basin-boxplot"/>
          <w:p>
            <w:pPr>
              <w:pStyle w:val="Compact"/>
              <w:jc w:val="center"/>
            </w:pPr>
            <w:r>
              <w:drawing>
                <wp:inline>
                  <wp:extent cx="5403966" cy="4946003"/>
                  <wp:effectExtent b="0" l="0" r="0" t="0"/>
                  <wp:docPr descr="" title="" id="54" name="Picture"/>
                  <a:graphic>
                    <a:graphicData uri="http://schemas.openxmlformats.org/drawingml/2006/picture">
                      <pic:pic>
                        <pic:nvPicPr>
                          <pic:cNvPr descr="supplementary_files/figure-docx/fig-basin-boxplot-1.png" id="55" name="Picture"/>
                          <pic:cNvPicPr>
                            <a:picLocks noChangeArrowheads="1" noChangeAspect="1"/>
                          </pic:cNvPicPr>
                        </pic:nvPicPr>
                        <pic:blipFill>
                          <a:blip r:embed="rId53"/>
                          <a:stretch>
                            <a:fillRect/>
                          </a:stretch>
                        </pic:blipFill>
                        <pic:spPr bwMode="auto">
                          <a:xfrm>
                            <a:off x="0" y="0"/>
                            <a:ext cx="5403966" cy="4946003"/>
                          </a:xfrm>
                          <a:prstGeom prst="rect">
                            <a:avLst/>
                          </a:prstGeom>
                          <a:noFill/>
                          <a:ln w="9525">
                            <a:noFill/>
                            <a:headEnd/>
                            <a:tailEnd/>
                          </a:ln>
                        </pic:spPr>
                      </pic:pic>
                    </a:graphicData>
                  </a:graphic>
                </wp:inline>
              </w:drawing>
            </w:r>
          </w:p>
          <w:p>
            <w:pPr>
              <w:jc w:val="center"/>
            </w:pPr>
            <w:pPr>
              <w:jc w:val="left"/>
              <w:spacing w:before="200"/>
              <w:pStyle w:val="ImageCaption"/>
            </w:pPr>
            <w:r>
              <w:t xml:space="preserve">Fig. S8: Each of the six technological measures between the two basins, at the scale of the locality: one panel per measure, each point one locality entered as the median of its Quina scrapers, the box giving the median and the quartiles with whiskers reaching 1.5 times the interquartile range, and the filled point the mean.</w:t>
            </w:r>
          </w:p>
          <w:bookmarkEnd w:id="56"/>
        </w:tc>
      </w:tr>
    </w:tbl>
    <w:bookmarkEnd w:id="57"/>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1"/>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 w:styleId="Table" w:type="table">
    <w:name w:val="Table"/>
    <w:basedOn w:val="TableNormal"/>
    <w:uiPriority w:val="99"/>
    <w:rPr>
      <w:sz w:val="18"/>
      <w:szCs w:val="18"/>
    </w:rPr>
    <w:tblPr>
      <w:tblCellMar>
        <w:left w:type="dxa" w:w="108"/>
        <w:right w:type="dxa" w:w="108"/>
      </w:tblCellMar>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53" Target="media/rId53.png" /><Relationship Type="http://schemas.openxmlformats.org/officeDocument/2006/relationships/image" Id="rId15" Target="media/rId15.png"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hyperlink" Id="rId9"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9"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Peiyuan Xiaoa,b,c, Qijun Ruand, Zhenxiu Jiaa, Marco Peresanie,f, Davide Delpianoe, and Ben Marwickc,✉</dc:creator>
  <cp:keywords/>
  <dcterms:created xsi:type="dcterms:W3CDTF">2026-08-15T01:09:33Z</dcterms:created>
  <dcterms:modified xsi:type="dcterms:W3CDTF">2026-08-15T01:09:33Z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y-affiliation">
    <vt:lpwstr/>
  </property>
  <property fmtid="{D5CDD505-2E9C-101B-9397-08002B2CF9AE}" pid="5" name="crossref">
    <vt:lpwstr/>
  </property>
  <property fmtid="{D5CDD505-2E9C-101B-9397-08002B2CF9AE}" pid="6" name="date">
    <vt:lpwstr>August 14, 2026</vt:lpwstr>
  </property>
  <property fmtid="{D5CDD505-2E9C-101B-9397-08002B2CF9AE}" pid="7" name="date-format">
    <vt:lpwstr>long</vt:lpwstr>
  </property>
  <property fmtid="{D5CDD505-2E9C-101B-9397-08002B2CF9AE}" pid="8" name="editor_options">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s">
    <vt:lpwstr/>
  </property>
  <property fmtid="{D5CDD505-2E9C-101B-9397-08002B2CF9AE}" pid="15" name="labels">
    <vt:lpwstr/>
  </property>
  <property fmtid="{D5CDD505-2E9C-101B-9397-08002B2CF9AE}" pid="16" name="subtitle">
    <vt:lpwstr>The Quina Valley: a regional Middle Palaeolithic technological system on the southeastern margin of the Tibetan Plateau</vt:lpwstr>
  </property>
  <property fmtid="{D5CDD505-2E9C-101B-9397-08002B2CF9AE}" pid="17" name="toc-title">
    <vt:lpwstr>Table of contents</vt:lpwstr>
  </property>
</Properties>
</file>