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37.png" ContentType="image/png"/>
  <Override PartName="/word/media/rId18.png" ContentType="image/png"/>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Subtitle"/>
      </w:pPr>
      <w:r>
        <w:t xml:space="preserve">The Quina Valley: a regional Middle Palaeolithic technological system on the southeastern margin of the Tibetan Plateau</w:t>
      </w:r>
    </w:p>
    <w:p>
      <w:pPr>
        <w:pStyle w:val="Author"/>
      </w:pPr>
      <w:r>
        <w:t xml:space="preserve">Peiyuan Xiao</w:t>
      </w:r>
      <w:r>
        <w:rPr>
          <w:vertAlign w:val="superscript"/>
        </w:rPr>
        <w:t xml:space="preserve">a,b,c</w:t>
      </w:r>
      <w:r>
        <w:t xml:space="preserve">, Qijun Ruan</w:t>
      </w:r>
      <w:r>
        <w:rPr>
          <w:vertAlign w:val="superscript"/>
        </w:rPr>
        <w:t xml:space="preserve">d</w:t>
      </w:r>
      <w:r>
        <w:t xml:space="preserve">, Zhenxiu Jia</w:t>
      </w:r>
      <w:r>
        <w:rPr>
          <w:vertAlign w:val="superscript"/>
        </w:rPr>
        <w:t xml:space="preserve">a</w:t>
      </w:r>
      <w:r>
        <w:t xml:space="preserve">, Marco Peresani</w:t>
      </w:r>
      <w:r>
        <w:rPr>
          <w:vertAlign w:val="superscript"/>
        </w:rPr>
        <w:t xml:space="preserve">e,f</w:t>
      </w:r>
      <w:r>
        <w:t xml:space="preserve">, Davide Delpiano</w:t>
      </w:r>
      <w:r>
        <w:rPr>
          <w:vertAlign w:val="superscript"/>
        </w:rPr>
        <w:t xml:space="preserve">e</w:t>
      </w:r>
      <w:r>
        <w:t xml:space="preserve">, and Ben Marwick</w:t>
      </w:r>
      <w:r>
        <w:rPr>
          <w:vertAlign w:val="superscript"/>
        </w:rPr>
        <w:t xml:space="preserve">c,✉</w:t>
      </w:r>
    </w:p>
    <w:p>
      <w:pPr>
        <w:pStyle w:val="Date"/>
      </w:pPr>
      <w:r>
        <w:t xml:space="preserve">July 23, 2026</w:t>
      </w:r>
    </w:p>
    <w:p>
      <w:pPr>
        <w:pStyle w:val="FirstParagraph"/>
      </w:pPr>
      <w:r>
        <w:rPr>
          <w:vertAlign w:val="superscript"/>
        </w:rPr>
        <w:t xml:space="preserve">a</w:t>
      </w:r>
      <w:r>
        <w:t xml:space="preserve"> </w:t>
      </w:r>
      <w:r>
        <w:t xml:space="preserve">Alpine Paleoecology and Human Adaptation Group (ALPHA Group), State Key Laboratory of Tibetan Plateau Earth System, Environment and Resources, Institute of Tibetan Plateau Research, Chinese Academy of Sciences, Beijing, China</w:t>
      </w:r>
      <w:r>
        <w:br/>
      </w:r>
      <w:r>
        <w:rPr>
          <w:vertAlign w:val="superscript"/>
        </w:rPr>
        <w:t xml:space="preserve">b</w:t>
      </w:r>
      <w:r>
        <w:t xml:space="preserve"> </w:t>
      </w:r>
      <w:r>
        <w:t xml:space="preserve">University of Chinese Academy of Sciences, Beijing, China</w:t>
      </w:r>
      <w:r>
        <w:br/>
      </w:r>
      <w:r>
        <w:rPr>
          <w:vertAlign w:val="superscript"/>
        </w:rPr>
        <w:t xml:space="preserve">c</w:t>
      </w:r>
      <w:r>
        <w:t xml:space="preserve"> </w:t>
      </w:r>
      <w:r>
        <w:t xml:space="preserve">Department of Anthropology, University of Washington, Seattle, WA, USA</w:t>
      </w:r>
      <w:r>
        <w:br/>
      </w:r>
      <w:r>
        <w:rPr>
          <w:vertAlign w:val="superscript"/>
        </w:rPr>
        <w:t xml:space="preserve">d</w:t>
      </w:r>
      <w:r>
        <w:t xml:space="preserve"> </w:t>
      </w:r>
      <w:r>
        <w:t xml:space="preserve">Yunnan Provincial Institute of Cultural Relics and Archaeology, Kunming, China</w:t>
      </w:r>
      <w:r>
        <w:br/>
      </w:r>
      <w:r>
        <w:rPr>
          <w:vertAlign w:val="superscript"/>
        </w:rPr>
        <w:t xml:space="preserve">e</w:t>
      </w:r>
      <w:r>
        <w:t xml:space="preserve"> </w:t>
      </w:r>
      <w:r>
        <w:t xml:space="preserve">Department of Human Studies, Prehistoric and Anthropological Science Unit, University of Ferrara, Ferrara, Italy</w:t>
      </w:r>
      <w:r>
        <w:br/>
      </w:r>
      <w:r>
        <w:rPr>
          <w:vertAlign w:val="superscript"/>
        </w:rPr>
        <w:t xml:space="preserve">f</w:t>
      </w:r>
      <w:r>
        <w:t xml:space="preserve"> </w:t>
      </w:r>
      <w:r>
        <w:t xml:space="preserve">Consiglio Nazionale delle Ricerche-Institute of Environmental Geology and Geoengineering, Laboratory of Palynology and Palaeoecology, Research Group on Vegetation, Climate and Human Stratigraphy, Milan, Italy</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Ben Marwick &lt;bmarwick@uw.edu&gt;</w:t>
        </w:r>
      </w:hyperlink>
    </w:p>
    <w:p>
      <w:pPr>
        <w:pStyle w:val="BodyText"/>
      </w:pPr>
      <w:r>
        <w:t xml:space="preserve">This document reports the full statistical output behind the results summarised in the main text, together with the diagnostic and robustness analyses that support them. Every number here is computed from the same data, in the same run and on the same fixed seed (2226) as the corresponding number in the paper: both documents source a single analysis file, so a value can never differ between them. Permutation tests use 9,999 permutations throughout, and every family of multiple comparisons carries a Bonferroni adjustment. The data and the code needed to regenerate this document are deposited with the research compendium.</w:t>
      </w:r>
    </w:p>
    <w:p>
      <w:pPr>
        <w:pStyle w:val="BodyText"/>
      </w:pPr>
      <w:r>
        <w:t xml:space="preserve">The tables and figures follow the order of the Results: raw material economy first, then the techno-typological characterisation of the retouch products, then the technological consistency of the surface collections with the excavated material at Longtan, and last the landscape structure of the technological variation. Within each of these, the complete test tables come first, then the diagnostics, then the sensitivity analyses. Each caption is written to stand on its own, so that no table or figure depends on the text of the paper to be read.</w:t>
      </w:r>
    </w:p>
    <w:p>
      <w:r>
        <w:br w:type="page"/>
      </w:r>
    </w:p>
    <w:tbl>
      <w:tblPr>
        <w:tblStyle w:val="Table"/>
        <w:tblW w:type="pct" w:w="5000"/>
        <w:tblLayout w:type="fixed"/>
        <w:tblLook w:firstRow="0" w:lastRow="0" w:firstColumn="0" w:lastColumn="0" w:noHBand="0" w:noVBand="0" w:val="0000"/>
      </w:tblPr>
      <w:tblGrid>
        <w:gridCol w:w="7920"/>
      </w:tblGrid>
      <w:tr>
        <w:tc>
          <w:tcPr/>
          <w:bookmarkStart w:id="10" w:name="tbl-composition"/>
          <w:p>
            <w:pPr>
              <w:jc w:val="center"/>
            </w:pPr>
            <w:pPr>
              <w:jc w:val="left"/>
              <w:spacing w:before="200"/>
              <w:pStyle w:val="ImageCaption"/>
            </w:pPr>
            <w:r>
              <w:t xml:space="preserve">Table S1: Raw material composition of the river-bar cobbles and of the surface-collected Quina scrapers, by valley. Cells give the count with the percentage of the row in parentheses. Artefacts are restricted to the localities that carry a valley assignment, as in the corresponding figure of the main text, which is why the artefact total falls slightly below the whole scraper assemblage.</w:t>
            </w:r>
          </w:p>
          <w:tbl>
            <w:tblPr>
              <w:tblStyle w:val="Table"/>
              <w:tblW w:type="pct" w:w="5000"/>
              <w:tblLayout w:type="fixed"/>
              <w:tblLook w:firstRow="1" w:lastRow="0" w:firstColumn="0" w:lastColumn="0" w:noHBand="0" w:noVBand="0" w:val="0020"/>
            </w:tblPr>
            <w:tblGrid>
              <w:gridCol w:w="2607"/>
              <w:gridCol w:w="1159"/>
              <w:gridCol w:w="1159"/>
              <w:gridCol w:w="869"/>
              <w:gridCol w:w="869"/>
              <w:gridCol w:w="869"/>
              <w:gridCol w:w="386"/>
            </w:tblGrid>
            <w:tr>
              <w:trPr>
                <w:tblHeader w:val="on"/>
              </w:trPr>
              <w:tc>
                <w:tcPr/>
                <w:p>
                  <w:pPr>
                    <w:pStyle w:val="Compact"/>
                    <w:jc w:val="left"/>
                    <w:jc w:val="center"/>
                  </w:pPr>
                  <w:r>
                    <w:t xml:space="preserve">Valley</w:t>
                  </w:r>
                </w:p>
              </w:tc>
              <w:tc>
                <w:tcPr/>
                <w:p>
                  <w:pPr>
                    <w:pStyle w:val="Compact"/>
                    <w:jc w:val="right"/>
                    <w:jc w:val="center"/>
                  </w:pPr>
                  <w:r>
                    <w:t xml:space="preserve">Trachyte</w:t>
                  </w:r>
                </w:p>
              </w:tc>
              <w:tc>
                <w:tcPr/>
                <w:p>
                  <w:pPr>
                    <w:pStyle w:val="Compact"/>
                    <w:jc w:val="right"/>
                    <w:jc w:val="center"/>
                  </w:pPr>
                  <w:r>
                    <w:t xml:space="preserve">Sandstone</w:t>
                  </w:r>
                </w:p>
              </w:tc>
              <w:tc>
                <w:tcPr/>
                <w:p>
                  <w:pPr>
                    <w:pStyle w:val="Compact"/>
                    <w:jc w:val="right"/>
                    <w:jc w:val="center"/>
                  </w:pPr>
                  <w:r>
                    <w:t xml:space="preserve">Quartz</w:t>
                  </w:r>
                </w:p>
              </w:tc>
              <w:tc>
                <w:tcPr/>
                <w:p>
                  <w:pPr>
                    <w:pStyle w:val="Compact"/>
                    <w:jc w:val="right"/>
                    <w:jc w:val="center"/>
                  </w:pPr>
                  <w:r>
                    <w:t xml:space="preserve">Mudstone</w:t>
                  </w:r>
                </w:p>
              </w:tc>
              <w:tc>
                <w:tcPr/>
                <w:p>
                  <w:pPr>
                    <w:pStyle w:val="Compact"/>
                    <w:jc w:val="right"/>
                    <w:jc w:val="center"/>
                  </w:pPr>
                  <w:r>
                    <w:t xml:space="preserve">Andesite</w:t>
                  </w:r>
                </w:p>
              </w:tc>
              <w:tc>
                <w:tcPr/>
                <w:p>
                  <w:pPr>
                    <w:pStyle w:val="Compact"/>
                    <w:jc w:val="right"/>
                    <w:jc w:val="center"/>
                  </w:pPr>
                  <w:r>
                    <w:rPr>
                      <w:i/>
                      <w:iCs/>
                    </w:rPr>
                    <w:t xml:space="preserve">n</w:t>
                  </w:r>
                </w:p>
              </w:tc>
            </w:tr>
            <w:tr>
              <w:tc>
                <w:tcPr/>
                <w:p>
                  <w:pPr>
                    <w:pStyle w:val="Compact"/>
                    <w:jc w:val="left"/>
                    <w:jc w:val="center"/>
                  </w:pPr>
                  <w:r>
                    <w:rPr>
                      <w:b/>
                      <w:bCs/>
                    </w:rPr>
                    <w:t xml:space="preserve">River cobbles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Sangyuan</w:t>
                  </w:r>
                </w:p>
              </w:tc>
              <w:tc>
                <w:tcPr/>
                <w:p>
                  <w:pPr>
                    <w:pStyle w:val="Compact"/>
                    <w:jc w:val="right"/>
                    <w:jc w:val="center"/>
                  </w:pPr>
                  <w:r>
                    <w:t xml:space="preserve">9 (8.9%)</w:t>
                  </w:r>
                </w:p>
              </w:tc>
              <w:tc>
                <w:tcPr/>
                <w:p>
                  <w:pPr>
                    <w:pStyle w:val="Compact"/>
                    <w:jc w:val="right"/>
                    <w:jc w:val="center"/>
                  </w:pPr>
                  <w:r>
                    <w:t xml:space="preserve">84 (83.2%)</w:t>
                  </w:r>
                </w:p>
              </w:tc>
              <w:tc>
                <w:tcPr/>
                <w:p>
                  <w:pPr>
                    <w:pStyle w:val="Compact"/>
                    <w:jc w:val="right"/>
                    <w:jc w:val="center"/>
                  </w:pPr>
                  <w:r>
                    <w:t xml:space="preserve">1 (1.0%)</w:t>
                  </w:r>
                </w:p>
              </w:tc>
              <w:tc>
                <w:tcPr/>
                <w:p>
                  <w:pPr>
                    <w:pStyle w:val="Compact"/>
                    <w:jc w:val="right"/>
                    <w:jc w:val="center"/>
                  </w:pPr>
                  <w:r>
                    <w:t xml:space="preserve">7 (6.9%)</w:t>
                  </w:r>
                </w:p>
              </w:tc>
              <w:tc>
                <w:tcPr/>
                <w:p>
                  <w:pPr>
                    <w:pStyle w:val="Compact"/>
                    <w:jc w:val="right"/>
                    <w:jc w:val="center"/>
                  </w:pPr>
                  <w:r>
                    <w:t xml:space="preserve">0</w:t>
                  </w:r>
                </w:p>
              </w:tc>
              <w:tc>
                <w:tcPr/>
                <w:p>
                  <w:pPr>
                    <w:pStyle w:val="Compact"/>
                    <w:jc w:val="right"/>
                    <w:jc w:val="center"/>
                  </w:pPr>
                  <w:r>
                    <w:t xml:space="preserve">101</w:t>
                  </w:r>
                </w:p>
              </w:tc>
            </w:tr>
            <w:tr>
              <w:tc>
                <w:tcPr/>
                <w:p>
                  <w:pPr>
                    <w:pStyle w:val="Compact"/>
                    <w:jc w:val="left"/>
                    <w:jc w:val="center"/>
                  </w:pPr>
                  <w:r>
                    <w:t xml:space="preserve">   Liandong</w:t>
                  </w:r>
                </w:p>
              </w:tc>
              <w:tc>
                <w:tcPr/>
                <w:p>
                  <w:pPr>
                    <w:pStyle w:val="Compact"/>
                    <w:jc w:val="right"/>
                    <w:jc w:val="center"/>
                  </w:pPr>
                  <w:r>
                    <w:t xml:space="preserve">87 (46.3%)</w:t>
                  </w:r>
                </w:p>
              </w:tc>
              <w:tc>
                <w:tcPr/>
                <w:p>
                  <w:pPr>
                    <w:pStyle w:val="Compact"/>
                    <w:jc w:val="right"/>
                    <w:jc w:val="center"/>
                  </w:pPr>
                  <w:r>
                    <w:t xml:space="preserve">98 (52.1%)</w:t>
                  </w:r>
                </w:p>
              </w:tc>
              <w:tc>
                <w:tcPr/>
                <w:p>
                  <w:pPr>
                    <w:pStyle w:val="Compact"/>
                    <w:jc w:val="right"/>
                    <w:jc w:val="center"/>
                  </w:pPr>
                  <w:r>
                    <w:t xml:space="preserve">1 (0.5%)</w:t>
                  </w:r>
                </w:p>
              </w:tc>
              <w:tc>
                <w:tcPr/>
                <w:p>
                  <w:pPr>
                    <w:pStyle w:val="Compact"/>
                    <w:jc w:val="right"/>
                    <w:jc w:val="center"/>
                  </w:pPr>
                  <w:r>
                    <w:t xml:space="preserve">2 (1.1%)</w:t>
                  </w:r>
                </w:p>
              </w:tc>
              <w:tc>
                <w:tcPr/>
                <w:p>
                  <w:pPr>
                    <w:pStyle w:val="Compact"/>
                    <w:jc w:val="right"/>
                    <w:jc w:val="center"/>
                  </w:pPr>
                  <w:r>
                    <w:t xml:space="preserve">0</w:t>
                  </w:r>
                </w:p>
              </w:tc>
              <w:tc>
                <w:tcPr/>
                <w:p>
                  <w:pPr>
                    <w:pStyle w:val="Compact"/>
                    <w:jc w:val="right"/>
                    <w:jc w:val="center"/>
                  </w:pPr>
                  <w:r>
                    <w:t xml:space="preserve">188</w:t>
                  </w:r>
                </w:p>
              </w:tc>
            </w:tr>
            <w:tr>
              <w:tc>
                <w:tcPr/>
                <w:p>
                  <w:pPr>
                    <w:pStyle w:val="Compact"/>
                    <w:jc w:val="left"/>
                    <w:jc w:val="center"/>
                  </w:pPr>
                  <w:r>
                    <w:t xml:space="preserve">   Caifeng</w:t>
                  </w:r>
                </w:p>
              </w:tc>
              <w:tc>
                <w:tcPr/>
                <w:p>
                  <w:pPr>
                    <w:pStyle w:val="Compact"/>
                    <w:jc w:val="right"/>
                    <w:jc w:val="center"/>
                  </w:pPr>
                  <w:r>
                    <w:t xml:space="preserve">33 (18.3%)</w:t>
                  </w:r>
                </w:p>
              </w:tc>
              <w:tc>
                <w:tcPr/>
                <w:p>
                  <w:pPr>
                    <w:pStyle w:val="Compact"/>
                    <w:jc w:val="right"/>
                    <w:jc w:val="center"/>
                  </w:pPr>
                  <w:r>
                    <w:t xml:space="preserve">145 (80.6%)</w:t>
                  </w:r>
                </w:p>
              </w:tc>
              <w:tc>
                <w:tcPr/>
                <w:p>
                  <w:pPr>
                    <w:pStyle w:val="Compact"/>
                    <w:jc w:val="right"/>
                    <w:jc w:val="center"/>
                  </w:pPr>
                  <w:r>
                    <w:t xml:space="preserve">1 (0.6%)</w:t>
                  </w:r>
                </w:p>
              </w:tc>
              <w:tc>
                <w:tcPr/>
                <w:p>
                  <w:pPr>
                    <w:pStyle w:val="Compact"/>
                    <w:jc w:val="right"/>
                    <w:jc w:val="center"/>
                  </w:pPr>
                  <w:r>
                    <w:t xml:space="preserve">1 (0.6%)</w:t>
                  </w:r>
                </w:p>
              </w:tc>
              <w:tc>
                <w:tcPr/>
                <w:p>
                  <w:pPr>
                    <w:pStyle w:val="Compact"/>
                    <w:jc w:val="right"/>
                    <w:jc w:val="center"/>
                  </w:pPr>
                  <w:r>
                    <w:t xml:space="preserve">0</w:t>
                  </w:r>
                </w:p>
              </w:tc>
              <w:tc>
                <w:tcPr/>
                <w:p>
                  <w:pPr>
                    <w:pStyle w:val="Compact"/>
                    <w:jc w:val="right"/>
                    <w:jc w:val="center"/>
                  </w:pPr>
                  <w:r>
                    <w:t xml:space="preserve">180</w:t>
                  </w:r>
                </w:p>
              </w:tc>
            </w:tr>
            <w:tr>
              <w:tc>
                <w:tcPr/>
                <w:p>
                  <w:pPr>
                    <w:pStyle w:val="Compact"/>
                    <w:jc w:val="left"/>
                    <w:jc w:val="center"/>
                  </w:pPr>
                  <w:r>
                    <w:rPr>
                      <w:b/>
                      <w:bCs/>
                    </w:rPr>
                    <w:t xml:space="preserve">Surface Quina scrapers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Sangyuan</w:t>
                  </w:r>
                </w:p>
              </w:tc>
              <w:tc>
                <w:tcPr/>
                <w:p>
                  <w:pPr>
                    <w:pStyle w:val="Compact"/>
                    <w:jc w:val="right"/>
                    <w:jc w:val="center"/>
                  </w:pPr>
                  <w:r>
                    <w:t xml:space="preserve">6 (100.0%)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w:t>
                  </w:r>
                </w:p>
              </w:tc>
            </w:tr>
            <w:tr>
              <w:tc>
                <w:tcPr/>
                <w:p>
                  <w:pPr>
                    <w:pStyle w:val="Compact"/>
                    <w:jc w:val="left"/>
                    <w:jc w:val="center"/>
                  </w:pPr>
                  <w:r>
                    <w:t xml:space="preserve">   Liandong</w:t>
                  </w:r>
                </w:p>
              </w:tc>
              <w:tc>
                <w:tcPr/>
                <w:p>
                  <w:pPr>
                    <w:pStyle w:val="Compact"/>
                    <w:jc w:val="right"/>
                    <w:jc w:val="center"/>
                  </w:pPr>
                  <w:r>
                    <w:t xml:space="preserve">36 (97.3%)</w:t>
                  </w:r>
                </w:p>
              </w:tc>
              <w:tc>
                <w:tcPr/>
                <w:p>
                  <w:pPr>
                    <w:pStyle w:val="Compact"/>
                    <w:jc w:val="right"/>
                    <w:jc w:val="center"/>
                  </w:pPr>
                  <w:r>
                    <w:t xml:space="preserve">1 (2.7%)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37</w:t>
                  </w:r>
                </w:p>
              </w:tc>
            </w:tr>
            <w:tr>
              <w:tc>
                <w:tcPr/>
                <w:p>
                  <w:pPr>
                    <w:pStyle w:val="Compact"/>
                    <w:jc w:val="left"/>
                    <w:jc w:val="center"/>
                  </w:pPr>
                  <w:r>
                    <w:t xml:space="preserve">   Caifeng</w:t>
                  </w:r>
                </w:p>
              </w:tc>
              <w:tc>
                <w:tcPr/>
                <w:p>
                  <w:pPr>
                    <w:pStyle w:val="Compact"/>
                    <w:jc w:val="right"/>
                    <w:jc w:val="center"/>
                  </w:pPr>
                  <w:r>
                    <w:t xml:space="preserve">114 (95.0%)</w:t>
                  </w:r>
                </w:p>
              </w:tc>
              <w:tc>
                <w:tcPr/>
                <w:p>
                  <w:pPr>
                    <w:pStyle w:val="Compact"/>
                    <w:jc w:val="right"/>
                    <w:jc w:val="center"/>
                  </w:pPr>
                  <w:r>
                    <w:t xml:space="preserve">2 (1.7%)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 (3.3%)</w:t>
                  </w:r>
                </w:p>
              </w:tc>
              <w:tc>
                <w:tcPr/>
                <w:p>
                  <w:pPr>
                    <w:pStyle w:val="Compact"/>
                    <w:jc w:val="right"/>
                    <w:jc w:val="center"/>
                  </w:pPr>
                  <w:r>
                    <w:t xml:space="preserve">120</w:t>
                  </w:r>
                </w:p>
              </w:tc>
            </w:tr>
          </w:tbl>
          <w:bookmarkEnd w:id="10"/>
          <w:p/>
        </w:tc>
      </w:tr>
    </w:tbl>
    <w:p>
      <w:r>
        <w:br w:type="page"/>
      </w:r>
    </w:p>
    <w:tbl>
      <w:tblPr>
        <w:tblStyle w:val="Table"/>
        <w:tblW w:type="pct" w:w="5000"/>
        <w:tblLayout w:type="fixed"/>
        <w:tblLook w:firstRow="0" w:lastRow="0" w:firstColumn="0" w:lastColumn="0" w:noHBand="0" w:noVBand="0" w:val="0000"/>
      </w:tblPr>
      <w:tblGrid>
        <w:gridCol w:w="7920"/>
      </w:tblGrid>
      <w:tr>
        <w:tc>
          <w:tcPr/>
          <w:bookmarkStart w:id="11" w:name="tbl-electivity"/>
          <w:p>
            <w:pPr>
              <w:jc w:val="center"/>
            </w:pPr>
            <w:pPr>
              <w:jc w:val="left"/>
              <w:spacing w:before="200"/>
              <w:pStyle w:val="ImageCaption"/>
            </w:pPr>
            <w:r>
              <w:t xml:space="preserve">Table S2: Jacobs’ electivity index for every raw material. Availability is the pooled gravel survey and use is the whole surface Quina scraper assemblage, as in the main text.</w:t>
            </w:r>
            <w:r>
              <w:t xml:space="preserve"> </w:t>
            </w:r>
            <w:r>
              <w:rPr>
                <w:i/>
                <w:iCs/>
              </w:rPr>
              <w:t xml:space="preserve">D</w:t>
            </w:r>
            <w:r>
              <w:t xml:space="preserve"> </w:t>
            </w:r>
            <w:r>
              <w:t xml:space="preserve">runs from −1, complete avoidance, through 0, use in proportion to availability, to +1, complete selection. † Andesite does not occur in the cobble survey, so its index takes the limiting value +1 and records non-local procurement rather than a measured preference.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Raw material</w:t>
                  </w:r>
                </w:p>
              </w:tc>
              <w:tc>
                <w:tcPr/>
                <w:p>
                  <w:pPr>
                    <w:pStyle w:val="Compact"/>
                    <w:jc w:val="right"/>
                    <w:jc w:val="center"/>
                  </w:pPr>
                  <w:r>
                    <w:t xml:space="preserve">Cobbles</w:t>
                  </w:r>
                  <w:r>
                    <w:t xml:space="preserve"> </w:t>
                  </w:r>
                  <w:r>
                    <w:rPr>
                      <w:i/>
                      <w:iCs/>
                    </w:rPr>
                    <w:t xml:space="preserve">n</w:t>
                  </w:r>
                </w:p>
              </w:tc>
              <w:tc>
                <w:tcPr/>
                <w:p>
                  <w:pPr>
                    <w:pStyle w:val="Compact"/>
                    <w:jc w:val="right"/>
                    <w:jc w:val="center"/>
                  </w:pPr>
                  <w:r>
                    <w:t xml:space="preserve">Cobbles %</w:t>
                  </w:r>
                </w:p>
              </w:tc>
              <w:tc>
                <w:tcPr/>
                <w:p>
                  <w:pPr>
                    <w:pStyle w:val="Compact"/>
                    <w:jc w:val="right"/>
                    <w:jc w:val="center"/>
                  </w:pPr>
                  <w:r>
                    <w:t xml:space="preserve">Scrapers</w:t>
                  </w:r>
                  <w:r>
                    <w:t xml:space="preserve"> </w:t>
                  </w:r>
                  <w:r>
                    <w:rPr>
                      <w:i/>
                      <w:iCs/>
                    </w:rPr>
                    <w:t xml:space="preserve">n</w:t>
                  </w:r>
                </w:p>
              </w:tc>
              <w:tc>
                <w:tcPr/>
                <w:p>
                  <w:pPr>
                    <w:pStyle w:val="Compact"/>
                    <w:jc w:val="right"/>
                    <w:jc w:val="center"/>
                  </w:pPr>
                  <w:r>
                    <w:t xml:space="preserve">Scrapers %</w:t>
                  </w:r>
                </w:p>
              </w:tc>
              <w:tc>
                <w:tcPr/>
                <w:p>
                  <w:pPr>
                    <w:pStyle w:val="Compact"/>
                    <w:jc w:val="right"/>
                    <w:jc w:val="center"/>
                  </w:pPr>
                  <w:r>
                    <w:rPr>
                      <w:i/>
                      <w:iCs/>
                    </w:rPr>
                    <w:t xml:space="preserve">D</w:t>
                  </w:r>
                </w:p>
              </w:tc>
            </w:tr>
            <w:tr>
              <w:tc>
                <w:tcPr/>
                <w:p>
                  <w:pPr>
                    <w:pStyle w:val="Compact"/>
                    <w:jc w:val="left"/>
                    <w:jc w:val="center"/>
                  </w:pPr>
                  <w:r>
                    <w:t xml:space="preserve">Trachyte</w:t>
                  </w:r>
                </w:p>
              </w:tc>
              <w:tc>
                <w:tcPr/>
                <w:p>
                  <w:pPr>
                    <w:pStyle w:val="Compact"/>
                    <w:jc w:val="right"/>
                    <w:jc w:val="center"/>
                  </w:pPr>
                  <w:r>
                    <w:t xml:space="preserve">129</w:t>
                  </w:r>
                </w:p>
              </w:tc>
              <w:tc>
                <w:tcPr/>
                <w:p>
                  <w:pPr>
                    <w:pStyle w:val="Compact"/>
                    <w:jc w:val="right"/>
                    <w:jc w:val="center"/>
                  </w:pPr>
                  <w:r>
                    <w:t xml:space="preserve">27.5</w:t>
                  </w:r>
                </w:p>
              </w:tc>
              <w:tc>
                <w:tcPr/>
                <w:p>
                  <w:pPr>
                    <w:pStyle w:val="Compact"/>
                    <w:jc w:val="right"/>
                    <w:jc w:val="center"/>
                  </w:pPr>
                  <w:r>
                    <w:t xml:space="preserve">159</w:t>
                  </w:r>
                </w:p>
              </w:tc>
              <w:tc>
                <w:tcPr/>
                <w:p>
                  <w:pPr>
                    <w:pStyle w:val="Compact"/>
                    <w:jc w:val="right"/>
                    <w:jc w:val="center"/>
                  </w:pPr>
                  <w:r>
                    <w:t xml:space="preserve">95.8</w:t>
                  </w:r>
                </w:p>
              </w:tc>
              <w:tc>
                <w:tcPr/>
                <w:p>
                  <w:pPr>
                    <w:pStyle w:val="Compact"/>
                    <w:jc w:val="right"/>
                    <w:jc w:val="center"/>
                  </w:pPr>
                  <w:r>
                    <w:t xml:space="preserve">0.97</w:t>
                  </w:r>
                </w:p>
              </w:tc>
            </w:tr>
            <w:tr>
              <w:tc>
                <w:tcPr/>
                <w:p>
                  <w:pPr>
                    <w:pStyle w:val="Compact"/>
                    <w:jc w:val="left"/>
                    <w:jc w:val="center"/>
                  </w:pPr>
                  <w:r>
                    <w:t xml:space="preserve">Sandstone</w:t>
                  </w:r>
                </w:p>
              </w:tc>
              <w:tc>
                <w:tcPr/>
                <w:p>
                  <w:pPr>
                    <w:pStyle w:val="Compact"/>
                    <w:jc w:val="right"/>
                    <w:jc w:val="center"/>
                  </w:pPr>
                  <w:r>
                    <w:t xml:space="preserve">327</w:t>
                  </w:r>
                </w:p>
              </w:tc>
              <w:tc>
                <w:tcPr/>
                <w:p>
                  <w:pPr>
                    <w:pStyle w:val="Compact"/>
                    <w:jc w:val="right"/>
                    <w:jc w:val="center"/>
                  </w:pPr>
                  <w:r>
                    <w:t xml:space="preserve">69.7</w:t>
                  </w:r>
                </w:p>
              </w:tc>
              <w:tc>
                <w:tcPr/>
                <w:p>
                  <w:pPr>
                    <w:pStyle w:val="Compact"/>
                    <w:jc w:val="right"/>
                    <w:jc w:val="center"/>
                  </w:pPr>
                  <w:r>
                    <w:t xml:space="preserve">3</w:t>
                  </w:r>
                </w:p>
              </w:tc>
              <w:tc>
                <w:tcPr/>
                <w:p>
                  <w:pPr>
                    <w:pStyle w:val="Compact"/>
                    <w:jc w:val="right"/>
                    <w:jc w:val="center"/>
                  </w:pPr>
                  <w:r>
                    <w:t xml:space="preserve">1.8</w:t>
                  </w:r>
                </w:p>
              </w:tc>
              <w:tc>
                <w:tcPr/>
                <w:p>
                  <w:pPr>
                    <w:pStyle w:val="Compact"/>
                    <w:jc w:val="right"/>
                    <w:jc w:val="center"/>
                  </w:pPr>
                  <w:r>
                    <w:t xml:space="preserve">-0.98</w:t>
                  </w:r>
                </w:p>
              </w:tc>
            </w:tr>
            <w:tr>
              <w:tc>
                <w:tcPr/>
                <w:p>
                  <w:pPr>
                    <w:pStyle w:val="Compact"/>
                    <w:jc w:val="left"/>
                    <w:jc w:val="center"/>
                  </w:pPr>
                  <w:r>
                    <w:t xml:space="preserve">Quartz</w:t>
                  </w:r>
                </w:p>
              </w:tc>
              <w:tc>
                <w:tcPr/>
                <w:p>
                  <w:pPr>
                    <w:pStyle w:val="Compact"/>
                    <w:jc w:val="right"/>
                    <w:jc w:val="center"/>
                  </w:pPr>
                  <w:r>
                    <w:t xml:space="preserve">3</w:t>
                  </w:r>
                </w:p>
              </w:tc>
              <w:tc>
                <w:tcPr/>
                <w:p>
                  <w:pPr>
                    <w:pStyle w:val="Compact"/>
                    <w:jc w:val="right"/>
                    <w:jc w:val="center"/>
                  </w:pPr>
                  <w:r>
                    <w:t xml:space="preserve">0.6</w:t>
                  </w:r>
                </w:p>
              </w:tc>
              <w:tc>
                <w:tcPr/>
                <w:p>
                  <w:pPr>
                    <w:pStyle w:val="Compact"/>
                    <w:jc w:val="right"/>
                    <w:jc w:val="center"/>
                  </w:pPr>
                  <w:r>
                    <w:t xml:space="preserve">0</w:t>
                  </w:r>
                </w:p>
              </w:tc>
              <w:tc>
                <w:tcPr/>
                <w:p>
                  <w:pPr>
                    <w:pStyle w:val="Compact"/>
                    <w:jc w:val="right"/>
                    <w:jc w:val="center"/>
                  </w:pPr>
                  <w:r>
                    <w:t xml:space="preserve">0.0</w:t>
                  </w:r>
                </w:p>
              </w:tc>
              <w:tc>
                <w:tcPr/>
                <w:p>
                  <w:pPr>
                    <w:pStyle w:val="Compact"/>
                    <w:jc w:val="right"/>
                    <w:jc w:val="center"/>
                  </w:pPr>
                  <w:r>
                    <w:t xml:space="preserve">-1.00</w:t>
                  </w:r>
                </w:p>
              </w:tc>
            </w:tr>
            <w:tr>
              <w:tc>
                <w:tcPr/>
                <w:p>
                  <w:pPr>
                    <w:pStyle w:val="Compact"/>
                    <w:jc w:val="left"/>
                    <w:jc w:val="center"/>
                  </w:pPr>
                  <w:r>
                    <w:t xml:space="preserve">Mudstone</w:t>
                  </w:r>
                </w:p>
              </w:tc>
              <w:tc>
                <w:tcPr/>
                <w:p>
                  <w:pPr>
                    <w:pStyle w:val="Compact"/>
                    <w:jc w:val="right"/>
                    <w:jc w:val="center"/>
                  </w:pPr>
                  <w:r>
                    <w:t xml:space="preserve">10</w:t>
                  </w:r>
                </w:p>
              </w:tc>
              <w:tc>
                <w:tcPr/>
                <w:p>
                  <w:pPr>
                    <w:pStyle w:val="Compact"/>
                    <w:jc w:val="right"/>
                    <w:jc w:val="center"/>
                  </w:pPr>
                  <w:r>
                    <w:t xml:space="preserve">2.1</w:t>
                  </w:r>
                </w:p>
              </w:tc>
              <w:tc>
                <w:tcPr/>
                <w:p>
                  <w:pPr>
                    <w:pStyle w:val="Compact"/>
                    <w:jc w:val="right"/>
                    <w:jc w:val="center"/>
                  </w:pPr>
                  <w:r>
                    <w:t xml:space="preserve">0</w:t>
                  </w:r>
                </w:p>
              </w:tc>
              <w:tc>
                <w:tcPr/>
                <w:p>
                  <w:pPr>
                    <w:pStyle w:val="Compact"/>
                    <w:jc w:val="right"/>
                    <w:jc w:val="center"/>
                  </w:pPr>
                  <w:r>
                    <w:t xml:space="preserve">0.0</w:t>
                  </w:r>
                </w:p>
              </w:tc>
              <w:tc>
                <w:tcPr/>
                <w:p>
                  <w:pPr>
                    <w:pStyle w:val="Compact"/>
                    <w:jc w:val="right"/>
                    <w:jc w:val="center"/>
                  </w:pPr>
                  <w:r>
                    <w:t xml:space="preserve">-1.00</w:t>
                  </w:r>
                </w:p>
              </w:tc>
            </w:tr>
            <w:tr>
              <w:tc>
                <w:tcPr/>
                <w:p>
                  <w:pPr>
                    <w:pStyle w:val="Compact"/>
                    <w:jc w:val="left"/>
                    <w:jc w:val="center"/>
                  </w:pPr>
                  <w:r>
                    <w:t xml:space="preserve">Andesite†</w:t>
                  </w:r>
                </w:p>
              </w:tc>
              <w:tc>
                <w:tcPr/>
                <w:p>
                  <w:pPr>
                    <w:pStyle w:val="Compact"/>
                    <w:jc w:val="right"/>
                    <w:jc w:val="center"/>
                  </w:pPr>
                  <w:r>
                    <w:t xml:space="preserve">0</w:t>
                  </w:r>
                </w:p>
              </w:tc>
              <w:tc>
                <w:tcPr/>
                <w:p>
                  <w:pPr>
                    <w:pStyle w:val="Compact"/>
                    <w:jc w:val="right"/>
                    <w:jc w:val="center"/>
                  </w:pPr>
                  <w:r>
                    <w:t xml:space="preserve">0.0</w:t>
                  </w:r>
                </w:p>
              </w:tc>
              <w:tc>
                <w:tcPr/>
                <w:p>
                  <w:pPr>
                    <w:pStyle w:val="Compact"/>
                    <w:jc w:val="right"/>
                    <w:jc w:val="center"/>
                  </w:pPr>
                  <w:r>
                    <w:t xml:space="preserve">4</w:t>
                  </w:r>
                </w:p>
              </w:tc>
              <w:tc>
                <w:tcPr/>
                <w:p>
                  <w:pPr>
                    <w:pStyle w:val="Compact"/>
                    <w:jc w:val="right"/>
                    <w:jc w:val="center"/>
                  </w:pPr>
                  <w:r>
                    <w:t xml:space="preserve">2.4</w:t>
                  </w:r>
                </w:p>
              </w:tc>
              <w:tc>
                <w:tcPr/>
                <w:p>
                  <w:pPr>
                    <w:pStyle w:val="Compact"/>
                    <w:jc w:val="right"/>
                    <w:jc w:val="center"/>
                  </w:pPr>
                  <w:r>
                    <w:t xml:space="preserve">1.00</w:t>
                  </w:r>
                </w:p>
              </w:tc>
            </w:tr>
            <w:tr>
              <w:tc>
                <w:tcPr/>
                <w:p>
                  <w:pPr>
                    <w:pStyle w:val="Compact"/>
                    <w:jc w:val="left"/>
                    <w:jc w:val="center"/>
                  </w:pPr>
                  <w:r>
                    <w:rPr>
                      <w:b/>
                      <w:bCs/>
                    </w:rPr>
                    <w:t xml:space="preserve">Total</w:t>
                  </w:r>
                </w:p>
              </w:tc>
              <w:tc>
                <w:tcPr/>
                <w:p>
                  <w:pPr>
                    <w:pStyle w:val="Compact"/>
                    <w:jc w:val="right"/>
                    <w:jc w:val="center"/>
                  </w:pPr>
                  <w:r>
                    <w:t xml:space="preserve">469</w:t>
                  </w:r>
                </w:p>
              </w:tc>
              <w:tc>
                <w:tcPr/>
                <w:p>
                  <w:pPr>
                    <w:pStyle w:val="Compact"/>
                    <w:jc w:val="right"/>
                    <w:jc w:val="center"/>
                  </w:pPr>
                  <w:r>
                    <w:t xml:space="preserve">100.0</w:t>
                  </w:r>
                </w:p>
              </w:tc>
              <w:tc>
                <w:tcPr/>
                <w:p>
                  <w:pPr>
                    <w:pStyle w:val="Compact"/>
                    <w:jc w:val="right"/>
                    <w:jc w:val="center"/>
                  </w:pPr>
                  <w:r>
                    <w:t xml:space="preserve">166</w:t>
                  </w:r>
                </w:p>
              </w:tc>
              <w:tc>
                <w:tcPr/>
                <w:p>
                  <w:pPr>
                    <w:pStyle w:val="Compact"/>
                    <w:jc w:val="right"/>
                    <w:jc w:val="center"/>
                  </w:pPr>
                  <w:r>
                    <w:t xml:space="preserve">100.0</w:t>
                  </w:r>
                </w:p>
              </w:tc>
              <w:tc>
                <w:tcPr/>
                <w:p>
                  <w:pPr>
                    <w:pStyle w:val="Compact"/>
                  </w:pPr>
                </w:p>
              </w:tc>
            </w:tr>
          </w:tbl>
          <w:bookmarkEnd w:id="11"/>
          <w:p/>
        </w:tc>
      </w:tr>
    </w:tbl>
    <w:p>
      <w:r>
        <w:br w:type="page"/>
      </w:r>
    </w:p>
    <w:tbl>
      <w:tblPr>
        <w:tblStyle w:val="Table"/>
        <w:tblW w:type="pct" w:w="5000"/>
        <w:tblLayout w:type="fixed"/>
        <w:tblLook w:firstRow="0" w:lastRow="0" w:firstColumn="0" w:lastColumn="0" w:noHBand="0" w:noVBand="0" w:val="0000"/>
      </w:tblPr>
      <w:tblGrid>
        <w:gridCol w:w="7920"/>
      </w:tblGrid>
      <w:tr>
        <w:tc>
          <w:tcPr/>
          <w:bookmarkStart w:id="12" w:name="tbl-rawmat-permanova"/>
          <w:p>
            <w:pPr>
              <w:jc w:val="center"/>
            </w:pPr>
            <w:pPr>
              <w:jc w:val="left"/>
              <w:spacing w:before="200"/>
              <w:pStyle w:val="ImageCaption"/>
            </w:pPr>
            <w:r>
              <w:t xml:space="preserve">Table S3: PERMANOVA and PERMDISP on raw material composition, on Bray–Curtis dissimilarities with 9,999 permutations. Sums of squares, degrees of freedom and residual degrees of freedom are those of the PERMANOVA; the last two columns give the pseudo-</w:t>
            </w:r>
            <w:r>
              <w:rPr>
                <w:i/>
                <w:iCs/>
              </w:rPr>
              <w:t xml:space="preserve">F</w:t>
            </w:r>
            <w:r>
              <w:t xml:space="preserve"> </w:t>
            </w:r>
            <w:r>
              <w:t xml:space="preserve">and</w:t>
            </w:r>
            <w:r>
              <w:t xml:space="preserve"> </w:t>
            </w:r>
            <w:r>
              <w:rPr>
                <w:i/>
                <w:iCs/>
              </w:rPr>
              <w:t xml:space="preserve">p</w:t>
            </w:r>
            <w:r>
              <w:t xml:space="preserve"> </w:t>
            </w:r>
            <w:r>
              <w:t xml:space="preserve">of the test of homogeneity of dispersion on the same dissimilarity matrix. The unit is the individual cobble in the first panel and the individual artefact in the second. The two tests are read together: on the gravel bars both the position of the centroid and the spread about it differ between sampling points and between valleys, whereas among the artefacts neither differs at either scale, so the uniformity of raw material selection is not an artefact of unequal dispersion.</w:t>
            </w:r>
          </w:p>
          <w:tbl>
            <w:tblPr>
              <w:tblStyle w:val="Table"/>
              <w:tblW w:type="pct" w:w="5000"/>
              <w:tblLayout w:type="fixed"/>
              <w:tblLook w:firstRow="1" w:lastRow="0" w:firstColumn="0" w:lastColumn="0" w:noHBand="0" w:noVBand="0" w:val="0020"/>
            </w:tblPr>
            <w:tblGrid>
              <w:gridCol w:w="3046"/>
              <w:gridCol w:w="533"/>
              <w:gridCol w:w="456"/>
              <w:gridCol w:w="456"/>
              <w:gridCol w:w="837"/>
              <w:gridCol w:w="609"/>
              <w:gridCol w:w="990"/>
              <w:gridCol w:w="990"/>
            </w:tblGrid>
            <w:tr>
              <w:trPr>
                <w:tblHeader w:val="on"/>
              </w:trPr>
              <w:tc>
                <w:tcPr/>
                <w:p>
                  <w:pPr>
                    <w:pStyle w:val="Compact"/>
                    <w:jc w:val="left"/>
                    <w:jc w:val="center"/>
                  </w:pPr>
                  <w:r>
                    <w:t xml:space="preserve">Model</w:t>
                  </w:r>
                </w:p>
              </w:tc>
              <w:tc>
                <w:tcPr/>
                <w:p>
                  <w:pPr>
                    <w:pStyle w:val="Compact"/>
                    <w:jc w:val="right"/>
                    <w:jc w:val="center"/>
                  </w:pPr>
                  <w:r>
                    <w:rPr>
                      <w:i/>
                      <w:iCs/>
                    </w:rPr>
                    <w:t xml:space="preserve">df</w:t>
                  </w:r>
                </w:p>
              </w:tc>
              <w:tc>
                <w:tcPr/>
                <w:p>
                  <w:pPr>
                    <w:pStyle w:val="Compact"/>
                    <w:jc w:val="right"/>
                    <w:jc w:val="center"/>
                  </w:pPr>
                  <w:r>
                    <w:t xml:space="preserve">SS</w:t>
                  </w:r>
                </w:p>
              </w:tc>
              <w:tc>
                <w:tcPr/>
                <w:p>
                  <w:pPr>
                    <w:pStyle w:val="Compact"/>
                    <w:jc w:val="right"/>
                    <w:jc w:val="center"/>
                  </w:pPr>
                  <w:r>
                    <w:rPr>
                      <w:i/>
                      <w:iCs/>
                    </w:rPr>
                    <w:t xml:space="preserve">R</w:t>
                  </w:r>
                  <w:r>
                    <w:t xml:space="preserve">²</w:t>
                  </w:r>
                </w:p>
              </w:tc>
              <w:tc>
                <w:tcPr/>
                <w:p>
                  <w:pPr>
                    <w:pStyle w:val="Compact"/>
                    <w:jc w:val="right"/>
                    <w:jc w:val="center"/>
                  </w:pPr>
                  <w:r>
                    <w:t xml:space="preserve">pseudo-</w:t>
                  </w:r>
                  <w:r>
                    <w:rPr>
                      <w:i/>
                      <w:iCs/>
                    </w:rPr>
                    <w:t xml:space="preserve">F</w:t>
                  </w:r>
                </w:p>
              </w:tc>
              <w:tc>
                <w:tcPr/>
                <w:p>
                  <w:pPr>
                    <w:pStyle w:val="Compact"/>
                    <w:jc w:val="right"/>
                    <w:jc w:val="center"/>
                  </w:pPr>
                  <w:r>
                    <w:rPr>
                      <w:i/>
                      <w:iCs/>
                    </w:rPr>
                    <w:t xml:space="preserve">p</w:t>
                  </w:r>
                </w:p>
              </w:tc>
              <w:tc>
                <w:tcPr/>
                <w:p>
                  <w:pPr>
                    <w:pStyle w:val="Compact"/>
                    <w:jc w:val="right"/>
                    <w:jc w:val="center"/>
                  </w:pPr>
                  <w:r>
                    <w:t xml:space="preserve">PERMDISP</w:t>
                  </w:r>
                  <w:r>
                    <w:t xml:space="preserve"> </w:t>
                  </w:r>
                  <w:r>
                    <w:rPr>
                      <w:i/>
                      <w:iCs/>
                    </w:rPr>
                    <w:t xml:space="preserve">F</w:t>
                  </w:r>
                </w:p>
              </w:tc>
              <w:tc>
                <w:tcPr/>
                <w:p>
                  <w:pPr>
                    <w:pStyle w:val="Compact"/>
                    <w:jc w:val="right"/>
                    <w:jc w:val="center"/>
                  </w:pPr>
                  <w:r>
                    <w:t xml:space="preserve">PERMDISP</w:t>
                  </w:r>
                  <w:r>
                    <w:t xml:space="preserve"> </w:t>
                  </w:r>
                  <w:r>
                    <w:rPr>
                      <w:i/>
                      <w:iCs/>
                    </w:rPr>
                    <w:t xml:space="preserve">p</w:t>
                  </w:r>
                </w:p>
              </w:tc>
            </w:tr>
            <w:tr>
              <w:tc>
                <w:tcPr/>
                <w:p>
                  <w:pPr>
                    <w:pStyle w:val="Compact"/>
                    <w:jc w:val="left"/>
                    <w:jc w:val="center"/>
                  </w:pPr>
                  <w:r>
                    <w:rPr>
                      <w:b/>
                      <w:bCs/>
                    </w:rPr>
                    <w:t xml:space="preserve">Available river cobbles (</w:t>
                  </w:r>
                  <w:r>
                    <w:rPr>
                      <w:b/>
                      <w:bCs/>
                      <w:i/>
                      <w:iCs/>
                    </w:rPr>
                    <w:t xml:space="preserve">n</w:t>
                  </w:r>
                  <w:r>
                    <w:rPr>
                      <w:b/>
                      <w:bCs/>
                    </w:rPr>
                    <w:t xml:space="preserve"> </w:t>
                  </w:r>
                  <w:r>
                    <w:rPr>
                      <w:b/>
                      <w:bCs/>
                    </w:rPr>
                    <w:t xml:space="preserve">= 469)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 sampling point</w:t>
                  </w:r>
                </w:p>
              </w:tc>
              <w:tc>
                <w:tcPr/>
                <w:p>
                  <w:pPr>
                    <w:pStyle w:val="Compact"/>
                    <w:jc w:val="right"/>
                    <w:jc w:val="center"/>
                  </w:pPr>
                  <w:r>
                    <w:t xml:space="preserve">4, 464</w:t>
                  </w:r>
                </w:p>
              </w:tc>
              <w:tc>
                <w:tcPr/>
                <w:p>
                  <w:pPr>
                    <w:pStyle w:val="Compact"/>
                    <w:jc w:val="right"/>
                    <w:jc w:val="center"/>
                  </w:pPr>
                  <w:r>
                    <w:t xml:space="preserve">11.07</w:t>
                  </w:r>
                </w:p>
              </w:tc>
              <w:tc>
                <w:tcPr/>
                <w:p>
                  <w:pPr>
                    <w:pStyle w:val="Compact"/>
                    <w:jc w:val="right"/>
                    <w:jc w:val="center"/>
                  </w:pPr>
                  <w:r>
                    <w:t xml:space="preserve">0.108</w:t>
                  </w:r>
                </w:p>
              </w:tc>
              <w:tc>
                <w:tcPr/>
                <w:p>
                  <w:pPr>
                    <w:pStyle w:val="Compact"/>
                    <w:jc w:val="right"/>
                    <w:jc w:val="center"/>
                  </w:pPr>
                  <w:r>
                    <w:t xml:space="preserve">14.02</w:t>
                  </w:r>
                </w:p>
              </w:tc>
              <w:tc>
                <w:tcPr/>
                <w:p>
                  <w:pPr>
                    <w:pStyle w:val="Compact"/>
                    <w:jc w:val="right"/>
                    <w:jc w:val="center"/>
                  </w:pPr>
                  <w:r>
                    <w:t xml:space="preserve">&lt; 0.001</w:t>
                  </w:r>
                </w:p>
              </w:tc>
              <w:tc>
                <w:tcPr/>
                <w:p>
                  <w:pPr>
                    <w:pStyle w:val="Compact"/>
                    <w:jc w:val="right"/>
                    <w:jc w:val="center"/>
                  </w:pPr>
                  <w:r>
                    <w:t xml:space="preserve">18.19</w:t>
                  </w:r>
                </w:p>
              </w:tc>
              <w:tc>
                <w:tcPr/>
                <w:p>
                  <w:pPr>
                    <w:pStyle w:val="Compact"/>
                    <w:jc w:val="right"/>
                    <w:jc w:val="center"/>
                  </w:pPr>
                  <w:r>
                    <w:t xml:space="preserve">&lt; 0.001</w:t>
                  </w:r>
                </w:p>
              </w:tc>
            </w:tr>
            <w:tr>
              <w:tc>
                <w:tcPr/>
                <w:p>
                  <w:pPr>
                    <w:pStyle w:val="Compact"/>
                    <w:jc w:val="left"/>
                    <w:jc w:val="center"/>
                  </w:pPr>
                  <w:r>
                    <w:t xml:space="preserve">   ~ valley</w:t>
                  </w:r>
                </w:p>
              </w:tc>
              <w:tc>
                <w:tcPr/>
                <w:p>
                  <w:pPr>
                    <w:pStyle w:val="Compact"/>
                    <w:jc w:val="right"/>
                    <w:jc w:val="center"/>
                  </w:pPr>
                  <w:r>
                    <w:t xml:space="preserve">2, 466</w:t>
                  </w:r>
                </w:p>
              </w:tc>
              <w:tc>
                <w:tcPr/>
                <w:p>
                  <w:pPr>
                    <w:pStyle w:val="Compact"/>
                    <w:jc w:val="right"/>
                    <w:jc w:val="center"/>
                  </w:pPr>
                  <w:r>
                    <w:t xml:space="preserve">10.84</w:t>
                  </w:r>
                </w:p>
              </w:tc>
              <w:tc>
                <w:tcPr/>
                <w:p>
                  <w:pPr>
                    <w:pStyle w:val="Compact"/>
                    <w:jc w:val="right"/>
                    <w:jc w:val="center"/>
                  </w:pPr>
                  <w:r>
                    <w:t xml:space="preserve">0.106</w:t>
                  </w:r>
                </w:p>
              </w:tc>
              <w:tc>
                <w:tcPr/>
                <w:p>
                  <w:pPr>
                    <w:pStyle w:val="Compact"/>
                    <w:jc w:val="right"/>
                    <w:jc w:val="center"/>
                  </w:pPr>
                  <w:r>
                    <w:t xml:space="preserve">27.53</w:t>
                  </w:r>
                </w:p>
              </w:tc>
              <w:tc>
                <w:tcPr/>
                <w:p>
                  <w:pPr>
                    <w:pStyle w:val="Compact"/>
                    <w:jc w:val="right"/>
                    <w:jc w:val="center"/>
                  </w:pPr>
                  <w:r>
                    <w:t xml:space="preserve">&lt; 0.001</w:t>
                  </w:r>
                </w:p>
              </w:tc>
              <w:tc>
                <w:tcPr/>
                <w:p>
                  <w:pPr>
                    <w:pStyle w:val="Compact"/>
                    <w:jc w:val="right"/>
                    <w:jc w:val="center"/>
                  </w:pPr>
                  <w:r>
                    <w:t xml:space="preserve">25.48</w:t>
                  </w:r>
                </w:p>
              </w:tc>
              <w:tc>
                <w:tcPr/>
                <w:p>
                  <w:pPr>
                    <w:pStyle w:val="Compact"/>
                    <w:jc w:val="right"/>
                    <w:jc w:val="center"/>
                  </w:pPr>
                  <w:r>
                    <w:t xml:space="preserve">&lt; 0.001</w:t>
                  </w:r>
                </w:p>
              </w:tc>
            </w:tr>
            <w:tr>
              <w:tc>
                <w:tcPr/>
                <w:p>
                  <w:pPr>
                    <w:pStyle w:val="Compact"/>
                    <w:jc w:val="left"/>
                    <w:jc w:val="center"/>
                  </w:pPr>
                  <w:r>
                    <w:rPr>
                      <w:b/>
                      <w:bCs/>
                    </w:rPr>
                    <w:t xml:space="preserve">Surface Quina scrapers (</w:t>
                  </w:r>
                  <w:r>
                    <w:rPr>
                      <w:b/>
                      <w:bCs/>
                      <w:i/>
                      <w:iCs/>
                    </w:rPr>
                    <w:t xml:space="preserve">n</w:t>
                  </w:r>
                  <w:r>
                    <w:rPr>
                      <w:b/>
                      <w:bCs/>
                    </w:rPr>
                    <w:t xml:space="preserve"> </w:t>
                  </w:r>
                  <w:r>
                    <w:rPr>
                      <w:b/>
                      <w:bCs/>
                    </w:rPr>
                    <w:t xml:space="preserve">= 163)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 basin</w:t>
                  </w:r>
                </w:p>
              </w:tc>
              <w:tc>
                <w:tcPr/>
                <w:p>
                  <w:pPr>
                    <w:pStyle w:val="Compact"/>
                    <w:jc w:val="right"/>
                    <w:jc w:val="center"/>
                  </w:pPr>
                  <w:r>
                    <w:t xml:space="preserve">1, 161</w:t>
                  </w:r>
                </w:p>
              </w:tc>
              <w:tc>
                <w:tcPr/>
                <w:p>
                  <w:pPr>
                    <w:pStyle w:val="Compact"/>
                    <w:jc w:val="right"/>
                    <w:jc w:val="center"/>
                  </w:pPr>
                  <w:r>
                    <w:t xml:space="preserve">0.03</w:t>
                  </w:r>
                </w:p>
              </w:tc>
              <w:tc>
                <w:tcPr/>
                <w:p>
                  <w:pPr>
                    <w:pStyle w:val="Compact"/>
                    <w:jc w:val="right"/>
                    <w:jc w:val="center"/>
                  </w:pPr>
                  <w:r>
                    <w:t xml:space="preserve">0.004</w:t>
                  </w:r>
                </w:p>
              </w:tc>
              <w:tc>
                <w:tcPr/>
                <w:p>
                  <w:pPr>
                    <w:pStyle w:val="Compact"/>
                    <w:jc w:val="right"/>
                    <w:jc w:val="center"/>
                  </w:pPr>
                  <w:r>
                    <w:t xml:space="preserve">0.71</w:t>
                  </w:r>
                </w:p>
              </w:tc>
              <w:tc>
                <w:tcPr/>
                <w:p>
                  <w:pPr>
                    <w:pStyle w:val="Compact"/>
                    <w:jc w:val="right"/>
                    <w:jc w:val="center"/>
                  </w:pPr>
                  <w:r>
                    <w:t xml:space="preserve">0.549</w:t>
                  </w:r>
                </w:p>
              </w:tc>
              <w:tc>
                <w:tcPr/>
                <w:p>
                  <w:pPr>
                    <w:pStyle w:val="Compact"/>
                    <w:jc w:val="right"/>
                    <w:jc w:val="center"/>
                  </w:pPr>
                  <w:r>
                    <w:t xml:space="preserve">0.55</w:t>
                  </w:r>
                </w:p>
              </w:tc>
              <w:tc>
                <w:tcPr/>
                <w:p>
                  <w:pPr>
                    <w:pStyle w:val="Compact"/>
                    <w:jc w:val="right"/>
                    <w:jc w:val="center"/>
                  </w:pPr>
                  <w:r>
                    <w:t xml:space="preserve">0.533</w:t>
                  </w:r>
                </w:p>
              </w:tc>
            </w:tr>
            <w:tr>
              <w:tc>
                <w:tcPr/>
                <w:p>
                  <w:pPr>
                    <w:pStyle w:val="Compact"/>
                    <w:jc w:val="left"/>
                    <w:jc w:val="center"/>
                  </w:pPr>
                  <w:r>
                    <w:t xml:space="preserve">   ~ valley</w:t>
                  </w:r>
                </w:p>
              </w:tc>
              <w:tc>
                <w:tcPr/>
                <w:p>
                  <w:pPr>
                    <w:pStyle w:val="Compact"/>
                    <w:jc w:val="right"/>
                    <w:jc w:val="center"/>
                  </w:pPr>
                  <w:r>
                    <w:t xml:space="preserve">2, 160</w:t>
                  </w:r>
                </w:p>
              </w:tc>
              <w:tc>
                <w:tcPr/>
                <w:p>
                  <w:pPr>
                    <w:pStyle w:val="Compact"/>
                    <w:jc w:val="right"/>
                    <w:jc w:val="center"/>
                  </w:pPr>
                  <w:r>
                    <w:t xml:space="preserve">0.03</w:t>
                  </w:r>
                </w:p>
              </w:tc>
              <w:tc>
                <w:tcPr/>
                <w:p>
                  <w:pPr>
                    <w:pStyle w:val="Compact"/>
                    <w:jc w:val="right"/>
                    <w:jc w:val="center"/>
                  </w:pPr>
                  <w:r>
                    <w:t xml:space="preserve">0.005</w:t>
                  </w:r>
                </w:p>
              </w:tc>
              <w:tc>
                <w:tcPr/>
                <w:p>
                  <w:pPr>
                    <w:pStyle w:val="Compact"/>
                    <w:jc w:val="right"/>
                    <w:jc w:val="center"/>
                  </w:pPr>
                  <w:r>
                    <w:t xml:space="preserve">0.40</w:t>
                  </w:r>
                </w:p>
              </w:tc>
              <w:tc>
                <w:tcPr/>
                <w:p>
                  <w:pPr>
                    <w:pStyle w:val="Compact"/>
                    <w:jc w:val="right"/>
                    <w:jc w:val="center"/>
                  </w:pPr>
                  <w:r>
                    <w:t xml:space="preserve">0.714</w:t>
                  </w:r>
                </w:p>
              </w:tc>
              <w:tc>
                <w:tcPr/>
                <w:p>
                  <w:pPr>
                    <w:pStyle w:val="Compact"/>
                    <w:jc w:val="right"/>
                    <w:jc w:val="center"/>
                  </w:pPr>
                  <w:r>
                    <w:t xml:space="preserve">0.32</w:t>
                  </w:r>
                </w:p>
              </w:tc>
              <w:tc>
                <w:tcPr/>
                <w:p>
                  <w:pPr>
                    <w:pStyle w:val="Compact"/>
                    <w:jc w:val="right"/>
                    <w:jc w:val="center"/>
                  </w:pPr>
                  <w:r>
                    <w:t xml:space="preserve">0.633</w:t>
                  </w:r>
                </w:p>
              </w:tc>
            </w:tr>
          </w:tbl>
          <w:bookmarkEnd w:id="12"/>
          <w:p/>
        </w:tc>
      </w:tr>
    </w:tbl>
    <w:p>
      <w:r>
        <w:br w:type="page"/>
      </w:r>
    </w:p>
    <w:tbl>
      <w:tblPr>
        <w:tblStyle w:val="Table"/>
        <w:tblW w:type="pct" w:w="5000"/>
        <w:tblLayout w:type="fixed"/>
        <w:tblLook w:firstRow="0" w:lastRow="0" w:firstColumn="0" w:lastColumn="0" w:noHBand="0" w:noVBand="0" w:val="0000"/>
      </w:tblPr>
      <w:tblGrid>
        <w:gridCol w:w="7920"/>
      </w:tblGrid>
      <w:tr>
        <w:tc>
          <w:tcPr/>
          <w:bookmarkStart w:id="13" w:name="tbl-clast-size"/>
          <w:p>
            <w:pPr>
              <w:jc w:val="center"/>
            </w:pPr>
            <w:pPr>
              <w:jc w:val="left"/>
              <w:spacing w:before="200"/>
              <w:pStyle w:val="ImageCaption"/>
            </w:pPr>
            <w:r>
              <w:t xml:space="preserve">Table S4: Size of the surveyed river cobbles by lithology. Size is the geometric mean of length, breadth and thickness in millimetres, and GM is the geometric mean of that quantity within each lithology. Sandstone is the harmonised category used throughout the paper, combining the quartz sandstone and coarse sandstone of the field record. Trachyte and sandstone, the two lithologies present in quantity, were compared with a Mann–Whitney rank sum test:</w:t>
            </w:r>
            <w:r>
              <w:t xml:space="preserve"> </w:t>
            </w:r>
            <w:r>
              <w:rPr>
                <w:i/>
                <w:iCs/>
              </w:rPr>
              <w:t xml:space="preserve">U</w:t>
            </w:r>
            <w:r>
              <w:t xml:space="preserve"> </w:t>
            </w:r>
            <w:r>
              <w:t xml:space="preserve">= 16864,</w:t>
            </w:r>
            <w:r>
              <w:t xml:space="preserve"> </w:t>
            </w:r>
            <w:r>
              <w:rPr>
                <w:i/>
                <w:iCs/>
              </w:rPr>
              <w:t xml:space="preserve">p</w:t>
            </w:r>
            <w:r>
              <w:t xml:space="preserve"> </w:t>
            </w:r>
            <w:r>
              <w:t xml:space="preserve">&lt; 0.001, rank-biserial</w:t>
            </w:r>
            <w:r>
              <w:t xml:space="preserve"> </w:t>
            </w:r>
            <w:r>
              <w:rPr>
                <w:i/>
                <w:iCs/>
              </w:rPr>
              <w:t xml:space="preserve">r</w:t>
            </w:r>
            <w:r>
              <w:t xml:space="preserve"> </w:t>
            </w:r>
            <w:r>
              <w:t xml:space="preserve">= 0.16. Quartz and mudstone occur in numbers too small to support a comparison and are listed for completeness; andesite does not occur in the survey.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Raw material</w:t>
                  </w:r>
                </w:p>
              </w:tc>
              <w:tc>
                <w:tcPr/>
                <w:p>
                  <w:pPr>
                    <w:pStyle w:val="Compact"/>
                    <w:jc w:val="right"/>
                    <w:jc w:val="center"/>
                  </w:pPr>
                  <w:r>
                    <w:rPr>
                      <w:i/>
                      <w:iCs/>
                    </w:rPr>
                    <w:t xml:space="preserve">n</w:t>
                  </w:r>
                </w:p>
              </w:tc>
              <w:tc>
                <w:tcPr/>
                <w:p>
                  <w:pPr>
                    <w:pStyle w:val="Compact"/>
                    <w:jc w:val="right"/>
                    <w:jc w:val="center"/>
                  </w:pPr>
                  <w:r>
                    <w:t xml:space="preserve">GM (mm)</w:t>
                  </w:r>
                </w:p>
              </w:tc>
              <w:tc>
                <w:tcPr/>
                <w:p>
                  <w:pPr>
                    <w:pStyle w:val="Compact"/>
                    <w:jc w:val="right"/>
                    <w:jc w:val="center"/>
                  </w:pPr>
                  <w:r>
                    <w:t xml:space="preserve">Median (mm)</w:t>
                  </w:r>
                </w:p>
              </w:tc>
              <w:tc>
                <w:tcPr/>
                <w:p>
                  <w:pPr>
                    <w:pStyle w:val="Compact"/>
                    <w:jc w:val="right"/>
                    <w:jc w:val="center"/>
                  </w:pPr>
                  <w:r>
                    <w:t xml:space="preserve">Q1–Q3 (mm)</w:t>
                  </w:r>
                </w:p>
              </w:tc>
              <w:tc>
                <w:tcPr/>
                <w:p>
                  <w:pPr>
                    <w:pStyle w:val="Compact"/>
                    <w:jc w:val="right"/>
                    <w:jc w:val="center"/>
                  </w:pPr>
                  <w:r>
                    <w:t xml:space="preserve">Range (mm)</w:t>
                  </w:r>
                </w:p>
              </w:tc>
            </w:tr>
            <w:tr>
              <w:tc>
                <w:tcPr/>
                <w:p>
                  <w:pPr>
                    <w:pStyle w:val="Compact"/>
                    <w:jc w:val="left"/>
                    <w:jc w:val="center"/>
                  </w:pPr>
                  <w:r>
                    <w:t xml:space="preserve">Trachyte</w:t>
                  </w:r>
                </w:p>
              </w:tc>
              <w:tc>
                <w:tcPr/>
                <w:p>
                  <w:pPr>
                    <w:pStyle w:val="Compact"/>
                    <w:jc w:val="right"/>
                    <w:jc w:val="center"/>
                  </w:pPr>
                  <w:r>
                    <w:t xml:space="preserve">129</w:t>
                  </w:r>
                </w:p>
              </w:tc>
              <w:tc>
                <w:tcPr/>
                <w:p>
                  <w:pPr>
                    <w:pStyle w:val="Compact"/>
                    <w:jc w:val="right"/>
                    <w:jc w:val="center"/>
                  </w:pPr>
                  <w:r>
                    <w:t xml:space="preserve">62.0</w:t>
                  </w:r>
                </w:p>
              </w:tc>
              <w:tc>
                <w:tcPr/>
                <w:p>
                  <w:pPr>
                    <w:pStyle w:val="Compact"/>
                    <w:jc w:val="right"/>
                    <w:jc w:val="center"/>
                  </w:pPr>
                  <w:r>
                    <w:t xml:space="preserve">55.9</w:t>
                  </w:r>
                </w:p>
              </w:tc>
              <w:tc>
                <w:tcPr/>
                <w:p>
                  <w:pPr>
                    <w:pStyle w:val="Compact"/>
                    <w:jc w:val="right"/>
                    <w:jc w:val="center"/>
                  </w:pPr>
                  <w:r>
                    <w:t xml:space="preserve">44.4–77.2</w:t>
                  </w:r>
                </w:p>
              </w:tc>
              <w:tc>
                <w:tcPr/>
                <w:p>
                  <w:pPr>
                    <w:pStyle w:val="Compact"/>
                    <w:jc w:val="right"/>
                    <w:jc w:val="center"/>
                  </w:pPr>
                  <w:r>
                    <w:t xml:space="preserve">28.3–388.2</w:t>
                  </w:r>
                </w:p>
              </w:tc>
            </w:tr>
            <w:tr>
              <w:tc>
                <w:tcPr/>
                <w:p>
                  <w:pPr>
                    <w:pStyle w:val="Compact"/>
                    <w:jc w:val="left"/>
                    <w:jc w:val="center"/>
                  </w:pPr>
                  <w:r>
                    <w:t xml:space="preserve">Sandstone</w:t>
                  </w:r>
                </w:p>
              </w:tc>
              <w:tc>
                <w:tcPr/>
                <w:p>
                  <w:pPr>
                    <w:pStyle w:val="Compact"/>
                    <w:jc w:val="right"/>
                    <w:jc w:val="center"/>
                  </w:pPr>
                  <w:r>
                    <w:t xml:space="preserve">327</w:t>
                  </w:r>
                </w:p>
              </w:tc>
              <w:tc>
                <w:tcPr/>
                <w:p>
                  <w:pPr>
                    <w:pStyle w:val="Compact"/>
                    <w:jc w:val="right"/>
                    <w:jc w:val="center"/>
                  </w:pPr>
                  <w:r>
                    <w:t xml:space="preserve">52.2</w:t>
                  </w:r>
                </w:p>
              </w:tc>
              <w:tc>
                <w:tcPr/>
                <w:p>
                  <w:pPr>
                    <w:pStyle w:val="Compact"/>
                    <w:jc w:val="right"/>
                    <w:jc w:val="center"/>
                  </w:pPr>
                  <w:r>
                    <w:t xml:space="preserve">50.6</w:t>
                  </w:r>
                </w:p>
              </w:tc>
              <w:tc>
                <w:tcPr/>
                <w:p>
                  <w:pPr>
                    <w:pStyle w:val="Compact"/>
                    <w:jc w:val="right"/>
                    <w:jc w:val="center"/>
                  </w:pPr>
                  <w:r>
                    <w:t xml:space="preserve">38.9–66.9</w:t>
                  </w:r>
                </w:p>
              </w:tc>
              <w:tc>
                <w:tcPr/>
                <w:p>
                  <w:pPr>
                    <w:pStyle w:val="Compact"/>
                    <w:jc w:val="right"/>
                    <w:jc w:val="center"/>
                  </w:pPr>
                  <w:r>
                    <w:t xml:space="preserve">20.5–152.4</w:t>
                  </w:r>
                </w:p>
              </w:tc>
            </w:tr>
            <w:tr>
              <w:tc>
                <w:tcPr/>
                <w:p>
                  <w:pPr>
                    <w:pStyle w:val="Compact"/>
                    <w:jc w:val="left"/>
                    <w:jc w:val="center"/>
                  </w:pPr>
                  <w:r>
                    <w:t xml:space="preserve">Quartz</w:t>
                  </w:r>
                </w:p>
              </w:tc>
              <w:tc>
                <w:tcPr/>
                <w:p>
                  <w:pPr>
                    <w:pStyle w:val="Compact"/>
                    <w:jc w:val="right"/>
                    <w:jc w:val="center"/>
                  </w:pPr>
                  <w:r>
                    <w:t xml:space="preserve">3</w:t>
                  </w:r>
                </w:p>
              </w:tc>
              <w:tc>
                <w:tcPr/>
                <w:p>
                  <w:pPr>
                    <w:pStyle w:val="Compact"/>
                    <w:jc w:val="right"/>
                    <w:jc w:val="center"/>
                  </w:pPr>
                  <w:r>
                    <w:t xml:space="preserve">56.7</w:t>
                  </w:r>
                </w:p>
              </w:tc>
              <w:tc>
                <w:tcPr/>
                <w:p>
                  <w:pPr>
                    <w:pStyle w:val="Compact"/>
                    <w:jc w:val="right"/>
                    <w:jc w:val="center"/>
                  </w:pPr>
                  <w:r>
                    <w:t xml:space="preserve">42.0</w:t>
                  </w:r>
                </w:p>
              </w:tc>
              <w:tc>
                <w:tcPr/>
                <w:p>
                  <w:pPr>
                    <w:pStyle w:val="Compact"/>
                    <w:jc w:val="right"/>
                    <w:jc w:val="center"/>
                  </w:pPr>
                  <w:r>
                    <w:t xml:space="preserve">40.2–77.4</w:t>
                  </w:r>
                </w:p>
              </w:tc>
              <w:tc>
                <w:tcPr/>
                <w:p>
                  <w:pPr>
                    <w:pStyle w:val="Compact"/>
                    <w:jc w:val="right"/>
                    <w:jc w:val="center"/>
                  </w:pPr>
                  <w:r>
                    <w:t xml:space="preserve">38.5–112.7</w:t>
                  </w:r>
                </w:p>
              </w:tc>
            </w:tr>
            <w:tr>
              <w:tc>
                <w:tcPr/>
                <w:p>
                  <w:pPr>
                    <w:pStyle w:val="Compact"/>
                    <w:jc w:val="left"/>
                    <w:jc w:val="center"/>
                  </w:pPr>
                  <w:r>
                    <w:t xml:space="preserve">Mudstone</w:t>
                  </w:r>
                </w:p>
              </w:tc>
              <w:tc>
                <w:tcPr/>
                <w:p>
                  <w:pPr>
                    <w:pStyle w:val="Compact"/>
                    <w:jc w:val="right"/>
                    <w:jc w:val="center"/>
                  </w:pPr>
                  <w:r>
                    <w:t xml:space="preserve">10</w:t>
                  </w:r>
                </w:p>
              </w:tc>
              <w:tc>
                <w:tcPr/>
                <w:p>
                  <w:pPr>
                    <w:pStyle w:val="Compact"/>
                    <w:jc w:val="right"/>
                    <w:jc w:val="center"/>
                  </w:pPr>
                  <w:r>
                    <w:t xml:space="preserve">52.6</w:t>
                  </w:r>
                </w:p>
              </w:tc>
              <w:tc>
                <w:tcPr/>
                <w:p>
                  <w:pPr>
                    <w:pStyle w:val="Compact"/>
                    <w:jc w:val="right"/>
                    <w:jc w:val="center"/>
                  </w:pPr>
                  <w:r>
                    <w:t xml:space="preserve">48.2</w:t>
                  </w:r>
                </w:p>
              </w:tc>
              <w:tc>
                <w:tcPr/>
                <w:p>
                  <w:pPr>
                    <w:pStyle w:val="Compact"/>
                    <w:jc w:val="right"/>
                    <w:jc w:val="center"/>
                  </w:pPr>
                  <w:r>
                    <w:t xml:space="preserve">44.3–54.1</w:t>
                  </w:r>
                </w:p>
              </w:tc>
              <w:tc>
                <w:tcPr/>
                <w:p>
                  <w:pPr>
                    <w:pStyle w:val="Compact"/>
                    <w:jc w:val="right"/>
                    <w:jc w:val="center"/>
                  </w:pPr>
                  <w:r>
                    <w:t xml:space="preserve">37.8–91.0</w:t>
                  </w:r>
                </w:p>
              </w:tc>
            </w:tr>
          </w:tbl>
          <w:bookmarkEnd w:id="13"/>
          <w:p/>
        </w:tc>
      </w:tr>
    </w:tbl>
    <w:p>
      <w:r>
        <w:br w:type="page"/>
      </w:r>
    </w:p>
    <w:tbl>
      <w:tblPr>
        <w:tblStyle w:val="Table"/>
        <w:tblW w:type="pct" w:w="5000"/>
        <w:tblLayout w:type="fixed"/>
        <w:tblLook w:firstRow="0" w:lastRow="0" w:firstColumn="0" w:lastColumn="0" w:noHBand="0" w:noVBand="0" w:val="0000"/>
      </w:tblPr>
      <w:tblGrid>
        <w:gridCol w:w="7920"/>
      </w:tblGrid>
      <w:tr>
        <w:tc>
          <w:tcPr/>
          <w:bookmarkStart w:id="17" w:name="fig-categorical-attributes"/>
          <w:p>
            <w:pPr>
              <w:pStyle w:val="Compact"/>
              <w:jc w:val="center"/>
            </w:pPr>
            <w:r>
              <w:drawing>
                <wp:inline>
                  <wp:extent cx="5403966" cy="4488040"/>
                  <wp:effectExtent b="0" l="0" r="0" t="0"/>
                  <wp:docPr descr="" title="" id="15" name="Picture"/>
                  <a:graphic>
                    <a:graphicData uri="http://schemas.openxmlformats.org/drawingml/2006/picture">
                      <pic:pic>
                        <pic:nvPicPr>
                          <pic:cNvPr descr="supplementary_files/figure-docx/fig-categorical-attributes-1.png" id="16" name="Picture"/>
                          <pic:cNvPicPr>
                            <a:picLocks noChangeArrowheads="1" noChangeAspect="1"/>
                          </pic:cNvPicPr>
                        </pic:nvPicPr>
                        <pic:blipFill>
                          <a:blip r:embed="rId14"/>
                          <a:stretch>
                            <a:fillRect/>
                          </a:stretch>
                        </pic:blipFill>
                        <pic:spPr bwMode="auto">
                          <a:xfrm>
                            <a:off x="0" y="0"/>
                            <a:ext cx="5403966" cy="4488040"/>
                          </a:xfrm>
                          <a:prstGeom prst="rect">
                            <a:avLst/>
                          </a:prstGeom>
                          <a:noFill/>
                          <a:ln w="9525">
                            <a:noFill/>
                            <a:headEnd/>
                            <a:tailEnd/>
                          </a:ln>
                        </pic:spPr>
                      </pic:pic>
                    </a:graphicData>
                  </a:graphic>
                </wp:inline>
              </w:drawing>
            </w:r>
          </w:p>
          <w:p>
            <w:pPr>
              <w:jc w:val="center"/>
            </w:pPr>
            <w:pPr>
              <w:jc w:val="left"/>
              <w:spacing w:before="200"/>
              <w:pStyle w:val="ImageCaption"/>
            </w:pPr>
            <w:r>
              <w:t xml:space="preserve">Fig. S1: Categorical attributes of the surface Quina scrapers: proportion of the dorsal face covered by cortex, position of that cortex, platform type, and the direction from which retouch was struck. Bars run to the percentage of the specimens recorded for that attribute, and the count and percentage are given at the end of each bar. Cortex proportion, cortex position and retouch direction are recorded on all 166 scrapers; platform type only on the 52 that retain the platform of the blank. Cortex position is taken over the whole assemblage, so that its percentages are of all specimens rather than of the cortex-bearing ones alone as in the main text. Categories are ordered by frequency except in the first panel, where the classes are ordered and the shading runs with them.</w:t>
            </w:r>
          </w:p>
          <w:bookmarkEnd w:id="17"/>
        </w:tc>
      </w:tr>
    </w:tbl>
    <w:p>
      <w:r>
        <w:br w:type="page"/>
      </w:r>
    </w:p>
    <w:tbl>
      <w:tblPr>
        <w:tblStyle w:val="Table"/>
        <w:tblW w:type="pct" w:w="5000"/>
        <w:tblLayout w:type="fixed"/>
        <w:tblLook w:firstRow="0" w:lastRow="0" w:firstColumn="0" w:lastColumn="0" w:noHBand="0" w:noVBand="0" w:val="0000"/>
      </w:tblPr>
      <w:tblGrid>
        <w:gridCol w:w="7920"/>
      </w:tblGrid>
      <w:tr>
        <w:tc>
          <w:tcPr/>
          <w:bookmarkStart w:id="21" w:name="fig-qq"/>
          <w:p>
            <w:pPr>
              <w:pStyle w:val="Compact"/>
              <w:jc w:val="center"/>
            </w:pPr>
            <w:r>
              <w:drawing>
                <wp:inline>
                  <wp:extent cx="5403966" cy="7693782"/>
                  <wp:effectExtent b="0" l="0" r="0" t="0"/>
                  <wp:docPr descr="" title="" id="19" name="Picture"/>
                  <a:graphic>
                    <a:graphicData uri="http://schemas.openxmlformats.org/drawingml/2006/picture">
                      <pic:pic>
                        <pic:nvPicPr>
                          <pic:cNvPr descr="supplementary_files/figure-docx/fig-qq-1.png" id="20" name="Picture"/>
                          <pic:cNvPicPr>
                            <a:picLocks noChangeArrowheads="1" noChangeAspect="1"/>
                          </pic:cNvPicPr>
                        </pic:nvPicPr>
                        <pic:blipFill>
                          <a:blip r:embed="rId18"/>
                          <a:stretch>
                            <a:fillRect/>
                          </a:stretch>
                        </pic:blipFill>
                        <pic:spPr bwMode="auto">
                          <a:xfrm>
                            <a:off x="0" y="0"/>
                            <a:ext cx="5403966" cy="7693782"/>
                          </a:xfrm>
                          <a:prstGeom prst="rect">
                            <a:avLst/>
                          </a:prstGeom>
                          <a:noFill/>
                          <a:ln w="9525">
                            <a:noFill/>
                            <a:headEnd/>
                            <a:tailEnd/>
                          </a:ln>
                        </pic:spPr>
                      </pic:pic>
                    </a:graphicData>
                  </a:graphic>
                </wp:inline>
              </w:drawing>
            </w:r>
          </w:p>
          <w:p>
            <w:pPr>
              <w:jc w:val="center"/>
            </w:pPr>
            <w:pPr>
              <w:jc w:val="left"/>
              <w:spacing w:before="200"/>
              <w:pStyle w:val="ImageCaption"/>
            </w:pPr>
            <w:r>
              <w:t xml:space="preserve">Fig. S2: Normal quantile–quantile plots of the six technological variables, on the specimens complete for all six, with one row per variable, named at the left of the row, and one column per group in the order of the legend. In every panel the horizontal axis is the theoretical normal quantile and the vertical axis the sample quantile, and the dashed line passes through the first and third sample quartiles. Inset at the upper left of each panel is a histogram of the same values, plotted in its own right but with its axes suppressed, to give the shape of the distribution alongside its departure from normality. The insets occupy the same corner of every panel at the same size, so their outlines may be compared with one another; their bar heights are scaled within each inset and may not. These are the distributions on which the choice of test set out in the Materials and methods rests: departures from normality are most pronounced for GIUR, which is bounded at one, and for the two count variables, and these three were compared with Kruskal–Wallis and Dunn tests, while thickness, retouched perimeter and edge angle, closer to normal within each group but unequal in variance between groups, were compared with Welch’s procedures.</w:t>
            </w:r>
          </w:p>
          <w:bookmarkEnd w:id="21"/>
        </w:tc>
      </w:tr>
    </w:tbl>
    <w:p>
      <w:r>
        <w:br w:type="page"/>
      </w:r>
    </w:p>
    <w:tbl>
      <w:tblPr>
        <w:tblStyle w:val="Table"/>
        <w:tblW w:type="pct" w:w="5000"/>
        <w:tblLayout w:type="fixed"/>
        <w:tblLook w:firstRow="0" w:lastRow="0" w:firstColumn="0" w:lastColumn="0" w:noHBand="0" w:noVBand="0" w:val="0000"/>
      </w:tblPr>
      <w:tblGrid>
        <w:gridCol w:w="7920"/>
      </w:tblGrid>
      <w:tr>
        <w:tc>
          <w:tcPr/>
          <w:bookmarkStart w:id="22" w:name="tbl-tc-permanova"/>
          <w:p>
            <w:pPr>
              <w:jc w:val="center"/>
            </w:pPr>
            <w:pPr>
              <w:jc w:val="left"/>
              <w:spacing w:before="200"/>
              <w:pStyle w:val="ImageCaption"/>
            </w:pPr>
            <w:r>
              <w:t xml:space="preserve">Table S5: Pairwise PERMANOVA on the z-scored six-variable technological space, Euclidean distances, 9,999 permutations. Degrees of freedom are given as model, residual. Adjusted</w:t>
            </w:r>
            <w:r>
              <w:t xml:space="preserve"> </w:t>
            </w:r>
            <w:r>
              <w:rPr>
                <w:i/>
                <w:iCs/>
              </w:rPr>
              <w:t xml:space="preserve">p</w:t>
            </w:r>
            <w:r>
              <w:t xml:space="preserve"> </w:t>
            </w:r>
            <w:r>
              <w:t xml:space="preserve">is the Bonferroni adjustment across the three comparisons. The main text quotes the</w:t>
            </w:r>
            <w:r>
              <w:t xml:space="preserve"> </w:t>
            </w:r>
            <w:r>
              <w:rPr>
                <w:i/>
                <w:iCs/>
              </w:rPr>
              <w:t xml:space="preserve">R</w:t>
            </w:r>
            <w:r>
              <w:t xml:space="preserve">² of each comparison; the sums of squares and degrees of freedom are given here so that the partition of variance can be checked directly.</w:t>
            </w:r>
          </w:p>
          <w:tbl>
            <w:tblPr>
              <w:tblStyle w:val="Table"/>
              <w:tblW w:type="pct" w:w="5000"/>
              <w:tblLayout w:type="fixed"/>
              <w:tblLook w:firstRow="1" w:lastRow="0" w:firstColumn="0" w:lastColumn="0" w:noHBand="0" w:noVBand="0" w:val="0020"/>
            </w:tblPr>
            <w:tblGrid>
              <w:gridCol w:w="2917"/>
              <w:gridCol w:w="666"/>
              <w:gridCol w:w="583"/>
              <w:gridCol w:w="583"/>
              <w:gridCol w:w="500"/>
              <w:gridCol w:w="917"/>
              <w:gridCol w:w="666"/>
              <w:gridCol w:w="1083"/>
            </w:tblGrid>
            <w:tr>
              <w:trPr>
                <w:tblHeader w:val="on"/>
              </w:trPr>
              <w:tc>
                <w:tcPr/>
                <w:p>
                  <w:pPr>
                    <w:pStyle w:val="Compact"/>
                    <w:jc w:val="left"/>
                    <w:jc w:val="center"/>
                  </w:pPr>
                  <w:r>
                    <w:t xml:space="preserve">Comparison</w:t>
                  </w:r>
                </w:p>
              </w:tc>
              <w:tc>
                <w:tcPr/>
                <w:p>
                  <w:pPr>
                    <w:pStyle w:val="Compact"/>
                    <w:jc w:val="right"/>
                    <w:jc w:val="center"/>
                  </w:pPr>
                  <w:r>
                    <w:rPr>
                      <w:i/>
                      <w:iCs/>
                    </w:rPr>
                    <w:t xml:space="preserve">n</w:t>
                  </w:r>
                </w:p>
              </w:tc>
              <w:tc>
                <w:tcPr/>
                <w:p>
                  <w:pPr>
                    <w:pStyle w:val="Compact"/>
                    <w:jc w:val="right"/>
                    <w:jc w:val="center"/>
                  </w:pPr>
                  <w:r>
                    <w:rPr>
                      <w:i/>
                      <w:iCs/>
                    </w:rPr>
                    <w:t xml:space="preserve">df</w:t>
                  </w:r>
                </w:p>
              </w:tc>
              <w:tc>
                <w:tcPr/>
                <w:p>
                  <w:pPr>
                    <w:pStyle w:val="Compact"/>
                    <w:jc w:val="right"/>
                    <w:jc w:val="center"/>
                  </w:pPr>
                  <w:r>
                    <w:t xml:space="preserve">SS</w:t>
                  </w:r>
                </w:p>
              </w:tc>
              <w:tc>
                <w:tcPr/>
                <w:p>
                  <w:pPr>
                    <w:pStyle w:val="Compact"/>
                    <w:jc w:val="right"/>
                    <w:jc w:val="center"/>
                  </w:pPr>
                  <w:r>
                    <w:rPr>
                      <w:i/>
                      <w:iCs/>
                    </w:rPr>
                    <w:t xml:space="preserve">R</w:t>
                  </w:r>
                  <w:r>
                    <w:t xml:space="preserve">²</w:t>
                  </w:r>
                </w:p>
              </w:tc>
              <w:tc>
                <w:tcPr/>
                <w:p>
                  <w:pPr>
                    <w:pStyle w:val="Compact"/>
                    <w:jc w:val="right"/>
                    <w:jc w:val="center"/>
                  </w:pPr>
                  <w:r>
                    <w:t xml:space="preserve">pseudo-</w:t>
                  </w:r>
                  <w:r>
                    <w:rPr>
                      <w:i/>
                      <w:iCs/>
                    </w:rPr>
                    <w:t xml:space="preserve">F</w:t>
                  </w:r>
                </w:p>
              </w:tc>
              <w:tc>
                <w:tcPr/>
                <w:p>
                  <w:pPr>
                    <w:pStyle w:val="Compact"/>
                    <w:jc w:val="right"/>
                    <w:jc w:val="center"/>
                  </w:pPr>
                  <w:r>
                    <w:rPr>
                      <w:i/>
                      <w:iCs/>
                    </w:rPr>
                    <w:t xml:space="preserve">p</w:t>
                  </w:r>
                </w:p>
              </w:tc>
              <w:tc>
                <w:tcPr/>
                <w:p>
                  <w:pPr>
                    <w:pStyle w:val="Compact"/>
                    <w:jc w:val="right"/>
                    <w:jc w:val="center"/>
                  </w:pPr>
                  <w:r>
                    <w:t xml:space="preserve">Adjusted</w:t>
                  </w:r>
                  <w:r>
                    <w:t xml:space="preserve"> </w:t>
                  </w:r>
                  <w:r>
                    <w:rPr>
                      <w:i/>
                      <w:iCs/>
                    </w:rPr>
                    <w:t xml:space="preserve">p</w:t>
                  </w:r>
                </w:p>
              </w:tc>
            </w:tr>
            <w:tr>
              <w:tc>
                <w:tcPr/>
                <w:p>
                  <w:pPr>
                    <w:pStyle w:val="Compact"/>
                    <w:jc w:val="left"/>
                    <w:jc w:val="center"/>
                  </w:pPr>
                  <w:r>
                    <w:t xml:space="preserve">Surface Quina vs Longtan Quina</w:t>
                  </w:r>
                </w:p>
              </w:tc>
              <w:tc>
                <w:tcPr/>
                <w:p>
                  <w:pPr>
                    <w:pStyle w:val="Compact"/>
                    <w:jc w:val="right"/>
                    <w:jc w:val="center"/>
                  </w:pPr>
                  <w:r>
                    <w:t xml:space="preserve">165, 53</w:t>
                  </w:r>
                </w:p>
              </w:tc>
              <w:tc>
                <w:tcPr/>
                <w:p>
                  <w:pPr>
                    <w:pStyle w:val="Compact"/>
                    <w:jc w:val="right"/>
                    <w:jc w:val="center"/>
                  </w:pPr>
                  <w:r>
                    <w:t xml:space="preserve">1, 216</w:t>
                  </w:r>
                </w:p>
              </w:tc>
              <w:tc>
                <w:tcPr/>
                <w:p>
                  <w:pPr>
                    <w:pStyle w:val="Compact"/>
                    <w:jc w:val="right"/>
                    <w:jc w:val="center"/>
                  </w:pPr>
                  <w:r>
                    <w:t xml:space="preserve">4.07</w:t>
                  </w:r>
                </w:p>
              </w:tc>
              <w:tc>
                <w:tcPr/>
                <w:p>
                  <w:pPr>
                    <w:pStyle w:val="Compact"/>
                    <w:jc w:val="right"/>
                    <w:jc w:val="center"/>
                  </w:pPr>
                  <w:r>
                    <w:t xml:space="preserve">0.004</w:t>
                  </w:r>
                </w:p>
              </w:tc>
              <w:tc>
                <w:tcPr/>
                <w:p>
                  <w:pPr>
                    <w:pStyle w:val="Compact"/>
                    <w:jc w:val="right"/>
                    <w:jc w:val="center"/>
                  </w:pPr>
                  <w:r>
                    <w:t xml:space="preserve">0.81</w:t>
                  </w:r>
                </w:p>
              </w:tc>
              <w:tc>
                <w:tcPr/>
                <w:p>
                  <w:pPr>
                    <w:pStyle w:val="Compact"/>
                    <w:jc w:val="right"/>
                    <w:jc w:val="center"/>
                  </w:pPr>
                  <w:r>
                    <w:t xml:space="preserve">0.493</w:t>
                  </w:r>
                </w:p>
              </w:tc>
              <w:tc>
                <w:tcPr/>
                <w:p>
                  <w:pPr>
                    <w:pStyle w:val="Compact"/>
                    <w:jc w:val="right"/>
                    <w:jc w:val="center"/>
                  </w:pPr>
                  <w:r>
                    <w:t xml:space="preserve">1.000</w:t>
                  </w:r>
                </w:p>
              </w:tc>
            </w:tr>
            <w:tr>
              <w:tc>
                <w:tcPr/>
                <w:p>
                  <w:pPr>
                    <w:pStyle w:val="Compact"/>
                    <w:jc w:val="left"/>
                    <w:jc w:val="center"/>
                  </w:pPr>
                  <w:r>
                    <w:t xml:space="preserve">Surface Quina vs Longtan non-Quina</w:t>
                  </w:r>
                </w:p>
              </w:tc>
              <w:tc>
                <w:tcPr/>
                <w:p>
                  <w:pPr>
                    <w:pStyle w:val="Compact"/>
                    <w:jc w:val="right"/>
                    <w:jc w:val="center"/>
                  </w:pPr>
                  <w:r>
                    <w:t xml:space="preserve">165, 79</w:t>
                  </w:r>
                </w:p>
              </w:tc>
              <w:tc>
                <w:tcPr/>
                <w:p>
                  <w:pPr>
                    <w:pStyle w:val="Compact"/>
                    <w:jc w:val="right"/>
                    <w:jc w:val="center"/>
                  </w:pPr>
                  <w:r>
                    <w:t xml:space="preserve">1, 242</w:t>
                  </w:r>
                </w:p>
              </w:tc>
              <w:tc>
                <w:tcPr/>
                <w:p>
                  <w:pPr>
                    <w:pStyle w:val="Compact"/>
                    <w:jc w:val="right"/>
                    <w:jc w:val="center"/>
                  </w:pPr>
                  <w:r>
                    <w:t xml:space="preserve">428.21</w:t>
                  </w:r>
                </w:p>
              </w:tc>
              <w:tc>
                <w:tcPr/>
                <w:p>
                  <w:pPr>
                    <w:pStyle w:val="Compact"/>
                    <w:jc w:val="right"/>
                    <w:jc w:val="center"/>
                  </w:pPr>
                  <w:r>
                    <w:t xml:space="preserve">0.287</w:t>
                  </w:r>
                </w:p>
              </w:tc>
              <w:tc>
                <w:tcPr/>
                <w:p>
                  <w:pPr>
                    <w:pStyle w:val="Compact"/>
                    <w:jc w:val="right"/>
                    <w:jc w:val="center"/>
                  </w:pPr>
                  <w:r>
                    <w:t xml:space="preserve">97.51</w:t>
                  </w:r>
                </w:p>
              </w:tc>
              <w:tc>
                <w:tcPr/>
                <w:p>
                  <w:pPr>
                    <w:pStyle w:val="Compact"/>
                    <w:jc w:val="right"/>
                    <w:jc w:val="center"/>
                  </w:pPr>
                  <w:r>
                    <w:t xml:space="preserve">&lt; 0.001</w:t>
                  </w:r>
                </w:p>
              </w:tc>
              <w:tc>
                <w:tcPr/>
                <w:p>
                  <w:pPr>
                    <w:pStyle w:val="Compact"/>
                    <w:jc w:val="right"/>
                    <w:jc w:val="center"/>
                  </w:pPr>
                  <w:r>
                    <w:t xml:space="preserve">&lt; 0.001</w:t>
                  </w:r>
                </w:p>
              </w:tc>
            </w:tr>
            <w:tr>
              <w:tc>
                <w:tcPr/>
                <w:p>
                  <w:pPr>
                    <w:pStyle w:val="Compact"/>
                    <w:jc w:val="left"/>
                    <w:jc w:val="center"/>
                  </w:pPr>
                  <w:r>
                    <w:t xml:space="preserve">Longtan Quina vs Longtan non-Quina</w:t>
                  </w:r>
                </w:p>
              </w:tc>
              <w:tc>
                <w:tcPr/>
                <w:p>
                  <w:pPr>
                    <w:pStyle w:val="Compact"/>
                    <w:jc w:val="right"/>
                    <w:jc w:val="center"/>
                  </w:pPr>
                  <w:r>
                    <w:t xml:space="preserve">53, 79</w:t>
                  </w:r>
                </w:p>
              </w:tc>
              <w:tc>
                <w:tcPr/>
                <w:p>
                  <w:pPr>
                    <w:pStyle w:val="Compact"/>
                    <w:jc w:val="right"/>
                    <w:jc w:val="center"/>
                  </w:pPr>
                  <w:r>
                    <w:t xml:space="preserve">1, 130</w:t>
                  </w:r>
                </w:p>
              </w:tc>
              <w:tc>
                <w:tcPr/>
                <w:p>
                  <w:pPr>
                    <w:pStyle w:val="Compact"/>
                    <w:jc w:val="right"/>
                    <w:jc w:val="center"/>
                  </w:pPr>
                  <w:r>
                    <w:t xml:space="preserve">259.57</w:t>
                  </w:r>
                </w:p>
              </w:tc>
              <w:tc>
                <w:tcPr/>
                <w:p>
                  <w:pPr>
                    <w:pStyle w:val="Compact"/>
                    <w:jc w:val="right"/>
                    <w:jc w:val="center"/>
                  </w:pPr>
                  <w:r>
                    <w:t xml:space="preserve">0.362</w:t>
                  </w:r>
                </w:p>
              </w:tc>
              <w:tc>
                <w:tcPr/>
                <w:p>
                  <w:pPr>
                    <w:pStyle w:val="Compact"/>
                    <w:jc w:val="right"/>
                    <w:jc w:val="center"/>
                  </w:pPr>
                  <w:r>
                    <w:t xml:space="preserve">73.67</w:t>
                  </w:r>
                </w:p>
              </w:tc>
              <w:tc>
                <w:tcPr/>
                <w:p>
                  <w:pPr>
                    <w:pStyle w:val="Compact"/>
                    <w:jc w:val="right"/>
                    <w:jc w:val="center"/>
                  </w:pPr>
                  <w:r>
                    <w:t xml:space="preserve">&lt; 0.001</w:t>
                  </w:r>
                </w:p>
              </w:tc>
              <w:tc>
                <w:tcPr/>
                <w:p>
                  <w:pPr>
                    <w:pStyle w:val="Compact"/>
                    <w:jc w:val="right"/>
                    <w:jc w:val="center"/>
                  </w:pPr>
                  <w:r>
                    <w:t xml:space="preserve">&lt; 0.001</w:t>
                  </w:r>
                </w:p>
              </w:tc>
            </w:tr>
          </w:tbl>
          <w:bookmarkEnd w:id="22"/>
          <w:p/>
        </w:tc>
      </w:tr>
    </w:tbl>
    <w:p>
      <w:r>
        <w:br w:type="page"/>
      </w:r>
    </w:p>
    <w:tbl>
      <w:tblPr>
        <w:tblStyle w:val="Table"/>
        <w:tblW w:type="pct" w:w="5000"/>
        <w:tblLayout w:type="fixed"/>
        <w:tblLook w:firstRow="0" w:lastRow="0" w:firstColumn="0" w:lastColumn="0" w:noHBand="0" w:noVBand="0" w:val="0000"/>
      </w:tblPr>
      <w:tblGrid>
        <w:gridCol w:w="7920"/>
      </w:tblGrid>
      <w:tr>
        <w:tc>
          <w:tcPr/>
          <w:bookmarkStart w:id="23" w:name="tbl-tc-permdisp"/>
          <w:p>
            <w:pPr>
              <w:jc w:val="center"/>
            </w:pPr>
            <w:pPr>
              <w:jc w:val="left"/>
              <w:spacing w:before="200"/>
              <w:pStyle w:val="ImageCaption"/>
            </w:pPr>
            <w:r>
              <w:t xml:space="preserve">Table S6: PERMDISP on the same technological space. The upper panel gives the mean distance of each group to its own centroid, the quantity the test compares; distance is measured in the z-scored space, so its units are standard deviations. The lower panel gives the pairwise tests, each fitted to its pair in turn, with the</w:t>
            </w:r>
            <w:r>
              <w:t xml:space="preserve"> </w:t>
            </w:r>
            <w:r>
              <w:rPr>
                <w:i/>
                <w:iCs/>
              </w:rPr>
              <w:t xml:space="preserve">p</w:t>
            </w:r>
            <w:r>
              <w:t xml:space="preserve">-value from the permutation of the full three-group model alongside for comparison. Columns carry the quantity named first in rows of the upper panel and the quantity named second in rows of the lower.</w:t>
            </w:r>
          </w:p>
          <w:tbl>
            <w:tblPr>
              <w:tblStyle w:val="Table"/>
              <w:tblW w:type="pct" w:w="5000"/>
              <w:tblLayout w:type="fixed"/>
              <w:tblLook w:firstRow="1" w:lastRow="0" w:firstColumn="0" w:lastColumn="0" w:noHBand="0" w:noVBand="0" w:val="0020"/>
            </w:tblPr>
            <w:tblGrid>
              <w:gridCol w:w="3344"/>
              <w:gridCol w:w="704"/>
              <w:gridCol w:w="1056"/>
              <w:gridCol w:w="792"/>
              <w:gridCol w:w="792"/>
              <w:gridCol w:w="1232"/>
            </w:tblGrid>
            <w:tr>
              <w:trPr>
                <w:tblHeader w:val="on"/>
              </w:trPr>
              <w:tc>
                <w:tcPr/>
                <w:p>
                  <w:pPr>
                    <w:pStyle w:val="Compact"/>
                  </w:pPr>
                </w:p>
              </w:tc>
              <w:tc>
                <w:tcPr/>
                <w:p>
                  <w:pPr>
                    <w:pStyle w:val="Compact"/>
                    <w:jc w:val="right"/>
                    <w:jc w:val="center"/>
                  </w:pPr>
                  <w:r>
                    <w:rPr>
                      <w:i/>
                      <w:iCs/>
                    </w:rPr>
                    <w:t xml:space="preserve">n</w:t>
                  </w:r>
                </w:p>
              </w:tc>
              <w:tc>
                <w:tcPr/>
                <w:p>
                  <w:pPr>
                    <w:pStyle w:val="Compact"/>
                    <w:jc w:val="right"/>
                    <w:jc w:val="center"/>
                  </w:pPr>
                  <w:r>
                    <w:t xml:space="preserve">Mean /</w:t>
                  </w:r>
                  <w:r>
                    <w:t xml:space="preserve"> </w:t>
                  </w:r>
                  <w:r>
                    <w:rPr>
                      <w:i/>
                      <w:iCs/>
                    </w:rPr>
                    <w:t xml:space="preserve">df</w:t>
                  </w:r>
                </w:p>
              </w:tc>
              <w:tc>
                <w:tcPr/>
                <w:p>
                  <w:pPr>
                    <w:pStyle w:val="Compact"/>
                    <w:jc w:val="right"/>
                    <w:jc w:val="center"/>
                  </w:pPr>
                  <w:r>
                    <w:t xml:space="preserve">SD /</w:t>
                  </w:r>
                  <w:r>
                    <w:t xml:space="preserve"> </w:t>
                  </w:r>
                  <w:r>
                    <w:rPr>
                      <w:i/>
                      <w:iCs/>
                    </w:rPr>
                    <w:t xml:space="preserve">F</w:t>
                  </w:r>
                </w:p>
              </w:tc>
              <w:tc>
                <w:tcPr/>
                <w:p>
                  <w:pPr>
                    <w:pStyle w:val="Compact"/>
                    <w:jc w:val="right"/>
                    <w:jc w:val="center"/>
                  </w:pPr>
                  <w:r>
                    <w:t xml:space="preserve">SE /</w:t>
                  </w:r>
                  <w:r>
                    <w:t xml:space="preserve"> </w:t>
                  </w:r>
                  <w:r>
                    <w:rPr>
                      <w:i/>
                      <w:iCs/>
                    </w:rPr>
                    <w:t xml:space="preserve">p</w:t>
                  </w:r>
                </w:p>
              </w:tc>
              <w:tc>
                <w:tcPr/>
                <w:p>
                  <w:pPr>
                    <w:pStyle w:val="Compact"/>
                    <w:jc w:val="right"/>
                    <w:jc w:val="center"/>
                  </w:pPr>
                  <w:r>
                    <w:rPr>
                      <w:i/>
                      <w:iCs/>
                    </w:rPr>
                    <w:t xml:space="preserve">p</w:t>
                  </w:r>
                  <w:r>
                    <w:t xml:space="preserve"> </w:t>
                  </w:r>
                  <w:r>
                    <w:t xml:space="preserve">(3-group)</w:t>
                  </w:r>
                </w:p>
              </w:tc>
            </w:tr>
            <w:tr>
              <w:tc>
                <w:tcPr/>
                <w:p>
                  <w:pPr>
                    <w:pStyle w:val="Compact"/>
                    <w:jc w:val="left"/>
                    <w:jc w:val="center"/>
                  </w:pPr>
                  <w:r>
                    <w:rPr>
                      <w:b/>
                      <w:bCs/>
                    </w:rPr>
                    <w:t xml:space="preserve">Distance to centroid, by group</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Surface Quina</w:t>
                  </w:r>
                </w:p>
              </w:tc>
              <w:tc>
                <w:tcPr/>
                <w:p>
                  <w:pPr>
                    <w:pStyle w:val="Compact"/>
                    <w:jc w:val="right"/>
                    <w:jc w:val="center"/>
                  </w:pPr>
                  <w:r>
                    <w:t xml:space="preserve">165</w:t>
                  </w:r>
                </w:p>
              </w:tc>
              <w:tc>
                <w:tcPr/>
                <w:p>
                  <w:pPr>
                    <w:pStyle w:val="Compact"/>
                    <w:jc w:val="right"/>
                    <w:jc w:val="center"/>
                  </w:pPr>
                  <w:r>
                    <w:t xml:space="preserve">2.100</w:t>
                  </w:r>
                </w:p>
              </w:tc>
              <w:tc>
                <w:tcPr/>
                <w:p>
                  <w:pPr>
                    <w:pStyle w:val="Compact"/>
                    <w:jc w:val="right"/>
                    <w:jc w:val="center"/>
                  </w:pPr>
                  <w:r>
                    <w:t xml:space="preserve">0.877</w:t>
                  </w:r>
                </w:p>
              </w:tc>
              <w:tc>
                <w:tcPr/>
                <w:p>
                  <w:pPr>
                    <w:pStyle w:val="Compact"/>
                    <w:jc w:val="right"/>
                    <w:jc w:val="center"/>
                  </w:pPr>
                  <w:r>
                    <w:t xml:space="preserve">0.068</w:t>
                  </w:r>
                </w:p>
              </w:tc>
              <w:tc>
                <w:tcPr/>
                <w:p>
                  <w:pPr>
                    <w:pStyle w:val="Compact"/>
                  </w:pPr>
                </w:p>
              </w:tc>
            </w:tr>
            <w:tr>
              <w:tc>
                <w:tcPr/>
                <w:p>
                  <w:pPr>
                    <w:pStyle w:val="Compact"/>
                    <w:jc w:val="left"/>
                    <w:jc w:val="center"/>
                  </w:pPr>
                  <w:r>
                    <w:t xml:space="preserve">   Longtan Quina</w:t>
                  </w:r>
                </w:p>
              </w:tc>
              <w:tc>
                <w:tcPr/>
                <w:p>
                  <w:pPr>
                    <w:pStyle w:val="Compact"/>
                    <w:jc w:val="right"/>
                    <w:jc w:val="center"/>
                  </w:pPr>
                  <w:r>
                    <w:t xml:space="preserve">53</w:t>
                  </w:r>
                </w:p>
              </w:tc>
              <w:tc>
                <w:tcPr/>
                <w:p>
                  <w:pPr>
                    <w:pStyle w:val="Compact"/>
                    <w:jc w:val="right"/>
                    <w:jc w:val="center"/>
                  </w:pPr>
                  <w:r>
                    <w:t xml:space="preserve">2.020</w:t>
                  </w:r>
                </w:p>
              </w:tc>
              <w:tc>
                <w:tcPr/>
                <w:p>
                  <w:pPr>
                    <w:pStyle w:val="Compact"/>
                    <w:jc w:val="right"/>
                    <w:jc w:val="center"/>
                  </w:pPr>
                  <w:r>
                    <w:t xml:space="preserve">0.727</w:t>
                  </w:r>
                </w:p>
              </w:tc>
              <w:tc>
                <w:tcPr/>
                <w:p>
                  <w:pPr>
                    <w:pStyle w:val="Compact"/>
                    <w:jc w:val="right"/>
                    <w:jc w:val="center"/>
                  </w:pPr>
                  <w:r>
                    <w:t xml:space="preserve">0.100</w:t>
                  </w:r>
                </w:p>
              </w:tc>
              <w:tc>
                <w:tcPr/>
                <w:p>
                  <w:pPr>
                    <w:pStyle w:val="Compact"/>
                  </w:pPr>
                </w:p>
              </w:tc>
            </w:tr>
            <w:tr>
              <w:tc>
                <w:tcPr/>
                <w:p>
                  <w:pPr>
                    <w:pStyle w:val="Compact"/>
                    <w:jc w:val="left"/>
                    <w:jc w:val="center"/>
                  </w:pPr>
                  <w:r>
                    <w:t xml:space="preserve">   Longtan non-Quina</w:t>
                  </w:r>
                </w:p>
              </w:tc>
              <w:tc>
                <w:tcPr/>
                <w:p>
                  <w:pPr>
                    <w:pStyle w:val="Compact"/>
                    <w:jc w:val="right"/>
                    <w:jc w:val="center"/>
                  </w:pPr>
                  <w:r>
                    <w:t xml:space="preserve">79</w:t>
                  </w:r>
                </w:p>
              </w:tc>
              <w:tc>
                <w:tcPr/>
                <w:p>
                  <w:pPr>
                    <w:pStyle w:val="Compact"/>
                    <w:jc w:val="right"/>
                    <w:jc w:val="center"/>
                  </w:pPr>
                  <w:r>
                    <w:t xml:space="preserve">1.545</w:t>
                  </w:r>
                </w:p>
              </w:tc>
              <w:tc>
                <w:tcPr/>
                <w:p>
                  <w:pPr>
                    <w:pStyle w:val="Compact"/>
                    <w:jc w:val="right"/>
                    <w:jc w:val="center"/>
                  </w:pPr>
                  <w:r>
                    <w:t xml:space="preserve">0.594</w:t>
                  </w:r>
                </w:p>
              </w:tc>
              <w:tc>
                <w:tcPr/>
                <w:p>
                  <w:pPr>
                    <w:pStyle w:val="Compact"/>
                    <w:jc w:val="right"/>
                    <w:jc w:val="center"/>
                  </w:pPr>
                  <w:r>
                    <w:t xml:space="preserve">0.067</w:t>
                  </w:r>
                </w:p>
              </w:tc>
              <w:tc>
                <w:tcPr/>
                <w:p>
                  <w:pPr>
                    <w:pStyle w:val="Compact"/>
                  </w:pPr>
                </w:p>
              </w:tc>
            </w:tr>
            <w:tr>
              <w:tc>
                <w:tcPr/>
                <w:p>
                  <w:pPr>
                    <w:pStyle w:val="Compact"/>
                    <w:jc w:val="left"/>
                    <w:jc w:val="center"/>
                  </w:pPr>
                  <w:r>
                    <w:t xml:space="preserve">   </w:t>
                  </w:r>
                  <w:r>
                    <w:rPr>
                      <w:i/>
                      <w:iCs/>
                    </w:rPr>
                    <w:t xml:space="preserve">Overall test</w:t>
                  </w:r>
                </w:p>
              </w:tc>
              <w:tc>
                <w:tcPr/>
                <w:p>
                  <w:pPr>
                    <w:pStyle w:val="Compact"/>
                  </w:pPr>
                </w:p>
              </w:tc>
              <w:tc>
                <w:tcPr/>
                <w:p>
                  <w:pPr>
                    <w:pStyle w:val="Compact"/>
                    <w:jc w:val="right"/>
                    <w:jc w:val="center"/>
                  </w:pPr>
                  <w:r>
                    <w:t xml:space="preserve">2, 294</w:t>
                  </w:r>
                </w:p>
              </w:tc>
              <w:tc>
                <w:tcPr/>
                <w:p>
                  <w:pPr>
                    <w:pStyle w:val="Compact"/>
                    <w:jc w:val="right"/>
                    <w:jc w:val="center"/>
                  </w:pPr>
                  <w:r>
                    <w:t xml:space="preserve">13.71</w:t>
                  </w:r>
                </w:p>
              </w:tc>
              <w:tc>
                <w:tcPr/>
                <w:p>
                  <w:pPr>
                    <w:pStyle w:val="Compact"/>
                    <w:jc w:val="right"/>
                    <w:jc w:val="center"/>
                  </w:pPr>
                  <w:r>
                    <w:t xml:space="preserve">&lt; 0.001</w:t>
                  </w:r>
                </w:p>
              </w:tc>
              <w:tc>
                <w:tcPr/>
                <w:p>
                  <w:pPr>
                    <w:pStyle w:val="Compact"/>
                  </w:pPr>
                </w:p>
              </w:tc>
            </w:tr>
            <w:tr>
              <w:tc>
                <w:tcPr/>
                <w:p>
                  <w:pPr>
                    <w:pStyle w:val="Compact"/>
                    <w:jc w:val="left"/>
                    <w:jc w:val="center"/>
                  </w:pPr>
                  <w:r>
                    <w:rPr>
                      <w:b/>
                      <w:bCs/>
                    </w:rPr>
                    <w:t xml:space="preserve">Pairwise tests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Surface Quina vs Longtan Quina</w:t>
                  </w:r>
                </w:p>
              </w:tc>
              <w:tc>
                <w:tcPr/>
                <w:p>
                  <w:pPr>
                    <w:pStyle w:val="Compact"/>
                    <w:jc w:val="right"/>
                    <w:jc w:val="center"/>
                  </w:pPr>
                  <w:r>
                    <w:t xml:space="preserve">165, 53</w:t>
                  </w:r>
                </w:p>
              </w:tc>
              <w:tc>
                <w:tcPr/>
                <w:p>
                  <w:pPr>
                    <w:pStyle w:val="Compact"/>
                    <w:jc w:val="right"/>
                    <w:jc w:val="center"/>
                  </w:pPr>
                  <w:r>
                    <w:t xml:space="preserve">1, 216</w:t>
                  </w:r>
                </w:p>
              </w:tc>
              <w:tc>
                <w:tcPr/>
                <w:p>
                  <w:pPr>
                    <w:pStyle w:val="Compact"/>
                    <w:jc w:val="right"/>
                    <w:jc w:val="center"/>
                  </w:pPr>
                  <w:r>
                    <w:t xml:space="preserve">0.35</w:t>
                  </w:r>
                </w:p>
              </w:tc>
              <w:tc>
                <w:tcPr/>
                <w:p>
                  <w:pPr>
                    <w:pStyle w:val="Compact"/>
                    <w:jc w:val="right"/>
                    <w:jc w:val="center"/>
                  </w:pPr>
                  <w:r>
                    <w:t xml:space="preserve">0.558</w:t>
                  </w:r>
                </w:p>
              </w:tc>
              <w:tc>
                <w:tcPr/>
                <w:p>
                  <w:pPr>
                    <w:pStyle w:val="Compact"/>
                    <w:jc w:val="right"/>
                    <w:jc w:val="center"/>
                  </w:pPr>
                  <w:r>
                    <w:t xml:space="preserve">0.552</w:t>
                  </w:r>
                </w:p>
              </w:tc>
            </w:tr>
            <w:tr>
              <w:tc>
                <w:tcPr/>
                <w:p>
                  <w:pPr>
                    <w:pStyle w:val="Compact"/>
                    <w:jc w:val="left"/>
                    <w:jc w:val="center"/>
                  </w:pPr>
                  <w:r>
                    <w:t xml:space="preserve">   Surface Quina vs Longtan non-Quina</w:t>
                  </w:r>
                </w:p>
              </w:tc>
              <w:tc>
                <w:tcPr/>
                <w:p>
                  <w:pPr>
                    <w:pStyle w:val="Compact"/>
                    <w:jc w:val="right"/>
                    <w:jc w:val="center"/>
                  </w:pPr>
                  <w:r>
                    <w:t xml:space="preserve">165, 79</w:t>
                  </w:r>
                </w:p>
              </w:tc>
              <w:tc>
                <w:tcPr/>
                <w:p>
                  <w:pPr>
                    <w:pStyle w:val="Compact"/>
                    <w:jc w:val="right"/>
                    <w:jc w:val="center"/>
                  </w:pPr>
                  <w:r>
                    <w:t xml:space="preserve">1, 242</w:t>
                  </w:r>
                </w:p>
              </w:tc>
              <w:tc>
                <w:tcPr/>
                <w:p>
                  <w:pPr>
                    <w:pStyle w:val="Compact"/>
                    <w:jc w:val="right"/>
                    <w:jc w:val="center"/>
                  </w:pPr>
                  <w:r>
                    <w:t xml:space="preserve">25.92</w:t>
                  </w:r>
                </w:p>
              </w:tc>
              <w:tc>
                <w:tcPr/>
                <w:p>
                  <w:pPr>
                    <w:pStyle w:val="Compact"/>
                    <w:jc w:val="right"/>
                    <w:jc w:val="center"/>
                  </w:pPr>
                  <w:r>
                    <w:t xml:space="preserve">&lt; 0.001</w:t>
                  </w:r>
                </w:p>
              </w:tc>
              <w:tc>
                <w:tcPr/>
                <w:p>
                  <w:pPr>
                    <w:pStyle w:val="Compact"/>
                    <w:jc w:val="right"/>
                    <w:jc w:val="center"/>
                  </w:pPr>
                  <w:r>
                    <w:t xml:space="preserve">&lt; 0.001</w:t>
                  </w:r>
                </w:p>
              </w:tc>
            </w:tr>
            <w:tr>
              <w:tc>
                <w:tcPr/>
                <w:p>
                  <w:pPr>
                    <w:pStyle w:val="Compact"/>
                    <w:jc w:val="left"/>
                    <w:jc w:val="center"/>
                  </w:pPr>
                  <w:r>
                    <w:t xml:space="preserve">   Longtan Quina vs Longtan non-Quina</w:t>
                  </w:r>
                </w:p>
              </w:tc>
              <w:tc>
                <w:tcPr/>
                <w:p>
                  <w:pPr>
                    <w:pStyle w:val="Compact"/>
                    <w:jc w:val="right"/>
                    <w:jc w:val="center"/>
                  </w:pPr>
                  <w:r>
                    <w:t xml:space="preserve">53, 79</w:t>
                  </w:r>
                </w:p>
              </w:tc>
              <w:tc>
                <w:tcPr/>
                <w:p>
                  <w:pPr>
                    <w:pStyle w:val="Compact"/>
                    <w:jc w:val="right"/>
                    <w:jc w:val="center"/>
                  </w:pPr>
                  <w:r>
                    <w:t xml:space="preserve">1, 130</w:t>
                  </w:r>
                </w:p>
              </w:tc>
              <w:tc>
                <w:tcPr/>
                <w:p>
                  <w:pPr>
                    <w:pStyle w:val="Compact"/>
                    <w:jc w:val="right"/>
                    <w:jc w:val="center"/>
                  </w:pPr>
                  <w:r>
                    <w:t xml:space="preserve">16.99</w:t>
                  </w:r>
                </w:p>
              </w:tc>
              <w:tc>
                <w:tcPr/>
                <w:p>
                  <w:pPr>
                    <w:pStyle w:val="Compact"/>
                    <w:jc w:val="right"/>
                    <w:jc w:val="center"/>
                  </w:pPr>
                  <w:r>
                    <w:t xml:space="preserve">&lt; 0.001</w:t>
                  </w:r>
                </w:p>
              </w:tc>
              <w:tc>
                <w:tcPr/>
                <w:p>
                  <w:pPr>
                    <w:pStyle w:val="Compact"/>
                    <w:jc w:val="right"/>
                    <w:jc w:val="center"/>
                  </w:pPr>
                  <w:r>
                    <w:t xml:space="preserve">&lt; 0.001</w:t>
                  </w:r>
                </w:p>
              </w:tc>
            </w:tr>
          </w:tbl>
          <w:bookmarkEnd w:id="23"/>
          <w:p/>
        </w:tc>
      </w:tr>
    </w:tbl>
    <w:p>
      <w:r>
        <w:br w:type="page"/>
      </w:r>
    </w:p>
    <w:tbl>
      <w:tblPr>
        <w:tblStyle w:val="Table"/>
        <w:tblW w:type="pct" w:w="5000"/>
        <w:tblLayout w:type="fixed"/>
        <w:tblLook w:firstRow="0" w:lastRow="0" w:firstColumn="0" w:lastColumn="0" w:noHBand="0" w:noVBand="0" w:val="0000"/>
      </w:tblPr>
      <w:tblGrid>
        <w:gridCol w:w="7920"/>
      </w:tblGrid>
      <w:tr>
        <w:tc>
          <w:tcPr/>
          <w:bookmarkStart w:id="24" w:name="tbl-tc-univariate"/>
          <w:p>
            <w:pPr>
              <w:jc w:val="center"/>
            </w:pPr>
            <w:pPr>
              <w:jc w:val="left"/>
              <w:spacing w:before="200"/>
              <w:pStyle w:val="ImageCaption"/>
            </w:pPr>
            <w:r>
              <w:t xml:space="preserve">Table S7: Per-variable comparison of the three groups: the omnibus test for each variable, followed by its three post-hoc comparisons. GIUR, total scars and retouch generations were tested with Kruskal–Wallis and Dunn’s post-hoc comparisons, the effect size being epsilon-squared; thickness, retouched perimeter and edge angle with Welch’s ANOVA and Welch’s</w:t>
            </w:r>
            <w:r>
              <w:t xml:space="preserve"> </w:t>
            </w:r>
            <w:r>
              <w:rPr>
                <w:i/>
                <w:iCs/>
              </w:rPr>
              <w:t xml:space="preserve">t</w:t>
            </w:r>
            <w:r>
              <w:t xml:space="preserve"> </w:t>
            </w:r>
            <w:r>
              <w:t xml:space="preserve">post-hoc comparisons. All post-hoc</w:t>
            </w:r>
            <w:r>
              <w:t xml:space="preserve"> </w:t>
            </w:r>
            <w:r>
              <w:rPr>
                <w:i/>
                <w:iCs/>
              </w:rPr>
              <w:t xml:space="preserve">p</w:t>
            </w:r>
            <w:r>
              <w:t xml:space="preserve">-values carry a Bonferroni adjustment within each variable. ns, not significant.</w:t>
            </w:r>
          </w:p>
          <w:tbl>
            <w:tblPr>
              <w:tblStyle w:val="Table"/>
              <w:tblW w:type="pct" w:w="5000"/>
              <w:tblLayout w:type="fixed"/>
              <w:tblLook w:firstRow="1" w:lastRow="0" w:firstColumn="0" w:lastColumn="0" w:noHBand="0" w:noVBand="0" w:val="0020"/>
            </w:tblPr>
            <w:tblGrid>
              <w:gridCol w:w="3499"/>
              <w:gridCol w:w="1013"/>
              <w:gridCol w:w="1105"/>
              <w:gridCol w:w="736"/>
              <w:gridCol w:w="1105"/>
              <w:gridCol w:w="460"/>
            </w:tblGrid>
            <w:tr>
              <w:trPr>
                <w:tblHeader w:val="on"/>
              </w:trPr>
              <w:tc>
                <w:tcPr/>
                <w:p>
                  <w:pPr>
                    <w:pStyle w:val="Compact"/>
                    <w:jc w:val="left"/>
                    <w:jc w:val="center"/>
                  </w:pPr>
                  <w:r>
                    <w:t xml:space="preserve">Variable / comparison</w:t>
                  </w:r>
                </w:p>
              </w:tc>
              <w:tc>
                <w:tcPr/>
                <w:p>
                  <w:pPr>
                    <w:pStyle w:val="Compact"/>
                    <w:jc w:val="right"/>
                    <w:jc w:val="center"/>
                  </w:pPr>
                  <w:r>
                    <w:t xml:space="preserve">Statistic</w:t>
                  </w:r>
                </w:p>
              </w:tc>
              <w:tc>
                <w:tcPr/>
                <w:p>
                  <w:pPr>
                    <w:pStyle w:val="Compact"/>
                    <w:jc w:val="right"/>
                    <w:jc w:val="center"/>
                  </w:pPr>
                  <w:r>
                    <w:rPr>
                      <w:i/>
                      <w:iCs/>
                    </w:rPr>
                    <w:t xml:space="preserve">df</w:t>
                  </w:r>
                  <w:r>
                    <w:t xml:space="preserve"> </w:t>
                  </w:r>
                  <w:r>
                    <w:t xml:space="preserve">or</w:t>
                  </w:r>
                  <w:r>
                    <w:t xml:space="preserve"> </w:t>
                  </w:r>
                  <w:r>
                    <w:rPr>
                      <w:i/>
                      <w:iCs/>
                    </w:rPr>
                    <w:t xml:space="preserve">n</w:t>
                  </w:r>
                </w:p>
              </w:tc>
              <w:tc>
                <w:tcPr/>
                <w:p>
                  <w:pPr>
                    <w:pStyle w:val="Compact"/>
                    <w:jc w:val="right"/>
                    <w:jc w:val="center"/>
                  </w:pPr>
                  <w:r>
                    <w:rPr>
                      <w:i/>
                      <w:iCs/>
                    </w:rPr>
                    <w:t xml:space="preserve">p</w:t>
                  </w:r>
                </w:p>
              </w:tc>
              <w:tc>
                <w:tcPr/>
                <w:p>
                  <w:pPr>
                    <w:pStyle w:val="Compact"/>
                    <w:jc w:val="right"/>
                    <w:jc w:val="center"/>
                  </w:pPr>
                  <w:r>
                    <w:t xml:space="preserve">Effect size</w:t>
                  </w:r>
                </w:p>
              </w:tc>
              <w:tc>
                <w:tcPr/>
                <w:p>
                  <w:pPr>
                    <w:pStyle w:val="Compact"/>
                  </w:pPr>
                </w:p>
              </w:tc>
            </w:tr>
            <w:tr>
              <w:tc>
                <w:tcPr/>
                <w:p>
                  <w:pPr>
                    <w:pStyle w:val="Compact"/>
                    <w:jc w:val="left"/>
                    <w:jc w:val="center"/>
                  </w:pPr>
                  <w:r>
                    <w:rPr>
                      <w:b/>
                      <w:bCs/>
                    </w:rPr>
                    <w:t xml:space="preserve">Thickness (mm)</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rPr>
                      <w:i/>
                      <w:iCs/>
                    </w:rPr>
                    <w:t xml:space="preserve">Welch’s ANOVA</w:t>
                  </w:r>
                </w:p>
              </w:tc>
              <w:tc>
                <w:tcPr/>
                <w:p>
                  <w:pPr>
                    <w:pStyle w:val="Compact"/>
                    <w:jc w:val="right"/>
                    <w:jc w:val="center"/>
                  </w:pPr>
                  <w:r>
                    <w:t xml:space="preserve">F = 34.39</w:t>
                  </w:r>
                </w:p>
              </w:tc>
              <w:tc>
                <w:tcPr/>
                <w:p>
                  <w:pPr>
                    <w:pStyle w:val="Compact"/>
                    <w:jc w:val="right"/>
                    <w:jc w:val="center"/>
                  </w:pPr>
                  <w:r>
                    <w:t xml:space="preserve">2, 137.2</w:t>
                  </w:r>
                </w:p>
              </w:tc>
              <w:tc>
                <w:tcPr/>
                <w:p>
                  <w:pPr>
                    <w:pStyle w:val="Compact"/>
                    <w:jc w:val="right"/>
                    <w:jc w:val="center"/>
                  </w:pPr>
                  <w:r>
                    <w:t xml:space="preserve">&lt; 0.001</w:t>
                  </w:r>
                </w:p>
              </w:tc>
              <w:tc>
                <w:tcPr/>
                <w:p>
                  <w:pPr>
                    <w:pStyle w:val="Compact"/>
                  </w:pPr>
                </w:p>
              </w:tc>
              <w:tc>
                <w:tcPr/>
                <w:p>
                  <w:pPr>
                    <w:pStyle w:val="Compact"/>
                  </w:pPr>
                </w:p>
              </w:tc>
            </w:tr>
            <w:tr>
              <w:tc>
                <w:tcPr/>
                <w:p>
                  <w:pPr>
                    <w:pStyle w:val="Compact"/>
                    <w:jc w:val="left"/>
                    <w:jc w:val="center"/>
                  </w:pPr>
                  <w:r>
                    <w:t xml:space="preserve">   Surface Quina vs Longtan Quina</w:t>
                  </w:r>
                </w:p>
              </w:tc>
              <w:tc>
                <w:tcPr/>
                <w:p>
                  <w:pPr>
                    <w:pStyle w:val="Compact"/>
                    <w:jc w:val="right"/>
                    <w:jc w:val="center"/>
                  </w:pPr>
                  <w:r>
                    <w:t xml:space="preserve">t = 1.09</w:t>
                  </w:r>
                </w:p>
              </w:tc>
              <w:tc>
                <w:tcPr/>
                <w:p>
                  <w:pPr>
                    <w:pStyle w:val="Compact"/>
                    <w:jc w:val="right"/>
                    <w:jc w:val="center"/>
                  </w:pPr>
                  <w:r>
                    <w:t xml:space="preserve">106.4</w:t>
                  </w:r>
                </w:p>
              </w:tc>
              <w:tc>
                <w:tcPr/>
                <w:p>
                  <w:pPr>
                    <w:pStyle w:val="Compact"/>
                    <w:jc w:val="right"/>
                    <w:jc w:val="center"/>
                  </w:pPr>
                  <w:r>
                    <w:t xml:space="preserve">0.831</w:t>
                  </w:r>
                </w:p>
              </w:tc>
              <w:tc>
                <w:tcPr/>
                <w:p>
                  <w:pPr>
                    <w:pStyle w:val="Compact"/>
                  </w:pPr>
                </w:p>
              </w:tc>
              <w:tc>
                <w:tcPr/>
                <w:p>
                  <w:pPr>
                    <w:pStyle w:val="Compact"/>
                    <w:jc w:val="right"/>
                    <w:jc w:val="center"/>
                  </w:pPr>
                  <w:r>
                    <w:t xml:space="preserve">ns</w:t>
                  </w:r>
                </w:p>
              </w:tc>
            </w:tr>
            <w:tr>
              <w:tc>
                <w:tcPr/>
                <w:p>
                  <w:pPr>
                    <w:pStyle w:val="Compact"/>
                    <w:jc w:val="left"/>
                    <w:jc w:val="center"/>
                  </w:pPr>
                  <w:r>
                    <w:t xml:space="preserve">   Surface Quina vs Longtan non-Quina</w:t>
                  </w:r>
                </w:p>
              </w:tc>
              <w:tc>
                <w:tcPr/>
                <w:p>
                  <w:pPr>
                    <w:pStyle w:val="Compact"/>
                    <w:jc w:val="right"/>
                    <w:jc w:val="center"/>
                  </w:pPr>
                  <w:r>
                    <w:t xml:space="preserve">t = 8.09</w:t>
                  </w:r>
                </w:p>
              </w:tc>
              <w:tc>
                <w:tcPr/>
                <w:p>
                  <w:pPr>
                    <w:pStyle w:val="Compact"/>
                    <w:jc w:val="right"/>
                    <w:jc w:val="center"/>
                  </w:pPr>
                  <w:r>
                    <w:t xml:space="preserve">176.1</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t xml:space="preserve">   Longtan Quina vs Longtan non-Quina</w:t>
                  </w:r>
                </w:p>
              </w:tc>
              <w:tc>
                <w:tcPr/>
                <w:p>
                  <w:pPr>
                    <w:pStyle w:val="Compact"/>
                    <w:jc w:val="right"/>
                    <w:jc w:val="center"/>
                  </w:pPr>
                  <w:r>
                    <w:t xml:space="preserve">t = 5.78</w:t>
                  </w:r>
                </w:p>
              </w:tc>
              <w:tc>
                <w:tcPr/>
                <w:p>
                  <w:pPr>
                    <w:pStyle w:val="Compact"/>
                    <w:jc w:val="right"/>
                    <w:jc w:val="center"/>
                  </w:pPr>
                  <w:r>
                    <w:t xml:space="preserve">115.7</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rPr>
                      <w:b/>
                      <w:bCs/>
                    </w:rPr>
                    <w:t xml:space="preserve">Retouched perimeter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rPr>
                      <w:i/>
                      <w:iCs/>
                    </w:rPr>
                    <w:t xml:space="preserve">Welch’s ANOVA</w:t>
                  </w:r>
                </w:p>
              </w:tc>
              <w:tc>
                <w:tcPr/>
                <w:p>
                  <w:pPr>
                    <w:pStyle w:val="Compact"/>
                    <w:jc w:val="right"/>
                    <w:jc w:val="center"/>
                  </w:pPr>
                  <w:r>
                    <w:t xml:space="preserve">F = 43.18</w:t>
                  </w:r>
                </w:p>
              </w:tc>
              <w:tc>
                <w:tcPr/>
                <w:p>
                  <w:pPr>
                    <w:pStyle w:val="Compact"/>
                    <w:jc w:val="right"/>
                    <w:jc w:val="center"/>
                  </w:pPr>
                  <w:r>
                    <w:t xml:space="preserve">2, 128.8</w:t>
                  </w:r>
                </w:p>
              </w:tc>
              <w:tc>
                <w:tcPr/>
                <w:p>
                  <w:pPr>
                    <w:pStyle w:val="Compact"/>
                    <w:jc w:val="right"/>
                    <w:jc w:val="center"/>
                  </w:pPr>
                  <w:r>
                    <w:t xml:space="preserve">&lt; 0.001</w:t>
                  </w:r>
                </w:p>
              </w:tc>
              <w:tc>
                <w:tcPr/>
                <w:p>
                  <w:pPr>
                    <w:pStyle w:val="Compact"/>
                  </w:pPr>
                </w:p>
              </w:tc>
              <w:tc>
                <w:tcPr/>
                <w:p>
                  <w:pPr>
                    <w:pStyle w:val="Compact"/>
                  </w:pPr>
                </w:p>
              </w:tc>
            </w:tr>
            <w:tr>
              <w:tc>
                <w:tcPr/>
                <w:p>
                  <w:pPr>
                    <w:pStyle w:val="Compact"/>
                    <w:jc w:val="left"/>
                    <w:jc w:val="center"/>
                  </w:pPr>
                  <w:r>
                    <w:t xml:space="preserve">   Surface Quina vs Longtan Quina</w:t>
                  </w:r>
                </w:p>
              </w:tc>
              <w:tc>
                <w:tcPr/>
                <w:p>
                  <w:pPr>
                    <w:pStyle w:val="Compact"/>
                    <w:jc w:val="right"/>
                    <w:jc w:val="center"/>
                  </w:pPr>
                  <w:r>
                    <w:t xml:space="preserve">t = 1.14</w:t>
                  </w:r>
                </w:p>
              </w:tc>
              <w:tc>
                <w:tcPr/>
                <w:p>
                  <w:pPr>
                    <w:pStyle w:val="Compact"/>
                    <w:jc w:val="right"/>
                    <w:jc w:val="center"/>
                  </w:pPr>
                  <w:r>
                    <w:t xml:space="preserve">83.9</w:t>
                  </w:r>
                </w:p>
              </w:tc>
              <w:tc>
                <w:tcPr/>
                <w:p>
                  <w:pPr>
                    <w:pStyle w:val="Compact"/>
                    <w:jc w:val="right"/>
                    <w:jc w:val="center"/>
                  </w:pPr>
                  <w:r>
                    <w:t xml:space="preserve">0.774</w:t>
                  </w:r>
                </w:p>
              </w:tc>
              <w:tc>
                <w:tcPr/>
                <w:p>
                  <w:pPr>
                    <w:pStyle w:val="Compact"/>
                  </w:pPr>
                </w:p>
              </w:tc>
              <w:tc>
                <w:tcPr/>
                <w:p>
                  <w:pPr>
                    <w:pStyle w:val="Compact"/>
                    <w:jc w:val="right"/>
                    <w:jc w:val="center"/>
                  </w:pPr>
                  <w:r>
                    <w:t xml:space="preserve">ns</w:t>
                  </w:r>
                </w:p>
              </w:tc>
            </w:tr>
            <w:tr>
              <w:tc>
                <w:tcPr/>
                <w:p>
                  <w:pPr>
                    <w:pStyle w:val="Compact"/>
                    <w:jc w:val="left"/>
                    <w:jc w:val="center"/>
                  </w:pPr>
                  <w:r>
                    <w:t xml:space="preserve">   Surface Quina vs Longtan non-Quina</w:t>
                  </w:r>
                </w:p>
              </w:tc>
              <w:tc>
                <w:tcPr/>
                <w:p>
                  <w:pPr>
                    <w:pStyle w:val="Compact"/>
                    <w:jc w:val="right"/>
                    <w:jc w:val="center"/>
                  </w:pPr>
                  <w:r>
                    <w:t xml:space="preserve">t = 9.03</w:t>
                  </w:r>
                </w:p>
              </w:tc>
              <w:tc>
                <w:tcPr/>
                <w:p>
                  <w:pPr>
                    <w:pStyle w:val="Compact"/>
                    <w:jc w:val="right"/>
                    <w:jc w:val="center"/>
                  </w:pPr>
                  <w:r>
                    <w:t xml:space="preserve">234.7</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t xml:space="preserve">   Longtan Quina vs Longtan non-Quina</w:t>
                  </w:r>
                </w:p>
              </w:tc>
              <w:tc>
                <w:tcPr/>
                <w:p>
                  <w:pPr>
                    <w:pStyle w:val="Compact"/>
                    <w:jc w:val="right"/>
                    <w:jc w:val="center"/>
                  </w:pPr>
                  <w:r>
                    <w:t xml:space="preserve">t = 4.55</w:t>
                  </w:r>
                </w:p>
              </w:tc>
              <w:tc>
                <w:tcPr/>
                <w:p>
                  <w:pPr>
                    <w:pStyle w:val="Compact"/>
                    <w:jc w:val="right"/>
                    <w:jc w:val="center"/>
                  </w:pPr>
                  <w:r>
                    <w:t xml:space="preserve">72.4</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rPr>
                      <w:b/>
                      <w:bCs/>
                    </w:rPr>
                    <w:t xml:space="preserve">GIUR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rPr>
                      <w:i/>
                      <w:iCs/>
                    </w:rPr>
                    <w:t xml:space="preserve">Kruskal–Wallis</w:t>
                  </w:r>
                </w:p>
              </w:tc>
              <w:tc>
                <w:tcPr/>
                <w:p>
                  <w:pPr>
                    <w:pStyle w:val="Compact"/>
                    <w:jc w:val="right"/>
                    <w:jc w:val="center"/>
                  </w:pPr>
                  <w:r>
                    <w:t xml:space="preserve">H = 119.03</w:t>
                  </w:r>
                </w:p>
              </w:tc>
              <w:tc>
                <w:tcPr/>
                <w:p>
                  <w:pPr>
                    <w:pStyle w:val="Compact"/>
                    <w:jc w:val="right"/>
                    <w:jc w:val="center"/>
                  </w:pPr>
                  <w:r>
                    <w:t xml:space="preserve">2</w:t>
                  </w:r>
                </w:p>
              </w:tc>
              <w:tc>
                <w:tcPr/>
                <w:p>
                  <w:pPr>
                    <w:pStyle w:val="Compact"/>
                    <w:jc w:val="right"/>
                    <w:jc w:val="center"/>
                  </w:pPr>
                  <w:r>
                    <w:t xml:space="preserve">&lt; 0.001</w:t>
                  </w:r>
                </w:p>
              </w:tc>
              <w:tc>
                <w:tcPr/>
                <w:p>
                  <w:pPr>
                    <w:pStyle w:val="Compact"/>
                    <w:jc w:val="right"/>
                    <w:jc w:val="center"/>
                  </w:pPr>
                  <w:r>
                    <w:t xml:space="preserve">ε² = 0.398</w:t>
                  </w:r>
                </w:p>
              </w:tc>
              <w:tc>
                <w:tcPr/>
                <w:p>
                  <w:pPr>
                    <w:pStyle w:val="Compact"/>
                  </w:pPr>
                </w:p>
              </w:tc>
            </w:tr>
            <w:tr>
              <w:tc>
                <w:tcPr/>
                <w:p>
                  <w:pPr>
                    <w:pStyle w:val="Compact"/>
                    <w:jc w:val="left"/>
                    <w:jc w:val="center"/>
                  </w:pPr>
                  <w:r>
                    <w:t xml:space="preserve">   Surface Quina vs Longtan Quina</w:t>
                  </w:r>
                </w:p>
              </w:tc>
              <w:tc>
                <w:tcPr/>
                <w:p>
                  <w:pPr>
                    <w:pStyle w:val="Compact"/>
                    <w:jc w:val="right"/>
                    <w:jc w:val="center"/>
                  </w:pPr>
                  <w:r>
                    <w:t xml:space="preserve">Z = 0.46</w:t>
                  </w:r>
                </w:p>
              </w:tc>
              <w:tc>
                <w:tcPr/>
                <w:p>
                  <w:pPr>
                    <w:pStyle w:val="Compact"/>
                    <w:jc w:val="right"/>
                    <w:jc w:val="center"/>
                  </w:pPr>
                  <w:r>
                    <w:t xml:space="preserve">165, 53</w:t>
                  </w:r>
                </w:p>
              </w:tc>
              <w:tc>
                <w:tcPr/>
                <w:p>
                  <w:pPr>
                    <w:pStyle w:val="Compact"/>
                    <w:jc w:val="right"/>
                    <w:jc w:val="center"/>
                  </w:pPr>
                  <w:r>
                    <w:t xml:space="preserve">1.000</w:t>
                  </w:r>
                </w:p>
              </w:tc>
              <w:tc>
                <w:tcPr/>
                <w:p>
                  <w:pPr>
                    <w:pStyle w:val="Compact"/>
                  </w:pPr>
                </w:p>
              </w:tc>
              <w:tc>
                <w:tcPr/>
                <w:p>
                  <w:pPr>
                    <w:pStyle w:val="Compact"/>
                    <w:jc w:val="right"/>
                    <w:jc w:val="center"/>
                  </w:pPr>
                  <w:r>
                    <w:t xml:space="preserve">ns</w:t>
                  </w:r>
                </w:p>
              </w:tc>
            </w:tr>
            <w:tr>
              <w:tc>
                <w:tcPr/>
                <w:p>
                  <w:pPr>
                    <w:pStyle w:val="Compact"/>
                    <w:jc w:val="left"/>
                    <w:jc w:val="center"/>
                  </w:pPr>
                  <w:r>
                    <w:t xml:space="preserve">   Surface Quina vs Longtan non-Quina</w:t>
                  </w:r>
                </w:p>
              </w:tc>
              <w:tc>
                <w:tcPr/>
                <w:p>
                  <w:pPr>
                    <w:pStyle w:val="Compact"/>
                    <w:jc w:val="right"/>
                    <w:jc w:val="center"/>
                  </w:pPr>
                  <w:r>
                    <w:t xml:space="preserve">Z = -10.33</w:t>
                  </w:r>
                </w:p>
              </w:tc>
              <w:tc>
                <w:tcPr/>
                <w:p>
                  <w:pPr>
                    <w:pStyle w:val="Compact"/>
                    <w:jc w:val="right"/>
                    <w:jc w:val="center"/>
                  </w:pPr>
                  <w:r>
                    <w:t xml:space="preserve">165, 79</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t xml:space="preserve">   Longtan Quina vs Longtan non-Quina</w:t>
                  </w:r>
                </w:p>
              </w:tc>
              <w:tc>
                <w:tcPr/>
                <w:p>
                  <w:pPr>
                    <w:pStyle w:val="Compact"/>
                    <w:jc w:val="right"/>
                    <w:jc w:val="center"/>
                  </w:pPr>
                  <w:r>
                    <w:t xml:space="preserve">Z = -8.37</w:t>
                  </w:r>
                </w:p>
              </w:tc>
              <w:tc>
                <w:tcPr/>
                <w:p>
                  <w:pPr>
                    <w:pStyle w:val="Compact"/>
                    <w:jc w:val="right"/>
                    <w:jc w:val="center"/>
                  </w:pPr>
                  <w:r>
                    <w:t xml:space="preserve">53, 79</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rPr>
                      <w:b/>
                      <w:bCs/>
                    </w:rPr>
                    <w:t xml:space="preserve">Total scars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rPr>
                      <w:i/>
                      <w:iCs/>
                    </w:rPr>
                    <w:t xml:space="preserve">Kruskal–Wallis</w:t>
                  </w:r>
                </w:p>
              </w:tc>
              <w:tc>
                <w:tcPr/>
                <w:p>
                  <w:pPr>
                    <w:pStyle w:val="Compact"/>
                    <w:jc w:val="right"/>
                    <w:jc w:val="center"/>
                  </w:pPr>
                  <w:r>
                    <w:t xml:space="preserve">H = 79.80</w:t>
                  </w:r>
                </w:p>
              </w:tc>
              <w:tc>
                <w:tcPr/>
                <w:p>
                  <w:pPr>
                    <w:pStyle w:val="Compact"/>
                    <w:jc w:val="right"/>
                    <w:jc w:val="center"/>
                  </w:pPr>
                  <w:r>
                    <w:t xml:space="preserve">2</w:t>
                  </w:r>
                </w:p>
              </w:tc>
              <w:tc>
                <w:tcPr/>
                <w:p>
                  <w:pPr>
                    <w:pStyle w:val="Compact"/>
                    <w:jc w:val="right"/>
                    <w:jc w:val="center"/>
                  </w:pPr>
                  <w:r>
                    <w:t xml:space="preserve">&lt; 0.001</w:t>
                  </w:r>
                </w:p>
              </w:tc>
              <w:tc>
                <w:tcPr/>
                <w:p>
                  <w:pPr>
                    <w:pStyle w:val="Compact"/>
                    <w:jc w:val="right"/>
                    <w:jc w:val="center"/>
                  </w:pPr>
                  <w:r>
                    <w:t xml:space="preserve">ε² = 0.265</w:t>
                  </w:r>
                </w:p>
              </w:tc>
              <w:tc>
                <w:tcPr/>
                <w:p>
                  <w:pPr>
                    <w:pStyle w:val="Compact"/>
                  </w:pPr>
                </w:p>
              </w:tc>
            </w:tr>
            <w:tr>
              <w:tc>
                <w:tcPr/>
                <w:p>
                  <w:pPr>
                    <w:pStyle w:val="Compact"/>
                    <w:jc w:val="left"/>
                    <w:jc w:val="center"/>
                  </w:pPr>
                  <w:r>
                    <w:t xml:space="preserve">   Surface Quina vs Longtan Quina</w:t>
                  </w:r>
                </w:p>
              </w:tc>
              <w:tc>
                <w:tcPr/>
                <w:p>
                  <w:pPr>
                    <w:pStyle w:val="Compact"/>
                    <w:jc w:val="right"/>
                    <w:jc w:val="center"/>
                  </w:pPr>
                  <w:r>
                    <w:t xml:space="preserve">Z = 0.16</w:t>
                  </w:r>
                </w:p>
              </w:tc>
              <w:tc>
                <w:tcPr/>
                <w:p>
                  <w:pPr>
                    <w:pStyle w:val="Compact"/>
                    <w:jc w:val="right"/>
                    <w:jc w:val="center"/>
                  </w:pPr>
                  <w:r>
                    <w:t xml:space="preserve">165, 53</w:t>
                  </w:r>
                </w:p>
              </w:tc>
              <w:tc>
                <w:tcPr/>
                <w:p>
                  <w:pPr>
                    <w:pStyle w:val="Compact"/>
                    <w:jc w:val="right"/>
                    <w:jc w:val="center"/>
                  </w:pPr>
                  <w:r>
                    <w:t xml:space="preserve">1.000</w:t>
                  </w:r>
                </w:p>
              </w:tc>
              <w:tc>
                <w:tcPr/>
                <w:p>
                  <w:pPr>
                    <w:pStyle w:val="Compact"/>
                  </w:pPr>
                </w:p>
              </w:tc>
              <w:tc>
                <w:tcPr/>
                <w:p>
                  <w:pPr>
                    <w:pStyle w:val="Compact"/>
                    <w:jc w:val="right"/>
                    <w:jc w:val="center"/>
                  </w:pPr>
                  <w:r>
                    <w:t xml:space="preserve">ns</w:t>
                  </w:r>
                </w:p>
              </w:tc>
            </w:tr>
            <w:tr>
              <w:tc>
                <w:tcPr/>
                <w:p>
                  <w:pPr>
                    <w:pStyle w:val="Compact"/>
                    <w:jc w:val="left"/>
                    <w:jc w:val="center"/>
                  </w:pPr>
                  <w:r>
                    <w:t xml:space="preserve">   Surface Quina vs Longtan non-Quina</w:t>
                  </w:r>
                </w:p>
              </w:tc>
              <w:tc>
                <w:tcPr/>
                <w:p>
                  <w:pPr>
                    <w:pStyle w:val="Compact"/>
                    <w:jc w:val="right"/>
                    <w:jc w:val="center"/>
                  </w:pPr>
                  <w:r>
                    <w:t xml:space="preserve">Z = -8.53</w:t>
                  </w:r>
                </w:p>
              </w:tc>
              <w:tc>
                <w:tcPr/>
                <w:p>
                  <w:pPr>
                    <w:pStyle w:val="Compact"/>
                    <w:jc w:val="right"/>
                    <w:jc w:val="center"/>
                  </w:pPr>
                  <w:r>
                    <w:t xml:space="preserve">165, 79</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t xml:space="preserve">   Longtan Quina vs Longtan non-Quina</w:t>
                  </w:r>
                </w:p>
              </w:tc>
              <w:tc>
                <w:tcPr/>
                <w:p>
                  <w:pPr>
                    <w:pStyle w:val="Compact"/>
                    <w:jc w:val="right"/>
                    <w:jc w:val="center"/>
                  </w:pPr>
                  <w:r>
                    <w:t xml:space="preserve">Z = -6.71</w:t>
                  </w:r>
                </w:p>
              </w:tc>
              <w:tc>
                <w:tcPr/>
                <w:p>
                  <w:pPr>
                    <w:pStyle w:val="Compact"/>
                    <w:jc w:val="right"/>
                    <w:jc w:val="center"/>
                  </w:pPr>
                  <w:r>
                    <w:t xml:space="preserve">53, 79</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rPr>
                      <w:b/>
                      <w:bCs/>
                    </w:rPr>
                    <w:t xml:space="preserve">Retouch generations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rPr>
                      <w:i/>
                      <w:iCs/>
                    </w:rPr>
                    <w:t xml:space="preserve">Kruskal–Wallis</w:t>
                  </w:r>
                </w:p>
              </w:tc>
              <w:tc>
                <w:tcPr/>
                <w:p>
                  <w:pPr>
                    <w:pStyle w:val="Compact"/>
                    <w:jc w:val="right"/>
                    <w:jc w:val="center"/>
                  </w:pPr>
                  <w:r>
                    <w:t xml:space="preserve">H = 116.16</w:t>
                  </w:r>
                </w:p>
              </w:tc>
              <w:tc>
                <w:tcPr/>
                <w:p>
                  <w:pPr>
                    <w:pStyle w:val="Compact"/>
                    <w:jc w:val="right"/>
                    <w:jc w:val="center"/>
                  </w:pPr>
                  <w:r>
                    <w:t xml:space="preserve">2</w:t>
                  </w:r>
                </w:p>
              </w:tc>
              <w:tc>
                <w:tcPr/>
                <w:p>
                  <w:pPr>
                    <w:pStyle w:val="Compact"/>
                    <w:jc w:val="right"/>
                    <w:jc w:val="center"/>
                  </w:pPr>
                  <w:r>
                    <w:t xml:space="preserve">&lt; 0.001</w:t>
                  </w:r>
                </w:p>
              </w:tc>
              <w:tc>
                <w:tcPr/>
                <w:p>
                  <w:pPr>
                    <w:pStyle w:val="Compact"/>
                    <w:jc w:val="right"/>
                    <w:jc w:val="center"/>
                  </w:pPr>
                  <w:r>
                    <w:t xml:space="preserve">ε² = 0.388</w:t>
                  </w:r>
                </w:p>
              </w:tc>
              <w:tc>
                <w:tcPr/>
                <w:p>
                  <w:pPr>
                    <w:pStyle w:val="Compact"/>
                  </w:pPr>
                </w:p>
              </w:tc>
            </w:tr>
            <w:tr>
              <w:tc>
                <w:tcPr/>
                <w:p>
                  <w:pPr>
                    <w:pStyle w:val="Compact"/>
                    <w:jc w:val="left"/>
                    <w:jc w:val="center"/>
                  </w:pPr>
                  <w:r>
                    <w:t xml:space="preserve">   Surface Quina vs Longtan Quina</w:t>
                  </w:r>
                </w:p>
              </w:tc>
              <w:tc>
                <w:tcPr/>
                <w:p>
                  <w:pPr>
                    <w:pStyle w:val="Compact"/>
                    <w:jc w:val="right"/>
                    <w:jc w:val="center"/>
                  </w:pPr>
                  <w:r>
                    <w:t xml:space="preserve">Z = 1.04</w:t>
                  </w:r>
                </w:p>
              </w:tc>
              <w:tc>
                <w:tcPr/>
                <w:p>
                  <w:pPr>
                    <w:pStyle w:val="Compact"/>
                    <w:jc w:val="right"/>
                    <w:jc w:val="center"/>
                  </w:pPr>
                  <w:r>
                    <w:t xml:space="preserve">165, 53</w:t>
                  </w:r>
                </w:p>
              </w:tc>
              <w:tc>
                <w:tcPr/>
                <w:p>
                  <w:pPr>
                    <w:pStyle w:val="Compact"/>
                    <w:jc w:val="right"/>
                    <w:jc w:val="center"/>
                  </w:pPr>
                  <w:r>
                    <w:t xml:space="preserve">0.897</w:t>
                  </w:r>
                </w:p>
              </w:tc>
              <w:tc>
                <w:tcPr/>
                <w:p>
                  <w:pPr>
                    <w:pStyle w:val="Compact"/>
                  </w:pPr>
                </w:p>
              </w:tc>
              <w:tc>
                <w:tcPr/>
                <w:p>
                  <w:pPr>
                    <w:pStyle w:val="Compact"/>
                    <w:jc w:val="right"/>
                    <w:jc w:val="center"/>
                  </w:pPr>
                  <w:r>
                    <w:t xml:space="preserve">ns</w:t>
                  </w:r>
                </w:p>
              </w:tc>
            </w:tr>
            <w:tr>
              <w:tc>
                <w:tcPr/>
                <w:p>
                  <w:pPr>
                    <w:pStyle w:val="Compact"/>
                    <w:jc w:val="left"/>
                    <w:jc w:val="center"/>
                  </w:pPr>
                  <w:r>
                    <w:t xml:space="preserve">   Surface Quina vs Longtan non-Quina</w:t>
                  </w:r>
                </w:p>
              </w:tc>
              <w:tc>
                <w:tcPr/>
                <w:p>
                  <w:pPr>
                    <w:pStyle w:val="Compact"/>
                    <w:jc w:val="right"/>
                    <w:jc w:val="center"/>
                  </w:pPr>
                  <w:r>
                    <w:t xml:space="preserve">Z = -10.01</w:t>
                  </w:r>
                </w:p>
              </w:tc>
              <w:tc>
                <w:tcPr/>
                <w:p>
                  <w:pPr>
                    <w:pStyle w:val="Compact"/>
                    <w:jc w:val="right"/>
                    <w:jc w:val="center"/>
                  </w:pPr>
                  <w:r>
                    <w:t xml:space="preserve">165, 79</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t xml:space="preserve">   Longtan Quina vs Longtan non-Quina</w:t>
                  </w:r>
                </w:p>
              </w:tc>
              <w:tc>
                <w:tcPr/>
                <w:p>
                  <w:pPr>
                    <w:pStyle w:val="Compact"/>
                    <w:jc w:val="right"/>
                    <w:jc w:val="center"/>
                  </w:pPr>
                  <w:r>
                    <w:t xml:space="preserve">Z = -8.63</w:t>
                  </w:r>
                </w:p>
              </w:tc>
              <w:tc>
                <w:tcPr/>
                <w:p>
                  <w:pPr>
                    <w:pStyle w:val="Compact"/>
                    <w:jc w:val="right"/>
                    <w:jc w:val="center"/>
                  </w:pPr>
                  <w:r>
                    <w:t xml:space="preserve">53, 79</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rPr>
                      <w:b/>
                      <w:bCs/>
                    </w:rPr>
                    <w:t xml:space="preserve">Edge angle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rPr>
                      <w:i/>
                      <w:iCs/>
                    </w:rPr>
                    <w:t xml:space="preserve">Welch’s ANOVA</w:t>
                  </w:r>
                </w:p>
              </w:tc>
              <w:tc>
                <w:tcPr/>
                <w:p>
                  <w:pPr>
                    <w:pStyle w:val="Compact"/>
                    <w:jc w:val="right"/>
                    <w:jc w:val="center"/>
                  </w:pPr>
                  <w:r>
                    <w:t xml:space="preserve">F = 50.78</w:t>
                  </w:r>
                </w:p>
              </w:tc>
              <w:tc>
                <w:tcPr/>
                <w:p>
                  <w:pPr>
                    <w:pStyle w:val="Compact"/>
                    <w:jc w:val="right"/>
                    <w:jc w:val="center"/>
                  </w:pPr>
                  <w:r>
                    <w:t xml:space="preserve">2, 128.8</w:t>
                  </w:r>
                </w:p>
              </w:tc>
              <w:tc>
                <w:tcPr/>
                <w:p>
                  <w:pPr>
                    <w:pStyle w:val="Compact"/>
                    <w:jc w:val="right"/>
                    <w:jc w:val="center"/>
                  </w:pPr>
                  <w:r>
                    <w:t xml:space="preserve">&lt; 0.001</w:t>
                  </w:r>
                </w:p>
              </w:tc>
              <w:tc>
                <w:tcPr/>
                <w:p>
                  <w:pPr>
                    <w:pStyle w:val="Compact"/>
                  </w:pPr>
                </w:p>
              </w:tc>
              <w:tc>
                <w:tcPr/>
                <w:p>
                  <w:pPr>
                    <w:pStyle w:val="Compact"/>
                  </w:pPr>
                </w:p>
              </w:tc>
            </w:tr>
            <w:tr>
              <w:tc>
                <w:tcPr/>
                <w:p>
                  <w:pPr>
                    <w:pStyle w:val="Compact"/>
                    <w:jc w:val="left"/>
                    <w:jc w:val="center"/>
                  </w:pPr>
                  <w:r>
                    <w:t xml:space="preserve">   Surface Quina vs Longtan Quina</w:t>
                  </w:r>
                </w:p>
              </w:tc>
              <w:tc>
                <w:tcPr/>
                <w:p>
                  <w:pPr>
                    <w:pStyle w:val="Compact"/>
                    <w:jc w:val="right"/>
                    <w:jc w:val="center"/>
                  </w:pPr>
                  <w:r>
                    <w:t xml:space="preserve">t = -0.11</w:t>
                  </w:r>
                </w:p>
              </w:tc>
              <w:tc>
                <w:tcPr/>
                <w:p>
                  <w:pPr>
                    <w:pStyle w:val="Compact"/>
                    <w:jc w:val="right"/>
                    <w:jc w:val="center"/>
                  </w:pPr>
                  <w:r>
                    <w:t xml:space="preserve">93.5</w:t>
                  </w:r>
                </w:p>
              </w:tc>
              <w:tc>
                <w:tcPr/>
                <w:p>
                  <w:pPr>
                    <w:pStyle w:val="Compact"/>
                    <w:jc w:val="right"/>
                    <w:jc w:val="center"/>
                  </w:pPr>
                  <w:r>
                    <w:t xml:space="preserve">1.000</w:t>
                  </w:r>
                </w:p>
              </w:tc>
              <w:tc>
                <w:tcPr/>
                <w:p>
                  <w:pPr>
                    <w:pStyle w:val="Compact"/>
                  </w:pPr>
                </w:p>
              </w:tc>
              <w:tc>
                <w:tcPr/>
                <w:p>
                  <w:pPr>
                    <w:pStyle w:val="Compact"/>
                    <w:jc w:val="right"/>
                    <w:jc w:val="center"/>
                  </w:pPr>
                  <w:r>
                    <w:t xml:space="preserve">ns</w:t>
                  </w:r>
                </w:p>
              </w:tc>
            </w:tr>
            <w:tr>
              <w:tc>
                <w:tcPr/>
                <w:p>
                  <w:pPr>
                    <w:pStyle w:val="Compact"/>
                    <w:jc w:val="left"/>
                    <w:jc w:val="center"/>
                  </w:pPr>
                  <w:r>
                    <w:t xml:space="preserve">   Surface Quina vs Longtan non-Quina</w:t>
                  </w:r>
                </w:p>
              </w:tc>
              <w:tc>
                <w:tcPr/>
                <w:p>
                  <w:pPr>
                    <w:pStyle w:val="Compact"/>
                    <w:jc w:val="right"/>
                    <w:jc w:val="center"/>
                  </w:pPr>
                  <w:r>
                    <w:t xml:space="preserve">t = 9.64</w:t>
                  </w:r>
                </w:p>
              </w:tc>
              <w:tc>
                <w:tcPr/>
                <w:p>
                  <w:pPr>
                    <w:pStyle w:val="Compact"/>
                    <w:jc w:val="right"/>
                    <w:jc w:val="center"/>
                  </w:pPr>
                  <w:r>
                    <w:t xml:space="preserve">149.6</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r>
              <w:tc>
                <w:tcPr/>
                <w:p>
                  <w:pPr>
                    <w:pStyle w:val="Compact"/>
                    <w:jc w:val="left"/>
                    <w:jc w:val="center"/>
                  </w:pPr>
                  <w:r>
                    <w:t xml:space="preserve">   Longtan Quina vs Longtan non-Quina</w:t>
                  </w:r>
                </w:p>
              </w:tc>
              <w:tc>
                <w:tcPr/>
                <w:p>
                  <w:pPr>
                    <w:pStyle w:val="Compact"/>
                    <w:jc w:val="right"/>
                    <w:jc w:val="center"/>
                  </w:pPr>
                  <w:r>
                    <w:t xml:space="preserve">t = 7.89</w:t>
                  </w:r>
                </w:p>
              </w:tc>
              <w:tc>
                <w:tcPr/>
                <w:p>
                  <w:pPr>
                    <w:pStyle w:val="Compact"/>
                    <w:jc w:val="right"/>
                    <w:jc w:val="center"/>
                  </w:pPr>
                  <w:r>
                    <w:t xml:space="preserve">119.0</w:t>
                  </w:r>
                </w:p>
              </w:tc>
              <w:tc>
                <w:tcPr/>
                <w:p>
                  <w:pPr>
                    <w:pStyle w:val="Compact"/>
                    <w:jc w:val="right"/>
                    <w:jc w:val="center"/>
                  </w:pPr>
                  <w:r>
                    <w:t xml:space="preserve">&lt; 0.001</w:t>
                  </w:r>
                </w:p>
              </w:tc>
              <w:tc>
                <w:tcPr/>
                <w:p>
                  <w:pPr>
                    <w:pStyle w:val="Compact"/>
                  </w:pPr>
                </w:p>
              </w:tc>
              <w:tc>
                <w:tcPr/>
                <w:p>
                  <w:pPr>
                    <w:pStyle w:val="Compact"/>
                    <w:jc w:val="right"/>
                    <w:jc w:val="center"/>
                  </w:pPr>
                  <w:r>
                    <w:t xml:space="preserve">****</w:t>
                  </w:r>
                </w:p>
              </w:tc>
            </w:tr>
          </w:tbl>
          <w:bookmarkEnd w:id="24"/>
          <w:p/>
        </w:tc>
      </w:tr>
    </w:tbl>
    <w:p>
      <w:r>
        <w:br w:type="page"/>
      </w:r>
    </w:p>
    <w:tbl>
      <w:tblPr>
        <w:tblStyle w:val="Table"/>
        <w:tblW w:type="pct" w:w="5000"/>
        <w:tblLayout w:type="fixed"/>
        <w:tblLook w:firstRow="0" w:lastRow="0" w:firstColumn="0" w:lastColumn="0" w:noHBand="0" w:noVBand="0" w:val="0000"/>
      </w:tblPr>
      <w:tblGrid>
        <w:gridCol w:w="7920"/>
      </w:tblGrid>
      <w:tr>
        <w:tc>
          <w:tcPr/>
          <w:bookmarkStart w:id="25" w:name="tbl-tc-pca"/>
          <w:p>
            <w:pPr>
              <w:jc w:val="center"/>
            </w:pPr>
            <w:pPr>
              <w:jc w:val="left"/>
              <w:spacing w:before="200"/>
              <w:pStyle w:val="ImageCaption"/>
            </w:pPr>
            <w:r>
              <w:t xml:space="preserve">Table S8: Loadings of all six principal components of the z-scored technological space, with the eigenvalue, the percentage of variance and the cumulative percentage for each. The ordination in the main text plots the first two components. The first loads in the same direction on all six variables and is therefore a general axis of reduction intensity; the remaining four together account for less than a quarter of the variance.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Variable</w:t>
                  </w:r>
                </w:p>
              </w:tc>
              <w:tc>
                <w:tcPr/>
                <w:p>
                  <w:pPr>
                    <w:pStyle w:val="Compact"/>
                    <w:jc w:val="right"/>
                    <w:jc w:val="center"/>
                  </w:pPr>
                  <w:r>
                    <w:t xml:space="preserve">PC1</w:t>
                  </w:r>
                </w:p>
              </w:tc>
              <w:tc>
                <w:tcPr/>
                <w:p>
                  <w:pPr>
                    <w:pStyle w:val="Compact"/>
                    <w:jc w:val="right"/>
                    <w:jc w:val="center"/>
                  </w:pPr>
                  <w:r>
                    <w:t xml:space="preserve">PC2</w:t>
                  </w:r>
                </w:p>
              </w:tc>
              <w:tc>
                <w:tcPr/>
                <w:p>
                  <w:pPr>
                    <w:pStyle w:val="Compact"/>
                    <w:jc w:val="right"/>
                    <w:jc w:val="center"/>
                  </w:pPr>
                  <w:r>
                    <w:t xml:space="preserve">PC3</w:t>
                  </w:r>
                </w:p>
              </w:tc>
              <w:tc>
                <w:tcPr/>
                <w:p>
                  <w:pPr>
                    <w:pStyle w:val="Compact"/>
                    <w:jc w:val="right"/>
                    <w:jc w:val="center"/>
                  </w:pPr>
                  <w:r>
                    <w:t xml:space="preserve">PC4</w:t>
                  </w:r>
                </w:p>
              </w:tc>
              <w:tc>
                <w:tcPr/>
                <w:p>
                  <w:pPr>
                    <w:pStyle w:val="Compact"/>
                    <w:jc w:val="right"/>
                    <w:jc w:val="center"/>
                  </w:pPr>
                  <w:r>
                    <w:t xml:space="preserve">PC5</w:t>
                  </w:r>
                </w:p>
              </w:tc>
              <w:tc>
                <w:tcPr/>
                <w:p>
                  <w:pPr>
                    <w:pStyle w:val="Compact"/>
                    <w:jc w:val="right"/>
                    <w:jc w:val="center"/>
                  </w:pPr>
                  <w:r>
                    <w:t xml:space="preserve">PC6</w:t>
                  </w:r>
                </w:p>
              </w:tc>
            </w:tr>
            <w:tr>
              <w:tc>
                <w:tcPr/>
                <w:p>
                  <w:pPr>
                    <w:pStyle w:val="Compact"/>
                    <w:jc w:val="left"/>
                    <w:jc w:val="center"/>
                  </w:pPr>
                  <w:r>
                    <w:t xml:space="preserve">Thickness (mm)</w:t>
                  </w:r>
                </w:p>
              </w:tc>
              <w:tc>
                <w:tcPr/>
                <w:p>
                  <w:pPr>
                    <w:pStyle w:val="Compact"/>
                    <w:jc w:val="right"/>
                    <w:jc w:val="center"/>
                  </w:pPr>
                  <w:r>
                    <w:t xml:space="preserve">-0.332</w:t>
                  </w:r>
                </w:p>
              </w:tc>
              <w:tc>
                <w:tcPr/>
                <w:p>
                  <w:pPr>
                    <w:pStyle w:val="Compact"/>
                    <w:jc w:val="right"/>
                    <w:jc w:val="center"/>
                  </w:pPr>
                  <w:r>
                    <w:t xml:space="preserve">0.255</w:t>
                  </w:r>
                </w:p>
              </w:tc>
              <w:tc>
                <w:tcPr/>
                <w:p>
                  <w:pPr>
                    <w:pStyle w:val="Compact"/>
                    <w:jc w:val="right"/>
                    <w:jc w:val="center"/>
                  </w:pPr>
                  <w:r>
                    <w:t xml:space="preserve">-0.762</w:t>
                  </w:r>
                </w:p>
              </w:tc>
              <w:tc>
                <w:tcPr/>
                <w:p>
                  <w:pPr>
                    <w:pStyle w:val="Compact"/>
                    <w:jc w:val="right"/>
                    <w:jc w:val="center"/>
                  </w:pPr>
                  <w:r>
                    <w:t xml:space="preserve">-0.376</w:t>
                  </w:r>
                </w:p>
              </w:tc>
              <w:tc>
                <w:tcPr/>
                <w:p>
                  <w:pPr>
                    <w:pStyle w:val="Compact"/>
                    <w:jc w:val="right"/>
                    <w:jc w:val="center"/>
                  </w:pPr>
                  <w:r>
                    <w:t xml:space="preserve">-0.311</w:t>
                  </w:r>
                </w:p>
              </w:tc>
              <w:tc>
                <w:tcPr/>
                <w:p>
                  <w:pPr>
                    <w:pStyle w:val="Compact"/>
                    <w:jc w:val="right"/>
                    <w:jc w:val="center"/>
                  </w:pPr>
                  <w:r>
                    <w:t xml:space="preserve">-0.076</w:t>
                  </w:r>
                </w:p>
              </w:tc>
            </w:tr>
            <w:tr>
              <w:tc>
                <w:tcPr/>
                <w:p>
                  <w:pPr>
                    <w:pStyle w:val="Compact"/>
                    <w:jc w:val="left"/>
                    <w:jc w:val="center"/>
                  </w:pPr>
                  <w:r>
                    <w:t xml:space="preserve">Retouched perimeter</w:t>
                  </w:r>
                </w:p>
              </w:tc>
              <w:tc>
                <w:tcPr/>
                <w:p>
                  <w:pPr>
                    <w:pStyle w:val="Compact"/>
                    <w:jc w:val="right"/>
                    <w:jc w:val="center"/>
                  </w:pPr>
                  <w:r>
                    <w:t xml:space="preserve">-0.383</w:t>
                  </w:r>
                </w:p>
              </w:tc>
              <w:tc>
                <w:tcPr/>
                <w:p>
                  <w:pPr>
                    <w:pStyle w:val="Compact"/>
                    <w:jc w:val="right"/>
                    <w:jc w:val="center"/>
                  </w:pPr>
                  <w:r>
                    <w:t xml:space="preserve">-0.669</w:t>
                  </w:r>
                </w:p>
              </w:tc>
              <w:tc>
                <w:tcPr/>
                <w:p>
                  <w:pPr>
                    <w:pStyle w:val="Compact"/>
                    <w:jc w:val="right"/>
                    <w:jc w:val="center"/>
                  </w:pPr>
                  <w:r>
                    <w:t xml:space="preserve">-0.022</w:t>
                  </w:r>
                </w:p>
              </w:tc>
              <w:tc>
                <w:tcPr/>
                <w:p>
                  <w:pPr>
                    <w:pStyle w:val="Compact"/>
                    <w:jc w:val="right"/>
                    <w:jc w:val="center"/>
                  </w:pPr>
                  <w:r>
                    <w:t xml:space="preserve">0.105</w:t>
                  </w:r>
                </w:p>
              </w:tc>
              <w:tc>
                <w:tcPr/>
                <w:p>
                  <w:pPr>
                    <w:pStyle w:val="Compact"/>
                    <w:jc w:val="right"/>
                    <w:jc w:val="center"/>
                  </w:pPr>
                  <w:r>
                    <w:t xml:space="preserve">-0.343</w:t>
                  </w:r>
                </w:p>
              </w:tc>
              <w:tc>
                <w:tcPr/>
                <w:p>
                  <w:pPr>
                    <w:pStyle w:val="Compact"/>
                    <w:jc w:val="right"/>
                    <w:jc w:val="center"/>
                  </w:pPr>
                  <w:r>
                    <w:t xml:space="preserve">0.526</w:t>
                  </w:r>
                </w:p>
              </w:tc>
            </w:tr>
            <w:tr>
              <w:tc>
                <w:tcPr/>
                <w:p>
                  <w:pPr>
                    <w:pStyle w:val="Compact"/>
                    <w:jc w:val="left"/>
                    <w:jc w:val="center"/>
                  </w:pPr>
                  <w:r>
                    <w:t xml:space="preserve">GIUR</w:t>
                  </w:r>
                </w:p>
              </w:tc>
              <w:tc>
                <w:tcPr/>
                <w:p>
                  <w:pPr>
                    <w:pStyle w:val="Compact"/>
                    <w:jc w:val="right"/>
                    <w:jc w:val="center"/>
                  </w:pPr>
                  <w:r>
                    <w:t xml:space="preserve">-0.391</w:t>
                  </w:r>
                </w:p>
              </w:tc>
              <w:tc>
                <w:tcPr/>
                <w:p>
                  <w:pPr>
                    <w:pStyle w:val="Compact"/>
                    <w:jc w:val="right"/>
                    <w:jc w:val="center"/>
                  </w:pPr>
                  <w:r>
                    <w:t xml:space="preserve">0.245</w:t>
                  </w:r>
                </w:p>
              </w:tc>
              <w:tc>
                <w:tcPr/>
                <w:p>
                  <w:pPr>
                    <w:pStyle w:val="Compact"/>
                    <w:jc w:val="right"/>
                    <w:jc w:val="center"/>
                  </w:pPr>
                  <w:r>
                    <w:t xml:space="preserve">0.603</w:t>
                  </w:r>
                </w:p>
              </w:tc>
              <w:tc>
                <w:tcPr/>
                <w:p>
                  <w:pPr>
                    <w:pStyle w:val="Compact"/>
                    <w:jc w:val="right"/>
                    <w:jc w:val="center"/>
                  </w:pPr>
                  <w:r>
                    <w:t xml:space="preserve">-0.195</w:t>
                  </w:r>
                </w:p>
              </w:tc>
              <w:tc>
                <w:tcPr/>
                <w:p>
                  <w:pPr>
                    <w:pStyle w:val="Compact"/>
                    <w:jc w:val="right"/>
                    <w:jc w:val="center"/>
                  </w:pPr>
                  <w:r>
                    <w:t xml:space="preserve">-0.558</w:t>
                  </w:r>
                </w:p>
              </w:tc>
              <w:tc>
                <w:tcPr/>
                <w:p>
                  <w:pPr>
                    <w:pStyle w:val="Compact"/>
                    <w:jc w:val="right"/>
                    <w:jc w:val="center"/>
                  </w:pPr>
                  <w:r>
                    <w:t xml:space="preserve">-0.273</w:t>
                  </w:r>
                </w:p>
              </w:tc>
            </w:tr>
            <w:tr>
              <w:tc>
                <w:tcPr/>
                <w:p>
                  <w:pPr>
                    <w:pStyle w:val="Compact"/>
                    <w:jc w:val="left"/>
                    <w:jc w:val="center"/>
                  </w:pPr>
                  <w:r>
                    <w:t xml:space="preserve">Total scars</w:t>
                  </w:r>
                </w:p>
              </w:tc>
              <w:tc>
                <w:tcPr/>
                <w:p>
                  <w:pPr>
                    <w:pStyle w:val="Compact"/>
                    <w:jc w:val="right"/>
                    <w:jc w:val="center"/>
                  </w:pPr>
                  <w:r>
                    <w:t xml:space="preserve">-0.449</w:t>
                  </w:r>
                </w:p>
              </w:tc>
              <w:tc>
                <w:tcPr/>
                <w:p>
                  <w:pPr>
                    <w:pStyle w:val="Compact"/>
                    <w:jc w:val="right"/>
                    <w:jc w:val="center"/>
                  </w:pPr>
                  <w:r>
                    <w:t xml:space="preserve">-0.460</w:t>
                  </w:r>
                </w:p>
              </w:tc>
              <w:tc>
                <w:tcPr/>
                <w:p>
                  <w:pPr>
                    <w:pStyle w:val="Compact"/>
                    <w:jc w:val="right"/>
                    <w:jc w:val="center"/>
                  </w:pPr>
                  <w:r>
                    <w:t xml:space="preserve">-0.046</w:t>
                  </w:r>
                </w:p>
              </w:tc>
              <w:tc>
                <w:tcPr/>
                <w:p>
                  <w:pPr>
                    <w:pStyle w:val="Compact"/>
                    <w:jc w:val="right"/>
                    <w:jc w:val="center"/>
                  </w:pPr>
                  <w:r>
                    <w:t xml:space="preserve">-0.013</w:t>
                  </w:r>
                </w:p>
              </w:tc>
              <w:tc>
                <w:tcPr/>
                <w:p>
                  <w:pPr>
                    <w:pStyle w:val="Compact"/>
                    <w:jc w:val="right"/>
                    <w:jc w:val="center"/>
                  </w:pPr>
                  <w:r>
                    <w:t xml:space="preserve">0.390</w:t>
                  </w:r>
                </w:p>
              </w:tc>
              <w:tc>
                <w:tcPr/>
                <w:p>
                  <w:pPr>
                    <w:pStyle w:val="Compact"/>
                    <w:jc w:val="right"/>
                    <w:jc w:val="center"/>
                  </w:pPr>
                  <w:r>
                    <w:t xml:space="preserve">-0.657</w:t>
                  </w:r>
                </w:p>
              </w:tc>
            </w:tr>
            <w:tr>
              <w:tc>
                <w:tcPr/>
                <w:p>
                  <w:pPr>
                    <w:pStyle w:val="Compact"/>
                    <w:jc w:val="left"/>
                    <w:jc w:val="center"/>
                  </w:pPr>
                  <w:r>
                    <w:t xml:space="preserve">Retouch generations</w:t>
                  </w:r>
                </w:p>
              </w:tc>
              <w:tc>
                <w:tcPr/>
                <w:p>
                  <w:pPr>
                    <w:pStyle w:val="Compact"/>
                    <w:jc w:val="right"/>
                    <w:jc w:val="center"/>
                  </w:pPr>
                  <w:r>
                    <w:t xml:space="preserve">-0.458</w:t>
                  </w:r>
                </w:p>
              </w:tc>
              <w:tc>
                <w:tcPr/>
                <w:p>
                  <w:pPr>
                    <w:pStyle w:val="Compact"/>
                    <w:jc w:val="right"/>
                    <w:jc w:val="center"/>
                  </w:pPr>
                  <w:r>
                    <w:t xml:space="preserve">0.265</w:t>
                  </w:r>
                </w:p>
              </w:tc>
              <w:tc>
                <w:tcPr/>
                <w:p>
                  <w:pPr>
                    <w:pStyle w:val="Compact"/>
                    <w:jc w:val="right"/>
                    <w:jc w:val="center"/>
                  </w:pPr>
                  <w:r>
                    <w:t xml:space="preserve">0.202</w:t>
                  </w:r>
                </w:p>
              </w:tc>
              <w:tc>
                <w:tcPr/>
                <w:p>
                  <w:pPr>
                    <w:pStyle w:val="Compact"/>
                    <w:jc w:val="right"/>
                    <w:jc w:val="center"/>
                  </w:pPr>
                  <w:r>
                    <w:t xml:space="preserve">-0.387</w:t>
                  </w:r>
                </w:p>
              </w:tc>
              <w:tc>
                <w:tcPr/>
                <w:p>
                  <w:pPr>
                    <w:pStyle w:val="Compact"/>
                    <w:jc w:val="right"/>
                    <w:jc w:val="center"/>
                  </w:pPr>
                  <w:r>
                    <w:t xml:space="preserve">0.566</w:t>
                  </w:r>
                </w:p>
              </w:tc>
              <w:tc>
                <w:tcPr/>
                <w:p>
                  <w:pPr>
                    <w:pStyle w:val="Compact"/>
                    <w:jc w:val="right"/>
                    <w:jc w:val="center"/>
                  </w:pPr>
                  <w:r>
                    <w:t xml:space="preserve">0.458</w:t>
                  </w:r>
                </w:p>
              </w:tc>
            </w:tr>
            <w:tr>
              <w:tc>
                <w:tcPr/>
                <w:p>
                  <w:pPr>
                    <w:pStyle w:val="Compact"/>
                    <w:jc w:val="left"/>
                    <w:jc w:val="center"/>
                  </w:pPr>
                  <w:r>
                    <w:t xml:space="preserve">Edge angle (°)</w:t>
                  </w:r>
                </w:p>
              </w:tc>
              <w:tc>
                <w:tcPr/>
                <w:p>
                  <w:pPr>
                    <w:pStyle w:val="Compact"/>
                    <w:jc w:val="right"/>
                    <w:jc w:val="center"/>
                  </w:pPr>
                  <w:r>
                    <w:t xml:space="preserve">-0.423</w:t>
                  </w:r>
                </w:p>
              </w:tc>
              <w:tc>
                <w:tcPr/>
                <w:p>
                  <w:pPr>
                    <w:pStyle w:val="Compact"/>
                    <w:jc w:val="right"/>
                    <w:jc w:val="center"/>
                  </w:pPr>
                  <w:r>
                    <w:t xml:space="preserve">0.382</w:t>
                  </w:r>
                </w:p>
              </w:tc>
              <w:tc>
                <w:tcPr/>
                <w:p>
                  <w:pPr>
                    <w:pStyle w:val="Compact"/>
                    <w:jc w:val="right"/>
                    <w:jc w:val="center"/>
                  </w:pPr>
                  <w:r>
                    <w:t xml:space="preserve">-0.110</w:t>
                  </w:r>
                </w:p>
              </w:tc>
              <w:tc>
                <w:tcPr/>
                <w:p>
                  <w:pPr>
                    <w:pStyle w:val="Compact"/>
                    <w:jc w:val="right"/>
                    <w:jc w:val="center"/>
                  </w:pPr>
                  <w:r>
                    <w:t xml:space="preserve">0.812</w:t>
                  </w:r>
                </w:p>
              </w:tc>
              <w:tc>
                <w:tcPr/>
                <w:p>
                  <w:pPr>
                    <w:pStyle w:val="Compact"/>
                    <w:jc w:val="right"/>
                    <w:jc w:val="center"/>
                  </w:pPr>
                  <w:r>
                    <w:t xml:space="preserve">0.042</w:t>
                  </w:r>
                </w:p>
              </w:tc>
              <w:tc>
                <w:tcPr/>
                <w:p>
                  <w:pPr>
                    <w:pStyle w:val="Compact"/>
                    <w:jc w:val="right"/>
                    <w:jc w:val="center"/>
                  </w:pPr>
                  <w:r>
                    <w:t xml:space="preserve">0.039</w:t>
                  </w:r>
                </w:p>
              </w:tc>
            </w:tr>
            <w:tr>
              <w:tc>
                <w:tcPr/>
                <w:p>
                  <w:pPr>
                    <w:pStyle w:val="Compact"/>
                    <w:jc w:val="left"/>
                    <w:jc w:val="center"/>
                  </w:pPr>
                  <w:r>
                    <w:rPr>
                      <w:b/>
                      <w:bCs/>
                    </w:rPr>
                    <w:t xml:space="preserve">Eigenvalue</w:t>
                  </w:r>
                </w:p>
              </w:tc>
              <w:tc>
                <w:tcPr/>
                <w:p>
                  <w:pPr>
                    <w:pStyle w:val="Compact"/>
                    <w:jc w:val="right"/>
                    <w:jc w:val="center"/>
                  </w:pPr>
                  <w:r>
                    <w:t xml:space="preserve">3.41</w:t>
                  </w:r>
                </w:p>
              </w:tc>
              <w:tc>
                <w:tcPr/>
                <w:p>
                  <w:pPr>
                    <w:pStyle w:val="Compact"/>
                    <w:jc w:val="right"/>
                    <w:jc w:val="center"/>
                  </w:pPr>
                  <w:r>
                    <w:t xml:space="preserve">0.93</w:t>
                  </w:r>
                </w:p>
              </w:tc>
              <w:tc>
                <w:tcPr/>
                <w:p>
                  <w:pPr>
                    <w:pStyle w:val="Compact"/>
                    <w:jc w:val="right"/>
                    <w:jc w:val="center"/>
                  </w:pPr>
                  <w:r>
                    <w:t xml:space="preserve">0.83</w:t>
                  </w:r>
                </w:p>
              </w:tc>
              <w:tc>
                <w:tcPr/>
                <w:p>
                  <w:pPr>
                    <w:pStyle w:val="Compact"/>
                    <w:jc w:val="right"/>
                    <w:jc w:val="center"/>
                  </w:pPr>
                  <w:r>
                    <w:t xml:space="preserve">0.37</w:t>
                  </w:r>
                </w:p>
              </w:tc>
              <w:tc>
                <w:tcPr/>
                <w:p>
                  <w:pPr>
                    <w:pStyle w:val="Compact"/>
                    <w:jc w:val="right"/>
                    <w:jc w:val="center"/>
                  </w:pPr>
                  <w:r>
                    <w:t xml:space="preserve">0.31</w:t>
                  </w:r>
                </w:p>
              </w:tc>
              <w:tc>
                <w:tcPr/>
                <w:p>
                  <w:pPr>
                    <w:pStyle w:val="Compact"/>
                    <w:jc w:val="right"/>
                    <w:jc w:val="center"/>
                  </w:pPr>
                  <w:r>
                    <w:t xml:space="preserve">0.15</w:t>
                  </w:r>
                </w:p>
              </w:tc>
            </w:tr>
            <w:tr>
              <w:tc>
                <w:tcPr/>
                <w:p>
                  <w:pPr>
                    <w:pStyle w:val="Compact"/>
                    <w:jc w:val="left"/>
                    <w:jc w:val="center"/>
                  </w:pPr>
                  <w:r>
                    <w:rPr>
                      <w:b/>
                      <w:bCs/>
                    </w:rPr>
                    <w:t xml:space="preserve">Variance (%)</w:t>
                  </w:r>
                </w:p>
              </w:tc>
              <w:tc>
                <w:tcPr/>
                <w:p>
                  <w:pPr>
                    <w:pStyle w:val="Compact"/>
                    <w:jc w:val="right"/>
                    <w:jc w:val="center"/>
                  </w:pPr>
                  <w:r>
                    <w:t xml:space="preserve">56.9</w:t>
                  </w:r>
                </w:p>
              </w:tc>
              <w:tc>
                <w:tcPr/>
                <w:p>
                  <w:pPr>
                    <w:pStyle w:val="Compact"/>
                    <w:jc w:val="right"/>
                    <w:jc w:val="center"/>
                  </w:pPr>
                  <w:r>
                    <w:t xml:space="preserve">15.5</w:t>
                  </w:r>
                </w:p>
              </w:tc>
              <w:tc>
                <w:tcPr/>
                <w:p>
                  <w:pPr>
                    <w:pStyle w:val="Compact"/>
                    <w:jc w:val="right"/>
                    <w:jc w:val="center"/>
                  </w:pPr>
                  <w:r>
                    <w:t xml:space="preserve">13.8</w:t>
                  </w:r>
                </w:p>
              </w:tc>
              <w:tc>
                <w:tcPr/>
                <w:p>
                  <w:pPr>
                    <w:pStyle w:val="Compact"/>
                    <w:jc w:val="right"/>
                    <w:jc w:val="center"/>
                  </w:pPr>
                  <w:r>
                    <w:t xml:space="preserve">6.1</w:t>
                  </w:r>
                </w:p>
              </w:tc>
              <w:tc>
                <w:tcPr/>
                <w:p>
                  <w:pPr>
                    <w:pStyle w:val="Compact"/>
                    <w:jc w:val="right"/>
                    <w:jc w:val="center"/>
                  </w:pPr>
                  <w:r>
                    <w:t xml:space="preserve">5.2</w:t>
                  </w:r>
                </w:p>
              </w:tc>
              <w:tc>
                <w:tcPr/>
                <w:p>
                  <w:pPr>
                    <w:pStyle w:val="Compact"/>
                    <w:jc w:val="right"/>
                    <w:jc w:val="center"/>
                  </w:pPr>
                  <w:r>
                    <w:t xml:space="preserve">2.5</w:t>
                  </w:r>
                </w:p>
              </w:tc>
            </w:tr>
            <w:tr>
              <w:tc>
                <w:tcPr/>
                <w:p>
                  <w:pPr>
                    <w:pStyle w:val="Compact"/>
                    <w:jc w:val="left"/>
                    <w:jc w:val="center"/>
                  </w:pPr>
                  <w:r>
                    <w:rPr>
                      <w:b/>
                      <w:bCs/>
                    </w:rPr>
                    <w:t xml:space="preserve">Cumulative (%)</w:t>
                  </w:r>
                </w:p>
              </w:tc>
              <w:tc>
                <w:tcPr/>
                <w:p>
                  <w:pPr>
                    <w:pStyle w:val="Compact"/>
                    <w:jc w:val="right"/>
                    <w:jc w:val="center"/>
                  </w:pPr>
                  <w:r>
                    <w:t xml:space="preserve">56.9</w:t>
                  </w:r>
                </w:p>
              </w:tc>
              <w:tc>
                <w:tcPr/>
                <w:p>
                  <w:pPr>
                    <w:pStyle w:val="Compact"/>
                    <w:jc w:val="right"/>
                    <w:jc w:val="center"/>
                  </w:pPr>
                  <w:r>
                    <w:t xml:space="preserve">72.4</w:t>
                  </w:r>
                </w:p>
              </w:tc>
              <w:tc>
                <w:tcPr/>
                <w:p>
                  <w:pPr>
                    <w:pStyle w:val="Compact"/>
                    <w:jc w:val="right"/>
                    <w:jc w:val="center"/>
                  </w:pPr>
                  <w:r>
                    <w:t xml:space="preserve">86.2</w:t>
                  </w:r>
                </w:p>
              </w:tc>
              <w:tc>
                <w:tcPr/>
                <w:p>
                  <w:pPr>
                    <w:pStyle w:val="Compact"/>
                    <w:jc w:val="right"/>
                    <w:jc w:val="center"/>
                  </w:pPr>
                  <w:r>
                    <w:t xml:space="preserve">92.3</w:t>
                  </w:r>
                </w:p>
              </w:tc>
              <w:tc>
                <w:tcPr/>
                <w:p>
                  <w:pPr>
                    <w:pStyle w:val="Compact"/>
                    <w:jc w:val="right"/>
                    <w:jc w:val="center"/>
                  </w:pPr>
                  <w:r>
                    <w:t xml:space="preserve">97.5</w:t>
                  </w:r>
                </w:p>
              </w:tc>
              <w:tc>
                <w:tcPr/>
                <w:p>
                  <w:pPr>
                    <w:pStyle w:val="Compact"/>
                    <w:jc w:val="right"/>
                    <w:jc w:val="center"/>
                  </w:pPr>
                  <w:r>
                    <w:t xml:space="preserve">100.0</w:t>
                  </w:r>
                </w:p>
              </w:tc>
            </w:tr>
          </w:tbl>
          <w:bookmarkEnd w:id="25"/>
          <w:p/>
        </w:tc>
      </w:tr>
    </w:tbl>
    <w:p>
      <w:r>
        <w:br w:type="page"/>
      </w:r>
    </w:p>
    <w:tbl>
      <w:tblPr>
        <w:tblStyle w:val="Table"/>
        <w:tblW w:type="pct" w:w="5000"/>
        <w:tblLayout w:type="fixed"/>
        <w:tblLook w:firstRow="0" w:lastRow="0" w:firstColumn="0" w:lastColumn="0" w:noHBand="0" w:noVBand="0" w:val="0000"/>
      </w:tblPr>
      <w:tblGrid>
        <w:gridCol w:w="7920"/>
      </w:tblGrid>
      <w:tr>
        <w:tc>
          <w:tcPr/>
          <w:bookmarkStart w:id="26" w:name="tbl-tc-sensitivity"/>
          <w:p>
            <w:pPr>
              <w:jc w:val="center"/>
            </w:pPr>
            <w:pPr>
              <w:jc w:val="left"/>
              <w:spacing w:before="200"/>
              <w:pStyle w:val="ImageCaption"/>
            </w:pPr>
            <w:r>
              <w:t xml:space="preserve">Table S9: Sensitivity of the technological consistency result to the surface specimens collected from within the area of the Longtan site. The full set is the analysis reported in the main text, with 165 surface specimens; the reduced set excludes those collected within the site area, leaving 150, and is z-scored on its own. PERMANOVA</w:t>
            </w:r>
            <w:r>
              <w:t xml:space="preserve"> </w:t>
            </w:r>
            <w:r>
              <w:rPr>
                <w:i/>
                <w:iCs/>
              </w:rPr>
              <w:t xml:space="preserve">p</w:t>
            </w:r>
            <w:r>
              <w:t xml:space="preserve">-values carry the Bonferroni adjustment across the three comparisons; PERMDISP rows have no</w:t>
            </w:r>
            <w:r>
              <w:t xml:space="preserve"> </w:t>
            </w:r>
            <w:r>
              <w:rPr>
                <w:i/>
                <w:iCs/>
              </w:rPr>
              <w:t xml:space="preserve">R</w:t>
            </w:r>
            <w:r>
              <w:t xml:space="preserve">², the test being one of dispersion rather than of explained variance.</w:t>
            </w:r>
          </w:p>
          <w:tbl>
            <w:tblPr>
              <w:tblStyle w:val="Table"/>
              <w:tblW w:type="pct" w:w="5000"/>
              <w:tblLayout w:type="fixed"/>
              <w:tblLook w:firstRow="1" w:lastRow="0" w:firstColumn="0" w:lastColumn="0" w:noHBand="0" w:noVBand="0" w:val="0020"/>
            </w:tblPr>
            <w:tblGrid>
              <w:gridCol w:w="3151"/>
              <w:gridCol w:w="1454"/>
              <w:gridCol w:w="484"/>
              <w:gridCol w:w="484"/>
              <w:gridCol w:w="646"/>
              <w:gridCol w:w="484"/>
              <w:gridCol w:w="565"/>
              <w:gridCol w:w="646"/>
            </w:tblGrid>
            <w:tr>
              <w:trPr>
                <w:tblHeader w:val="on"/>
              </w:trPr>
              <w:tc>
                <w:tcPr/>
                <w:p>
                  <w:pPr>
                    <w:pStyle w:val="Compact"/>
                    <w:jc w:val="left"/>
                    <w:jc w:val="center"/>
                  </w:pPr>
                  <w:r>
                    <w:t xml:space="preserve">Comparison</w:t>
                  </w:r>
                </w:p>
              </w:tc>
              <w:tc>
                <w:tcPr/>
                <w:p>
                  <w:pPr>
                    <w:pStyle w:val="Compact"/>
                    <w:jc w:val="left"/>
                    <w:jc w:val="center"/>
                  </w:pPr>
                  <w:r>
                    <w:t xml:space="preserve">Tests</w:t>
                  </w:r>
                </w:p>
              </w:tc>
              <w:tc>
                <w:tcPr/>
                <w:p>
                  <w:pPr>
                    <w:pStyle w:val="Compact"/>
                    <w:jc w:val="right"/>
                    <w:jc w:val="center"/>
                  </w:pPr>
                  <w:r>
                    <w:rPr>
                      <w:i/>
                      <w:iCs/>
                    </w:rPr>
                    <w:t xml:space="preserve">R</w:t>
                  </w:r>
                  <w:r>
                    <w:t xml:space="preserve">²</w:t>
                  </w:r>
                </w:p>
              </w:tc>
              <w:tc>
                <w:tcPr/>
                <w:p>
                  <w:pPr>
                    <w:pStyle w:val="Compact"/>
                    <w:jc w:val="right"/>
                    <w:jc w:val="center"/>
                  </w:pPr>
                  <w:r>
                    <w:rPr>
                      <w:i/>
                      <w:iCs/>
                    </w:rPr>
                    <w:t xml:space="preserve">F</w:t>
                  </w:r>
                </w:p>
              </w:tc>
              <w:tc>
                <w:tcPr/>
                <w:p>
                  <w:pPr>
                    <w:pStyle w:val="Compact"/>
                    <w:jc w:val="right"/>
                    <w:jc w:val="center"/>
                  </w:pPr>
                  <w:r>
                    <w:rPr>
                      <w:i/>
                      <w:iCs/>
                    </w:rPr>
                    <w:t xml:space="preserve">p</w:t>
                  </w:r>
                </w:p>
              </w:tc>
              <w:tc>
                <w:tcPr/>
                <w:p>
                  <w:pPr>
                    <w:pStyle w:val="Compact"/>
                    <w:jc w:val="right"/>
                    <w:jc w:val="center"/>
                  </w:pPr>
                  <w:r>
                    <w:rPr>
                      <w:i/>
                      <w:iCs/>
                    </w:rPr>
                    <w:t xml:space="preserve">R</w:t>
                  </w:r>
                  <w:r>
                    <w:t xml:space="preserve">²</w:t>
                  </w:r>
                </w:p>
              </w:tc>
              <w:tc>
                <w:tcPr/>
                <w:p>
                  <w:pPr>
                    <w:pStyle w:val="Compact"/>
                    <w:jc w:val="right"/>
                    <w:jc w:val="center"/>
                  </w:pPr>
                  <w:r>
                    <w:rPr>
                      <w:i/>
                      <w:iCs/>
                    </w:rPr>
                    <w:t xml:space="preserve">F</w:t>
                  </w:r>
                </w:p>
              </w:tc>
              <w:tc>
                <w:tcPr/>
                <w:p>
                  <w:pPr>
                    <w:pStyle w:val="Compact"/>
                    <w:jc w:val="right"/>
                    <w:jc w:val="center"/>
                  </w:pPr>
                  <w:r>
                    <w:rPr>
                      <w:i/>
                      <w:iCs/>
                    </w:rPr>
                    <w:t xml:space="preserve">p</w:t>
                  </w:r>
                </w:p>
              </w:tc>
            </w:tr>
            <w:tr>
              <w:tc>
                <w:tcPr/>
                <w:p>
                  <w:pPr>
                    <w:pStyle w:val="Compact"/>
                    <w:jc w:val="left"/>
                    <w:jc w:val="center"/>
                  </w:pPr>
                  <w:r>
                    <w:rPr>
                      <w:b/>
                      <w:bCs/>
                    </w:rPr>
                    <w:t xml:space="preserve">Surface Quina vs Longtan Quina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PERMANOVA</w:t>
                  </w:r>
                </w:p>
              </w:tc>
              <w:tc>
                <w:tcPr/>
                <w:p>
                  <w:pPr>
                    <w:pStyle w:val="Compact"/>
                    <w:jc w:val="left"/>
                    <w:jc w:val="center"/>
                  </w:pPr>
                  <w:r>
                    <w:t xml:space="preserve">centroid position</w:t>
                  </w:r>
                </w:p>
              </w:tc>
              <w:tc>
                <w:tcPr/>
                <w:p>
                  <w:pPr>
                    <w:pStyle w:val="Compact"/>
                    <w:jc w:val="right"/>
                    <w:jc w:val="center"/>
                  </w:pPr>
                  <w:r>
                    <w:t xml:space="preserve">0.004</w:t>
                  </w:r>
                </w:p>
              </w:tc>
              <w:tc>
                <w:tcPr/>
                <w:p>
                  <w:pPr>
                    <w:pStyle w:val="Compact"/>
                    <w:jc w:val="right"/>
                    <w:jc w:val="center"/>
                  </w:pPr>
                  <w:r>
                    <w:t xml:space="preserve">0.81</w:t>
                  </w:r>
                </w:p>
              </w:tc>
              <w:tc>
                <w:tcPr/>
                <w:p>
                  <w:pPr>
                    <w:pStyle w:val="Compact"/>
                    <w:jc w:val="right"/>
                    <w:jc w:val="center"/>
                  </w:pPr>
                  <w:r>
                    <w:t xml:space="preserve">1.000</w:t>
                  </w:r>
                </w:p>
              </w:tc>
              <w:tc>
                <w:tcPr/>
                <w:p>
                  <w:pPr>
                    <w:pStyle w:val="Compact"/>
                    <w:jc w:val="right"/>
                    <w:jc w:val="center"/>
                  </w:pPr>
                  <w:r>
                    <w:t xml:space="preserve">0.005</w:t>
                  </w:r>
                </w:p>
              </w:tc>
              <w:tc>
                <w:tcPr/>
                <w:p>
                  <w:pPr>
                    <w:pStyle w:val="Compact"/>
                    <w:jc w:val="right"/>
                    <w:jc w:val="center"/>
                  </w:pPr>
                  <w:r>
                    <w:t xml:space="preserve">1.11</w:t>
                  </w:r>
                </w:p>
              </w:tc>
              <w:tc>
                <w:tcPr/>
                <w:p>
                  <w:pPr>
                    <w:pStyle w:val="Compact"/>
                    <w:jc w:val="right"/>
                    <w:jc w:val="center"/>
                  </w:pPr>
                  <w:r>
                    <w:t xml:space="preserve">0.976</w:t>
                  </w:r>
                </w:p>
              </w:tc>
            </w:tr>
            <w:tr>
              <w:tc>
                <w:tcPr/>
                <w:p>
                  <w:pPr>
                    <w:pStyle w:val="Compact"/>
                    <w:jc w:val="left"/>
                    <w:jc w:val="center"/>
                  </w:pPr>
                  <w:r>
                    <w:t xml:space="preserve">   PERMDISP</w:t>
                  </w:r>
                </w:p>
              </w:tc>
              <w:tc>
                <w:tcPr/>
                <w:p>
                  <w:pPr>
                    <w:pStyle w:val="Compact"/>
                    <w:jc w:val="left"/>
                    <w:jc w:val="center"/>
                  </w:pPr>
                  <w:r>
                    <w:t xml:space="preserve">dispersion</w:t>
                  </w:r>
                </w:p>
              </w:tc>
              <w:tc>
                <w:tcPr/>
                <w:p>
                  <w:pPr>
                    <w:pStyle w:val="Compact"/>
                  </w:pPr>
                </w:p>
              </w:tc>
              <w:tc>
                <w:tcPr/>
                <w:p>
                  <w:pPr>
                    <w:pStyle w:val="Compact"/>
                    <w:jc w:val="right"/>
                    <w:jc w:val="center"/>
                  </w:pPr>
                  <w:r>
                    <w:t xml:space="preserve">0.35</w:t>
                  </w:r>
                </w:p>
              </w:tc>
              <w:tc>
                <w:tcPr/>
                <w:p>
                  <w:pPr>
                    <w:pStyle w:val="Compact"/>
                    <w:jc w:val="right"/>
                    <w:jc w:val="center"/>
                  </w:pPr>
                  <w:r>
                    <w:t xml:space="preserve">0.558</w:t>
                  </w:r>
                </w:p>
              </w:tc>
              <w:tc>
                <w:tcPr/>
                <w:p>
                  <w:pPr>
                    <w:pStyle w:val="Compact"/>
                  </w:pPr>
                </w:p>
              </w:tc>
              <w:tc>
                <w:tcPr/>
                <w:p>
                  <w:pPr>
                    <w:pStyle w:val="Compact"/>
                    <w:jc w:val="right"/>
                    <w:jc w:val="center"/>
                  </w:pPr>
                  <w:r>
                    <w:t xml:space="preserve">0.23</w:t>
                  </w:r>
                </w:p>
              </w:tc>
              <w:tc>
                <w:tcPr/>
                <w:p>
                  <w:pPr>
                    <w:pStyle w:val="Compact"/>
                    <w:jc w:val="right"/>
                    <w:jc w:val="center"/>
                  </w:pPr>
                  <w:r>
                    <w:t xml:space="preserve">0.624</w:t>
                  </w:r>
                </w:p>
              </w:tc>
            </w:tr>
            <w:tr>
              <w:tc>
                <w:tcPr/>
                <w:p>
                  <w:pPr>
                    <w:pStyle w:val="Compact"/>
                    <w:jc w:val="left"/>
                    <w:jc w:val="center"/>
                  </w:pPr>
                  <w:r>
                    <w:rPr>
                      <w:b/>
                      <w:bCs/>
                    </w:rPr>
                    <w:t xml:space="preserve">Surface Quina vs Longtan non-Quina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PERMANOVA</w:t>
                  </w:r>
                </w:p>
              </w:tc>
              <w:tc>
                <w:tcPr/>
                <w:p>
                  <w:pPr>
                    <w:pStyle w:val="Compact"/>
                    <w:jc w:val="left"/>
                    <w:jc w:val="center"/>
                  </w:pPr>
                  <w:r>
                    <w:t xml:space="preserve">centroid position</w:t>
                  </w:r>
                </w:p>
              </w:tc>
              <w:tc>
                <w:tcPr/>
                <w:p>
                  <w:pPr>
                    <w:pStyle w:val="Compact"/>
                    <w:jc w:val="right"/>
                    <w:jc w:val="center"/>
                  </w:pPr>
                  <w:r>
                    <w:t xml:space="preserve">0.287</w:t>
                  </w:r>
                </w:p>
              </w:tc>
              <w:tc>
                <w:tcPr/>
                <w:p>
                  <w:pPr>
                    <w:pStyle w:val="Compact"/>
                    <w:jc w:val="right"/>
                    <w:jc w:val="center"/>
                  </w:pPr>
                  <w:r>
                    <w:t xml:space="preserve">97.51</w:t>
                  </w:r>
                </w:p>
              </w:tc>
              <w:tc>
                <w:tcPr/>
                <w:p>
                  <w:pPr>
                    <w:pStyle w:val="Compact"/>
                    <w:jc w:val="right"/>
                    <w:jc w:val="center"/>
                  </w:pPr>
                  <w:r>
                    <w:t xml:space="preserve">&lt; 0.001</w:t>
                  </w:r>
                </w:p>
              </w:tc>
              <w:tc>
                <w:tcPr/>
                <w:p>
                  <w:pPr>
                    <w:pStyle w:val="Compact"/>
                    <w:jc w:val="right"/>
                    <w:jc w:val="center"/>
                  </w:pPr>
                  <w:r>
                    <w:t xml:space="preserve">0.319</w:t>
                  </w:r>
                </w:p>
              </w:tc>
              <w:tc>
                <w:tcPr/>
                <w:p>
                  <w:pPr>
                    <w:pStyle w:val="Compact"/>
                    <w:jc w:val="right"/>
                    <w:jc w:val="center"/>
                  </w:pPr>
                  <w:r>
                    <w:t xml:space="preserve">106.15</w:t>
                  </w:r>
                </w:p>
              </w:tc>
              <w:tc>
                <w:tcPr/>
                <w:p>
                  <w:pPr>
                    <w:pStyle w:val="Compact"/>
                    <w:jc w:val="right"/>
                    <w:jc w:val="center"/>
                  </w:pPr>
                  <w:r>
                    <w:t xml:space="preserve">&lt; 0.001</w:t>
                  </w:r>
                </w:p>
              </w:tc>
            </w:tr>
            <w:tr>
              <w:tc>
                <w:tcPr/>
                <w:p>
                  <w:pPr>
                    <w:pStyle w:val="Compact"/>
                    <w:jc w:val="left"/>
                    <w:jc w:val="center"/>
                  </w:pPr>
                  <w:r>
                    <w:t xml:space="preserve">   PERMDISP</w:t>
                  </w:r>
                </w:p>
              </w:tc>
              <w:tc>
                <w:tcPr/>
                <w:p>
                  <w:pPr>
                    <w:pStyle w:val="Compact"/>
                    <w:jc w:val="left"/>
                    <w:jc w:val="center"/>
                  </w:pPr>
                  <w:r>
                    <w:t xml:space="preserve">dispersion</w:t>
                  </w:r>
                </w:p>
              </w:tc>
              <w:tc>
                <w:tcPr/>
                <w:p>
                  <w:pPr>
                    <w:pStyle w:val="Compact"/>
                  </w:pPr>
                </w:p>
              </w:tc>
              <w:tc>
                <w:tcPr/>
                <w:p>
                  <w:pPr>
                    <w:pStyle w:val="Compact"/>
                    <w:jc w:val="right"/>
                    <w:jc w:val="center"/>
                  </w:pPr>
                  <w:r>
                    <w:t xml:space="preserve">25.92</w:t>
                  </w:r>
                </w:p>
              </w:tc>
              <w:tc>
                <w:tcPr/>
                <w:p>
                  <w:pPr>
                    <w:pStyle w:val="Compact"/>
                    <w:jc w:val="right"/>
                    <w:jc w:val="center"/>
                  </w:pPr>
                  <w:r>
                    <w:t xml:space="preserve">&lt; 0.001</w:t>
                  </w:r>
                </w:p>
              </w:tc>
              <w:tc>
                <w:tcPr/>
                <w:p>
                  <w:pPr>
                    <w:pStyle w:val="Compact"/>
                  </w:pPr>
                </w:p>
              </w:tc>
              <w:tc>
                <w:tcPr/>
                <w:p>
                  <w:pPr>
                    <w:pStyle w:val="Compact"/>
                    <w:jc w:val="right"/>
                    <w:jc w:val="center"/>
                  </w:pPr>
                  <w:r>
                    <w:t xml:space="preserve">24.60</w:t>
                  </w:r>
                </w:p>
              </w:tc>
              <w:tc>
                <w:tcPr/>
                <w:p>
                  <w:pPr>
                    <w:pStyle w:val="Compact"/>
                    <w:jc w:val="right"/>
                    <w:jc w:val="center"/>
                  </w:pPr>
                  <w:r>
                    <w:t xml:space="preserve">&lt; 0.001</w:t>
                  </w:r>
                </w:p>
              </w:tc>
            </w:tr>
            <w:tr>
              <w:tc>
                <w:tcPr/>
                <w:p>
                  <w:pPr>
                    <w:pStyle w:val="Compact"/>
                    <w:jc w:val="left"/>
                    <w:jc w:val="center"/>
                  </w:pPr>
                  <w:r>
                    <w:rPr>
                      <w:b/>
                      <w:bCs/>
                    </w:rPr>
                    <w:t xml:space="preserve">Longtan Quina vs Longtan non-Quina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PERMANOVA</w:t>
                  </w:r>
                </w:p>
              </w:tc>
              <w:tc>
                <w:tcPr/>
                <w:p>
                  <w:pPr>
                    <w:pStyle w:val="Compact"/>
                    <w:jc w:val="left"/>
                    <w:jc w:val="center"/>
                  </w:pPr>
                  <w:r>
                    <w:t xml:space="preserve">centroid position</w:t>
                  </w:r>
                </w:p>
              </w:tc>
              <w:tc>
                <w:tcPr/>
                <w:p>
                  <w:pPr>
                    <w:pStyle w:val="Compact"/>
                    <w:jc w:val="right"/>
                    <w:jc w:val="center"/>
                  </w:pPr>
                  <w:r>
                    <w:t xml:space="preserve">0.362</w:t>
                  </w:r>
                </w:p>
              </w:tc>
              <w:tc>
                <w:tcPr/>
                <w:p>
                  <w:pPr>
                    <w:pStyle w:val="Compact"/>
                    <w:jc w:val="right"/>
                    <w:jc w:val="center"/>
                  </w:pPr>
                  <w:r>
                    <w:t xml:space="preserve">73.67</w:t>
                  </w:r>
                </w:p>
              </w:tc>
              <w:tc>
                <w:tcPr/>
                <w:p>
                  <w:pPr>
                    <w:pStyle w:val="Compact"/>
                    <w:jc w:val="right"/>
                    <w:jc w:val="center"/>
                  </w:pPr>
                  <w:r>
                    <w:t xml:space="preserve">&lt; 0.001</w:t>
                  </w:r>
                </w:p>
              </w:tc>
              <w:tc>
                <w:tcPr/>
                <w:p>
                  <w:pPr>
                    <w:pStyle w:val="Compact"/>
                    <w:jc w:val="right"/>
                    <w:jc w:val="center"/>
                  </w:pPr>
                  <w:r>
                    <w:t xml:space="preserve">0.360</w:t>
                  </w:r>
                </w:p>
              </w:tc>
              <w:tc>
                <w:tcPr/>
                <w:p>
                  <w:pPr>
                    <w:pStyle w:val="Compact"/>
                    <w:jc w:val="right"/>
                    <w:jc w:val="center"/>
                  </w:pPr>
                  <w:r>
                    <w:t xml:space="preserve">73.28</w:t>
                  </w:r>
                </w:p>
              </w:tc>
              <w:tc>
                <w:tcPr/>
                <w:p>
                  <w:pPr>
                    <w:pStyle w:val="Compact"/>
                    <w:jc w:val="right"/>
                    <w:jc w:val="center"/>
                  </w:pPr>
                  <w:r>
                    <w:t xml:space="preserve">&lt; 0.001</w:t>
                  </w:r>
                </w:p>
              </w:tc>
            </w:tr>
            <w:tr>
              <w:tc>
                <w:tcPr/>
                <w:p>
                  <w:pPr>
                    <w:pStyle w:val="Compact"/>
                    <w:jc w:val="left"/>
                    <w:jc w:val="center"/>
                  </w:pPr>
                  <w:r>
                    <w:t xml:space="preserve">   PERMDISP</w:t>
                  </w:r>
                </w:p>
              </w:tc>
              <w:tc>
                <w:tcPr/>
                <w:p>
                  <w:pPr>
                    <w:pStyle w:val="Compact"/>
                    <w:jc w:val="left"/>
                    <w:jc w:val="center"/>
                  </w:pPr>
                  <w:r>
                    <w:t xml:space="preserve">dispersion</w:t>
                  </w:r>
                </w:p>
              </w:tc>
              <w:tc>
                <w:tcPr/>
                <w:p>
                  <w:pPr>
                    <w:pStyle w:val="Compact"/>
                  </w:pPr>
                </w:p>
              </w:tc>
              <w:tc>
                <w:tcPr/>
                <w:p>
                  <w:pPr>
                    <w:pStyle w:val="Compact"/>
                    <w:jc w:val="right"/>
                    <w:jc w:val="center"/>
                  </w:pPr>
                  <w:r>
                    <w:t xml:space="preserve">16.99</w:t>
                  </w:r>
                </w:p>
              </w:tc>
              <w:tc>
                <w:tcPr/>
                <w:p>
                  <w:pPr>
                    <w:pStyle w:val="Compact"/>
                    <w:jc w:val="right"/>
                    <w:jc w:val="center"/>
                  </w:pPr>
                  <w:r>
                    <w:t xml:space="preserve">&lt; 0.001</w:t>
                  </w:r>
                </w:p>
              </w:tc>
              <w:tc>
                <w:tcPr/>
                <w:p>
                  <w:pPr>
                    <w:pStyle w:val="Compact"/>
                  </w:pPr>
                </w:p>
              </w:tc>
              <w:tc>
                <w:tcPr/>
                <w:p>
                  <w:pPr>
                    <w:pStyle w:val="Compact"/>
                    <w:jc w:val="right"/>
                    <w:jc w:val="center"/>
                  </w:pPr>
                  <w:r>
                    <w:t xml:space="preserve">16.88</w:t>
                  </w:r>
                </w:p>
              </w:tc>
              <w:tc>
                <w:tcPr/>
                <w:p>
                  <w:pPr>
                    <w:pStyle w:val="Compact"/>
                    <w:jc w:val="right"/>
                    <w:jc w:val="center"/>
                  </w:pPr>
                  <w:r>
                    <w:t xml:space="preserve">&lt; 0.001</w:t>
                  </w:r>
                </w:p>
              </w:tc>
            </w:tr>
          </w:tbl>
          <w:bookmarkEnd w:id="26"/>
          <w:p/>
        </w:tc>
      </w:tr>
    </w:tbl>
    <w:p>
      <w:r>
        <w:br w:type="page"/>
      </w:r>
    </w:p>
    <w:tbl>
      <w:tblPr>
        <w:tblStyle w:val="Table"/>
        <w:tblW w:type="pct" w:w="5000"/>
        <w:tblLayout w:type="fixed"/>
        <w:tblLook w:firstRow="0" w:lastRow="0" w:firstColumn="0" w:lastColumn="0" w:noHBand="0" w:noVBand="0" w:val="0000"/>
      </w:tblPr>
      <w:tblGrid>
        <w:gridCol w:w="7920"/>
      </w:tblGrid>
      <w:tr>
        <w:tc>
          <w:tcPr/>
          <w:bookmarkStart w:id="30" w:name="fig-sensitivity-pca"/>
          <w:p>
            <w:pPr>
              <w:pStyle w:val="Compact"/>
              <w:jc w:val="center"/>
            </w:pPr>
            <w:r>
              <w:drawing>
                <wp:inline>
                  <wp:extent cx="5403966" cy="3388928"/>
                  <wp:effectExtent b="0" l="0" r="0" t="0"/>
                  <wp:docPr descr="" title="" id="28" name="Picture"/>
                  <a:graphic>
                    <a:graphicData uri="http://schemas.openxmlformats.org/drawingml/2006/picture">
                      <pic:pic>
                        <pic:nvPicPr>
                          <pic:cNvPr descr="supplementary_files/figure-docx/fig-sensitivity-pca-1.png" id="29" name="Picture"/>
                          <pic:cNvPicPr>
                            <a:picLocks noChangeArrowheads="1" noChangeAspect="1"/>
                          </pic:cNvPicPr>
                        </pic:nvPicPr>
                        <pic:blipFill>
                          <a:blip r:embed="rId27"/>
                          <a:stretch>
                            <a:fillRect/>
                          </a:stretch>
                        </pic:blipFill>
                        <pic:spPr bwMode="auto">
                          <a:xfrm>
                            <a:off x="0" y="0"/>
                            <a:ext cx="5403966" cy="3388928"/>
                          </a:xfrm>
                          <a:prstGeom prst="rect">
                            <a:avLst/>
                          </a:prstGeom>
                          <a:noFill/>
                          <a:ln w="9525">
                            <a:noFill/>
                            <a:headEnd/>
                            <a:tailEnd/>
                          </a:ln>
                        </pic:spPr>
                      </pic:pic>
                    </a:graphicData>
                  </a:graphic>
                </wp:inline>
              </w:drawing>
            </w:r>
          </w:p>
          <w:p>
            <w:pPr>
              <w:jc w:val="center"/>
            </w:pPr>
            <w:pPr>
              <w:jc w:val="left"/>
              <w:spacing w:before="200"/>
              <w:pStyle w:val="ImageCaption"/>
            </w:pPr>
            <w:r>
              <w:t xml:space="preserve">Fig. S3: Ordination of the technological space with the surface specimens from within the area of the Longtan site removed, to be compared with panel A of the corresponding figure in the main text. (A) Specimen scores, with convex hulls enclosing each group and filled points marking group centroids. (B) Loadings of the six variables on the same two components, drawn on their own axes so that the specimen scores are not overplotted. The dashed circle in (B) is the unit circle: each variable has unit length across all six components, so an arrow reaching the circle would be one accounted for in full by these two.</w:t>
            </w:r>
          </w:p>
          <w:bookmarkEnd w:id="30"/>
        </w:tc>
      </w:tr>
    </w:tbl>
    <w:p>
      <w:r>
        <w:br w:type="page"/>
      </w:r>
    </w:p>
    <w:tbl>
      <w:tblPr>
        <w:tblStyle w:val="Table"/>
        <w:tblW w:type="pct" w:w="5000"/>
        <w:tblLayout w:type="fixed"/>
        <w:tblLook w:firstRow="0" w:lastRow="0" w:firstColumn="0" w:lastColumn="0" w:noHBand="0" w:noVBand="0" w:val="0000"/>
      </w:tblPr>
      <w:tblGrid>
        <w:gridCol w:w="7920"/>
      </w:tblGrid>
      <w:tr>
        <w:tc>
          <w:tcPr/>
          <w:bookmarkStart w:id="31" w:name="tbl-locality-matrix"/>
          <w:p>
            <w:pPr>
              <w:jc w:val="center"/>
            </w:pPr>
            <w:pPr>
              <w:jc w:val="left"/>
              <w:spacing w:before="200"/>
              <w:pStyle w:val="ImageCaption"/>
            </w:pPr>
            <w:r>
              <w:t xml:space="preserve">Table S10: Locality-level analysis frame. Each row is one locality, with the number of Quina scrapers complete on all six variables and the median of those specimens on each. Distance and height are measured to and above the nearest present-day channel. 10 of the 26 localities are represented by a single specimen, so their medians are single observations; this is the reason the analyses at this level are read from the size of the effects rather than from the significance of the tests.</w:t>
            </w:r>
          </w:p>
          <w:tbl>
            <w:tblPr>
              <w:tblStyle w:val="Table"/>
              <w:tblW w:type="pct" w:w="5000"/>
              <w:tblLayout w:type="fixed"/>
              <w:tblLook w:firstRow="1" w:lastRow="0" w:firstColumn="0" w:lastColumn="0" w:noHBand="0" w:noVBand="0" w:val="0020"/>
            </w:tblPr>
            <w:tblGrid>
              <w:gridCol w:w="1003"/>
              <w:gridCol w:w="501"/>
              <w:gridCol w:w="223"/>
              <w:gridCol w:w="725"/>
              <w:gridCol w:w="613"/>
              <w:gridCol w:w="836"/>
              <w:gridCol w:w="1115"/>
              <w:gridCol w:w="278"/>
              <w:gridCol w:w="669"/>
              <w:gridCol w:w="1115"/>
              <w:gridCol w:w="836"/>
            </w:tblGrid>
            <w:tr>
              <w:trPr>
                <w:tblHeader w:val="on"/>
              </w:trPr>
              <w:tc>
                <w:tcPr/>
                <w:p>
                  <w:pPr>
                    <w:pStyle w:val="Compact"/>
                    <w:jc w:val="left"/>
                    <w:jc w:val="center"/>
                  </w:pPr>
                  <w:r>
                    <w:t xml:space="preserve">Locality</w:t>
                  </w:r>
                </w:p>
              </w:tc>
              <w:tc>
                <w:tcPr/>
                <w:p>
                  <w:pPr>
                    <w:pStyle w:val="Compact"/>
                    <w:jc w:val="left"/>
                    <w:jc w:val="center"/>
                  </w:pPr>
                  <w:r>
                    <w:t xml:space="preserve">Basin</w:t>
                  </w:r>
                </w:p>
              </w:tc>
              <w:tc>
                <w:tcPr/>
                <w:p>
                  <w:pPr>
                    <w:pStyle w:val="Compact"/>
                    <w:jc w:val="right"/>
                    <w:jc w:val="center"/>
                  </w:pPr>
                  <w:r>
                    <w:rPr>
                      <w:i/>
                      <w:iCs/>
                    </w:rPr>
                    <w:t xml:space="preserve">n</w:t>
                  </w:r>
                </w:p>
              </w:tc>
              <w:tc>
                <w:tcPr/>
                <w:p>
                  <w:pPr>
                    <w:pStyle w:val="Compact"/>
                    <w:jc w:val="right"/>
                    <w:jc w:val="center"/>
                  </w:pPr>
                  <w:r>
                    <w:t xml:space="preserve">Distance (m)</w:t>
                  </w:r>
                </w:p>
              </w:tc>
              <w:tc>
                <w:tcPr/>
                <w:p>
                  <w:pPr>
                    <w:pStyle w:val="Compact"/>
                    <w:jc w:val="right"/>
                    <w:jc w:val="center"/>
                  </w:pPr>
                  <w:r>
                    <w:t xml:space="preserve">Height (m)</w:t>
                  </w:r>
                </w:p>
              </w:tc>
              <w:tc>
                <w:tcPr/>
                <w:p>
                  <w:pPr>
                    <w:pStyle w:val="Compact"/>
                    <w:jc w:val="right"/>
                    <w:jc w:val="center"/>
                  </w:pPr>
                  <w:r>
                    <w:t xml:space="preserve">Thickness (mm)</w:t>
                  </w:r>
                </w:p>
              </w:tc>
              <w:tc>
                <w:tcPr/>
                <w:p>
                  <w:pPr>
                    <w:pStyle w:val="Compact"/>
                    <w:jc w:val="right"/>
                    <w:jc w:val="center"/>
                  </w:pPr>
                  <w:r>
                    <w:t xml:space="preserve">Retouched perimeter</w:t>
                  </w:r>
                </w:p>
              </w:tc>
              <w:tc>
                <w:tcPr/>
                <w:p>
                  <w:pPr>
                    <w:pStyle w:val="Compact"/>
                    <w:jc w:val="right"/>
                    <w:jc w:val="center"/>
                  </w:pPr>
                  <w:r>
                    <w:t xml:space="preserve">GIUR</w:t>
                  </w:r>
                </w:p>
              </w:tc>
              <w:tc>
                <w:tcPr/>
                <w:p>
                  <w:pPr>
                    <w:pStyle w:val="Compact"/>
                    <w:jc w:val="right"/>
                    <w:jc w:val="center"/>
                  </w:pPr>
                  <w:r>
                    <w:t xml:space="preserve">Total scars</w:t>
                  </w:r>
                </w:p>
              </w:tc>
              <w:tc>
                <w:tcPr/>
                <w:p>
                  <w:pPr>
                    <w:pStyle w:val="Compact"/>
                    <w:jc w:val="right"/>
                    <w:jc w:val="center"/>
                  </w:pPr>
                  <w:r>
                    <w:t xml:space="preserve">Retouch generations</w:t>
                  </w:r>
                </w:p>
              </w:tc>
              <w:tc>
                <w:tcPr/>
                <w:p>
                  <w:pPr>
                    <w:pStyle w:val="Compact"/>
                    <w:jc w:val="right"/>
                    <w:jc w:val="center"/>
                  </w:pPr>
                  <w:r>
                    <w:t xml:space="preserve">Edge angle (°)</w:t>
                  </w:r>
                </w:p>
              </w:tc>
            </w:tr>
            <w:tr>
              <w:tc>
                <w:tcPr/>
                <w:p>
                  <w:pPr>
                    <w:pStyle w:val="Compact"/>
                    <w:jc w:val="left"/>
                    <w:jc w:val="center"/>
                  </w:pPr>
                  <w:r>
                    <w:t xml:space="preserve">Wayaowan</w:t>
                  </w:r>
                </w:p>
              </w:tc>
              <w:tc>
                <w:tcPr/>
                <w:p>
                  <w:pPr>
                    <w:pStyle w:val="Compact"/>
                    <w:jc w:val="left"/>
                    <w:jc w:val="center"/>
                  </w:pPr>
                  <w:r>
                    <w:t xml:space="preserve">Binchuan</w:t>
                  </w:r>
                </w:p>
              </w:tc>
              <w:tc>
                <w:tcPr/>
                <w:p>
                  <w:pPr>
                    <w:pStyle w:val="Compact"/>
                    <w:jc w:val="right"/>
                    <w:jc w:val="center"/>
                  </w:pPr>
                  <w:r>
                    <w:t xml:space="preserve">10</w:t>
                  </w:r>
                </w:p>
              </w:tc>
              <w:tc>
                <w:tcPr/>
                <w:p>
                  <w:pPr>
                    <w:pStyle w:val="Compact"/>
                    <w:jc w:val="right"/>
                    <w:jc w:val="center"/>
                  </w:pPr>
                  <w:r>
                    <w:t xml:space="preserve">663</w:t>
                  </w:r>
                </w:p>
              </w:tc>
              <w:tc>
                <w:tcPr/>
                <w:p>
                  <w:pPr>
                    <w:pStyle w:val="Compact"/>
                    <w:jc w:val="right"/>
                    <w:jc w:val="center"/>
                  </w:pPr>
                  <w:r>
                    <w:t xml:space="preserve">150</w:t>
                  </w:r>
                </w:p>
              </w:tc>
              <w:tc>
                <w:tcPr/>
                <w:p>
                  <w:pPr>
                    <w:pStyle w:val="Compact"/>
                    <w:jc w:val="right"/>
                    <w:jc w:val="center"/>
                  </w:pPr>
                  <w:r>
                    <w:t xml:space="preserve">21.5</w:t>
                  </w:r>
                </w:p>
              </w:tc>
              <w:tc>
                <w:tcPr/>
                <w:p>
                  <w:pPr>
                    <w:pStyle w:val="Compact"/>
                    <w:jc w:val="right"/>
                    <w:jc w:val="center"/>
                  </w:pPr>
                  <w:r>
                    <w:t xml:space="preserve">0.40</w:t>
                  </w:r>
                </w:p>
              </w:tc>
              <w:tc>
                <w:tcPr/>
                <w:p>
                  <w:pPr>
                    <w:pStyle w:val="Compact"/>
                    <w:jc w:val="right"/>
                    <w:jc w:val="center"/>
                  </w:pPr>
                  <w:r>
                    <w:t xml:space="preserve">0.75</w:t>
                  </w:r>
                </w:p>
              </w:tc>
              <w:tc>
                <w:tcPr/>
                <w:p>
                  <w:pPr>
                    <w:pStyle w:val="Compact"/>
                    <w:jc w:val="right"/>
                    <w:jc w:val="center"/>
                  </w:pPr>
                  <w:r>
                    <w:t xml:space="preserve">15</w:t>
                  </w:r>
                </w:p>
              </w:tc>
              <w:tc>
                <w:tcPr/>
                <w:p>
                  <w:pPr>
                    <w:pStyle w:val="Compact"/>
                    <w:jc w:val="right"/>
                    <w:jc w:val="center"/>
                  </w:pPr>
                  <w:r>
                    <w:t xml:space="preserve">3.00</w:t>
                  </w:r>
                </w:p>
              </w:tc>
              <w:tc>
                <w:tcPr/>
                <w:p>
                  <w:pPr>
                    <w:pStyle w:val="Compact"/>
                    <w:jc w:val="right"/>
                    <w:jc w:val="center"/>
                  </w:pPr>
                  <w:r>
                    <w:t xml:space="preserve">69.2</w:t>
                  </w:r>
                </w:p>
              </w:tc>
            </w:tr>
            <w:tr>
              <w:tc>
                <w:tcPr/>
                <w:p>
                  <w:pPr>
                    <w:pStyle w:val="Compact"/>
                    <w:jc w:val="left"/>
                    <w:jc w:val="center"/>
                  </w:pPr>
                  <w:r>
                    <w:t xml:space="preserve">Caifengcun</w:t>
                  </w:r>
                </w:p>
              </w:tc>
              <w:tc>
                <w:tcPr/>
                <w:p>
                  <w:pPr>
                    <w:pStyle w:val="Compact"/>
                    <w:jc w:val="left"/>
                    <w:jc w:val="center"/>
                  </w:pPr>
                  <w:r>
                    <w:t xml:space="preserve">Binchuan</w:t>
                  </w:r>
                </w:p>
              </w:tc>
              <w:tc>
                <w:tcPr/>
                <w:p>
                  <w:pPr>
                    <w:pStyle w:val="Compact"/>
                    <w:jc w:val="right"/>
                    <w:jc w:val="center"/>
                  </w:pPr>
                  <w:r>
                    <w:t xml:space="preserve">6</w:t>
                  </w:r>
                </w:p>
              </w:tc>
              <w:tc>
                <w:tcPr/>
                <w:p>
                  <w:pPr>
                    <w:pStyle w:val="Compact"/>
                    <w:jc w:val="right"/>
                    <w:jc w:val="center"/>
                  </w:pPr>
                  <w:r>
                    <w:t xml:space="preserve">721</w:t>
                  </w:r>
                </w:p>
              </w:tc>
              <w:tc>
                <w:tcPr/>
                <w:p>
                  <w:pPr>
                    <w:pStyle w:val="Compact"/>
                    <w:jc w:val="right"/>
                    <w:jc w:val="center"/>
                  </w:pPr>
                  <w:r>
                    <w:t xml:space="preserve">51</w:t>
                  </w:r>
                </w:p>
              </w:tc>
              <w:tc>
                <w:tcPr/>
                <w:p>
                  <w:pPr>
                    <w:pStyle w:val="Compact"/>
                    <w:jc w:val="right"/>
                    <w:jc w:val="center"/>
                  </w:pPr>
                  <w:r>
                    <w:t xml:space="preserve">18.7</w:t>
                  </w:r>
                </w:p>
              </w:tc>
              <w:tc>
                <w:tcPr/>
                <w:p>
                  <w:pPr>
                    <w:pStyle w:val="Compact"/>
                    <w:jc w:val="right"/>
                    <w:jc w:val="center"/>
                  </w:pPr>
                  <w:r>
                    <w:t xml:space="preserve">0.39</w:t>
                  </w:r>
                </w:p>
              </w:tc>
              <w:tc>
                <w:tcPr/>
                <w:p>
                  <w:pPr>
                    <w:pStyle w:val="Compact"/>
                    <w:jc w:val="right"/>
                    <w:jc w:val="center"/>
                  </w:pPr>
                  <w:r>
                    <w:t xml:space="preserve">0.91</w:t>
                  </w:r>
                </w:p>
              </w:tc>
              <w:tc>
                <w:tcPr/>
                <w:p>
                  <w:pPr>
                    <w:pStyle w:val="Compact"/>
                    <w:jc w:val="right"/>
                    <w:jc w:val="center"/>
                  </w:pPr>
                  <w:r>
                    <w:t xml:space="preserve">13</w:t>
                  </w:r>
                </w:p>
              </w:tc>
              <w:tc>
                <w:tcPr/>
                <w:p>
                  <w:pPr>
                    <w:pStyle w:val="Compact"/>
                    <w:jc w:val="right"/>
                    <w:jc w:val="center"/>
                  </w:pPr>
                  <w:r>
                    <w:t xml:space="preserve">2.50</w:t>
                  </w:r>
                </w:p>
              </w:tc>
              <w:tc>
                <w:tcPr/>
                <w:p>
                  <w:pPr>
                    <w:pStyle w:val="Compact"/>
                    <w:jc w:val="right"/>
                    <w:jc w:val="center"/>
                  </w:pPr>
                  <w:r>
                    <w:t xml:space="preserve">67.4</w:t>
                  </w:r>
                </w:p>
              </w:tc>
            </w:tr>
            <w:tr>
              <w:tc>
                <w:tcPr/>
                <w:p>
                  <w:pPr>
                    <w:pStyle w:val="Compact"/>
                    <w:jc w:val="left"/>
                    <w:jc w:val="center"/>
                  </w:pPr>
                  <w:r>
                    <w:t xml:space="preserve">Mianhualiangzi</w:t>
                  </w:r>
                </w:p>
              </w:tc>
              <w:tc>
                <w:tcPr/>
                <w:p>
                  <w:pPr>
                    <w:pStyle w:val="Compact"/>
                    <w:jc w:val="left"/>
                    <w:jc w:val="center"/>
                  </w:pPr>
                  <w:r>
                    <w:t xml:space="preserve">Binchuan</w:t>
                  </w:r>
                </w:p>
              </w:tc>
              <w:tc>
                <w:tcPr/>
                <w:p>
                  <w:pPr>
                    <w:pStyle w:val="Compact"/>
                    <w:jc w:val="right"/>
                    <w:jc w:val="center"/>
                  </w:pPr>
                  <w:r>
                    <w:t xml:space="preserve">4</w:t>
                  </w:r>
                </w:p>
              </w:tc>
              <w:tc>
                <w:tcPr/>
                <w:p>
                  <w:pPr>
                    <w:pStyle w:val="Compact"/>
                    <w:jc w:val="right"/>
                    <w:jc w:val="center"/>
                  </w:pPr>
                  <w:r>
                    <w:t xml:space="preserve">468</w:t>
                  </w:r>
                </w:p>
              </w:tc>
              <w:tc>
                <w:tcPr/>
                <w:p>
                  <w:pPr>
                    <w:pStyle w:val="Compact"/>
                    <w:jc w:val="right"/>
                    <w:jc w:val="center"/>
                  </w:pPr>
                  <w:r>
                    <w:t xml:space="preserve">55</w:t>
                  </w:r>
                </w:p>
              </w:tc>
              <w:tc>
                <w:tcPr/>
                <w:p>
                  <w:pPr>
                    <w:pStyle w:val="Compact"/>
                    <w:jc w:val="right"/>
                    <w:jc w:val="center"/>
                  </w:pPr>
                  <w:r>
                    <w:t xml:space="preserve">36.2</w:t>
                  </w:r>
                </w:p>
              </w:tc>
              <w:tc>
                <w:tcPr/>
                <w:p>
                  <w:pPr>
                    <w:pStyle w:val="Compact"/>
                    <w:jc w:val="right"/>
                    <w:jc w:val="center"/>
                  </w:pPr>
                  <w:r>
                    <w:t xml:space="preserve">0.45</w:t>
                  </w:r>
                </w:p>
              </w:tc>
              <w:tc>
                <w:tcPr/>
                <w:p>
                  <w:pPr>
                    <w:pStyle w:val="Compact"/>
                    <w:jc w:val="right"/>
                    <w:jc w:val="center"/>
                  </w:pPr>
                  <w:r>
                    <w:t xml:space="preserve">0.60</w:t>
                  </w:r>
                </w:p>
              </w:tc>
              <w:tc>
                <w:tcPr/>
                <w:p>
                  <w:pPr>
                    <w:pStyle w:val="Compact"/>
                    <w:jc w:val="right"/>
                    <w:jc w:val="center"/>
                  </w:pPr>
                  <w:r>
                    <w:t xml:space="preserve">26</w:t>
                  </w:r>
                </w:p>
              </w:tc>
              <w:tc>
                <w:tcPr/>
                <w:p>
                  <w:pPr>
                    <w:pStyle w:val="Compact"/>
                    <w:jc w:val="right"/>
                    <w:jc w:val="center"/>
                  </w:pPr>
                  <w:r>
                    <w:t xml:space="preserve">3.00</w:t>
                  </w:r>
                </w:p>
              </w:tc>
              <w:tc>
                <w:tcPr/>
                <w:p>
                  <w:pPr>
                    <w:pStyle w:val="Compact"/>
                    <w:jc w:val="right"/>
                    <w:jc w:val="center"/>
                  </w:pPr>
                  <w:r>
                    <w:t xml:space="preserve">73.8</w:t>
                  </w:r>
                </w:p>
              </w:tc>
            </w:tr>
            <w:tr>
              <w:tc>
                <w:tcPr/>
                <w:p>
                  <w:pPr>
                    <w:pStyle w:val="Compact"/>
                    <w:jc w:val="left"/>
                    <w:jc w:val="center"/>
                  </w:pPr>
                  <w:r>
                    <w:t xml:space="preserve">Laojianshan</w:t>
                  </w:r>
                </w:p>
              </w:tc>
              <w:tc>
                <w:tcPr/>
                <w:p>
                  <w:pPr>
                    <w:pStyle w:val="Compact"/>
                    <w:jc w:val="left"/>
                    <w:jc w:val="center"/>
                  </w:pPr>
                  <w:r>
                    <w:t xml:space="preserve">Binchuan</w:t>
                  </w:r>
                </w:p>
              </w:tc>
              <w:tc>
                <w:tcPr/>
                <w:p>
                  <w:pPr>
                    <w:pStyle w:val="Compact"/>
                    <w:jc w:val="right"/>
                    <w:jc w:val="center"/>
                  </w:pPr>
                  <w:r>
                    <w:t xml:space="preserve">2</w:t>
                  </w:r>
                </w:p>
              </w:tc>
              <w:tc>
                <w:tcPr/>
                <w:p>
                  <w:pPr>
                    <w:pStyle w:val="Compact"/>
                    <w:jc w:val="right"/>
                    <w:jc w:val="center"/>
                  </w:pPr>
                  <w:r>
                    <w:t xml:space="preserve">721</w:t>
                  </w:r>
                </w:p>
              </w:tc>
              <w:tc>
                <w:tcPr/>
                <w:p>
                  <w:pPr>
                    <w:pStyle w:val="Compact"/>
                    <w:jc w:val="right"/>
                    <w:jc w:val="center"/>
                  </w:pPr>
                  <w:r>
                    <w:t xml:space="preserve">60</w:t>
                  </w:r>
                </w:p>
              </w:tc>
              <w:tc>
                <w:tcPr/>
                <w:p>
                  <w:pPr>
                    <w:pStyle w:val="Compact"/>
                    <w:jc w:val="right"/>
                    <w:jc w:val="center"/>
                  </w:pPr>
                  <w:r>
                    <w:t xml:space="preserve">27.5</w:t>
                  </w:r>
                </w:p>
              </w:tc>
              <w:tc>
                <w:tcPr/>
                <w:p>
                  <w:pPr>
                    <w:pStyle w:val="Compact"/>
                    <w:jc w:val="right"/>
                    <w:jc w:val="center"/>
                  </w:pPr>
                  <w:r>
                    <w:t xml:space="preserve">0.60</w:t>
                  </w:r>
                </w:p>
              </w:tc>
              <w:tc>
                <w:tcPr/>
                <w:p>
                  <w:pPr>
                    <w:pStyle w:val="Compact"/>
                    <w:jc w:val="right"/>
                    <w:jc w:val="center"/>
                  </w:pPr>
                  <w:r>
                    <w:t xml:space="preserve">0.94</w:t>
                  </w:r>
                </w:p>
              </w:tc>
              <w:tc>
                <w:tcPr/>
                <w:p>
                  <w:pPr>
                    <w:pStyle w:val="Compact"/>
                    <w:jc w:val="right"/>
                    <w:jc w:val="center"/>
                  </w:pPr>
                  <w:r>
                    <w:t xml:space="preserve">30</w:t>
                  </w:r>
                </w:p>
              </w:tc>
              <w:tc>
                <w:tcPr/>
                <w:p>
                  <w:pPr>
                    <w:pStyle w:val="Compact"/>
                    <w:jc w:val="right"/>
                    <w:jc w:val="center"/>
                  </w:pPr>
                  <w:r>
                    <w:t xml:space="preserve">3.17</w:t>
                  </w:r>
                </w:p>
              </w:tc>
              <w:tc>
                <w:tcPr/>
                <w:p>
                  <w:pPr>
                    <w:pStyle w:val="Compact"/>
                    <w:jc w:val="right"/>
                    <w:jc w:val="center"/>
                  </w:pPr>
                  <w:r>
                    <w:t xml:space="preserve">75.3</w:t>
                  </w:r>
                </w:p>
              </w:tc>
            </w:tr>
            <w:tr>
              <w:tc>
                <w:tcPr/>
                <w:p>
                  <w:pPr>
                    <w:pStyle w:val="Compact"/>
                    <w:jc w:val="left"/>
                    <w:jc w:val="center"/>
                  </w:pPr>
                  <w:r>
                    <w:t xml:space="preserve">Mianhuadi</w:t>
                  </w:r>
                </w:p>
              </w:tc>
              <w:tc>
                <w:tcPr/>
                <w:p>
                  <w:pPr>
                    <w:pStyle w:val="Compact"/>
                    <w:jc w:val="left"/>
                    <w:jc w:val="center"/>
                  </w:pPr>
                  <w:r>
                    <w:t xml:space="preserve">Binchuan</w:t>
                  </w:r>
                </w:p>
              </w:tc>
              <w:tc>
                <w:tcPr/>
                <w:p>
                  <w:pPr>
                    <w:pStyle w:val="Compact"/>
                    <w:jc w:val="right"/>
                    <w:jc w:val="center"/>
                  </w:pPr>
                  <w:r>
                    <w:t xml:space="preserve">2</w:t>
                  </w:r>
                </w:p>
              </w:tc>
              <w:tc>
                <w:tcPr/>
                <w:p>
                  <w:pPr>
                    <w:pStyle w:val="Compact"/>
                    <w:jc w:val="right"/>
                    <w:jc w:val="center"/>
                  </w:pPr>
                  <w:r>
                    <w:t xml:space="preserve">593</w:t>
                  </w:r>
                </w:p>
              </w:tc>
              <w:tc>
                <w:tcPr/>
                <w:p>
                  <w:pPr>
                    <w:pStyle w:val="Compact"/>
                    <w:jc w:val="right"/>
                    <w:jc w:val="center"/>
                  </w:pPr>
                  <w:r>
                    <w:t xml:space="preserve">46</w:t>
                  </w:r>
                </w:p>
              </w:tc>
              <w:tc>
                <w:tcPr/>
                <w:p>
                  <w:pPr>
                    <w:pStyle w:val="Compact"/>
                    <w:jc w:val="right"/>
                    <w:jc w:val="center"/>
                  </w:pPr>
                  <w:r>
                    <w:t xml:space="preserve">30.9</w:t>
                  </w:r>
                </w:p>
              </w:tc>
              <w:tc>
                <w:tcPr/>
                <w:p>
                  <w:pPr>
                    <w:pStyle w:val="Compact"/>
                    <w:jc w:val="right"/>
                    <w:jc w:val="center"/>
                  </w:pPr>
                  <w:r>
                    <w:t xml:space="preserve">0.46</w:t>
                  </w:r>
                </w:p>
              </w:tc>
              <w:tc>
                <w:tcPr/>
                <w:p>
                  <w:pPr>
                    <w:pStyle w:val="Compact"/>
                    <w:jc w:val="right"/>
                    <w:jc w:val="center"/>
                  </w:pPr>
                  <w:r>
                    <w:t xml:space="preserve">0.83</w:t>
                  </w:r>
                </w:p>
              </w:tc>
              <w:tc>
                <w:tcPr/>
                <w:p>
                  <w:pPr>
                    <w:pStyle w:val="Compact"/>
                    <w:jc w:val="right"/>
                    <w:jc w:val="center"/>
                  </w:pPr>
                  <w:r>
                    <w:t xml:space="preserve">26</w:t>
                  </w:r>
                </w:p>
              </w:tc>
              <w:tc>
                <w:tcPr/>
                <w:p>
                  <w:pPr>
                    <w:pStyle w:val="Compact"/>
                    <w:jc w:val="right"/>
                    <w:jc w:val="center"/>
                  </w:pPr>
                  <w:r>
                    <w:t xml:space="preserve">3.25</w:t>
                  </w:r>
                </w:p>
              </w:tc>
              <w:tc>
                <w:tcPr/>
                <w:p>
                  <w:pPr>
                    <w:pStyle w:val="Compact"/>
                    <w:jc w:val="right"/>
                    <w:jc w:val="center"/>
                  </w:pPr>
                  <w:r>
                    <w:t xml:space="preserve">77.3</w:t>
                  </w:r>
                </w:p>
              </w:tc>
            </w:tr>
            <w:tr>
              <w:tc>
                <w:tcPr/>
                <w:p>
                  <w:pPr>
                    <w:pStyle w:val="Compact"/>
                    <w:jc w:val="left"/>
                    <w:jc w:val="center"/>
                  </w:pPr>
                  <w:r>
                    <w:t xml:space="preserve">Nanjingzhuang</w:t>
                  </w:r>
                </w:p>
              </w:tc>
              <w:tc>
                <w:tcPr/>
                <w:p>
                  <w:pPr>
                    <w:pStyle w:val="Compact"/>
                    <w:jc w:val="left"/>
                    <w:jc w:val="center"/>
                  </w:pPr>
                  <w:r>
                    <w:t xml:space="preserve">Binchuan</w:t>
                  </w:r>
                </w:p>
              </w:tc>
              <w:tc>
                <w:tcPr/>
                <w:p>
                  <w:pPr>
                    <w:pStyle w:val="Compact"/>
                    <w:jc w:val="right"/>
                    <w:jc w:val="center"/>
                  </w:pPr>
                  <w:r>
                    <w:t xml:space="preserve">2</w:t>
                  </w:r>
                </w:p>
              </w:tc>
              <w:tc>
                <w:tcPr/>
                <w:p>
                  <w:pPr>
                    <w:pStyle w:val="Compact"/>
                    <w:jc w:val="right"/>
                    <w:jc w:val="center"/>
                  </w:pPr>
                  <w:r>
                    <w:t xml:space="preserve">944</w:t>
                  </w:r>
                </w:p>
              </w:tc>
              <w:tc>
                <w:tcPr/>
                <w:p>
                  <w:pPr>
                    <w:pStyle w:val="Compact"/>
                    <w:jc w:val="right"/>
                    <w:jc w:val="center"/>
                  </w:pPr>
                  <w:r>
                    <w:t xml:space="preserve">30</w:t>
                  </w:r>
                </w:p>
              </w:tc>
              <w:tc>
                <w:tcPr/>
                <w:p>
                  <w:pPr>
                    <w:pStyle w:val="Compact"/>
                    <w:jc w:val="right"/>
                    <w:jc w:val="center"/>
                  </w:pPr>
                  <w:r>
                    <w:t xml:space="preserve">25.9</w:t>
                  </w:r>
                </w:p>
              </w:tc>
              <w:tc>
                <w:tcPr/>
                <w:p>
                  <w:pPr>
                    <w:pStyle w:val="Compact"/>
                    <w:jc w:val="right"/>
                    <w:jc w:val="center"/>
                  </w:pPr>
                  <w:r>
                    <w:t xml:space="preserve">0.79</w:t>
                  </w:r>
                </w:p>
              </w:tc>
              <w:tc>
                <w:tcPr/>
                <w:p>
                  <w:pPr>
                    <w:pStyle w:val="Compact"/>
                    <w:jc w:val="right"/>
                    <w:jc w:val="center"/>
                  </w:pPr>
                  <w:r>
                    <w:t xml:space="preserve">0.73</w:t>
                  </w:r>
                </w:p>
              </w:tc>
              <w:tc>
                <w:tcPr/>
                <w:p>
                  <w:pPr>
                    <w:pStyle w:val="Compact"/>
                    <w:jc w:val="right"/>
                    <w:jc w:val="center"/>
                  </w:pPr>
                  <w:r>
                    <w:t xml:space="preserve">48</w:t>
                  </w:r>
                </w:p>
              </w:tc>
              <w:tc>
                <w:tcPr/>
                <w:p>
                  <w:pPr>
                    <w:pStyle w:val="Compact"/>
                    <w:jc w:val="right"/>
                    <w:jc w:val="center"/>
                  </w:pPr>
                  <w:r>
                    <w:t xml:space="preserve">3.17</w:t>
                  </w:r>
                </w:p>
              </w:tc>
              <w:tc>
                <w:tcPr/>
                <w:p>
                  <w:pPr>
                    <w:pStyle w:val="Compact"/>
                    <w:jc w:val="right"/>
                    <w:jc w:val="center"/>
                  </w:pPr>
                  <w:r>
                    <w:t xml:space="preserve">69.4</w:t>
                  </w:r>
                </w:p>
              </w:tc>
            </w:tr>
            <w:tr>
              <w:tc>
                <w:tcPr/>
                <w:p>
                  <w:pPr>
                    <w:pStyle w:val="Compact"/>
                    <w:jc w:val="left"/>
                    <w:jc w:val="center"/>
                  </w:pPr>
                  <w:r>
                    <w:t xml:space="preserve">Pengjiadadi</w:t>
                  </w:r>
                </w:p>
              </w:tc>
              <w:tc>
                <w:tcPr/>
                <w:p>
                  <w:pPr>
                    <w:pStyle w:val="Compact"/>
                    <w:jc w:val="left"/>
                    <w:jc w:val="center"/>
                  </w:pPr>
                  <w:r>
                    <w:t xml:space="preserve">Binchuan</w:t>
                  </w:r>
                </w:p>
              </w:tc>
              <w:tc>
                <w:tcPr/>
                <w:p>
                  <w:pPr>
                    <w:pStyle w:val="Compact"/>
                    <w:jc w:val="right"/>
                    <w:jc w:val="center"/>
                  </w:pPr>
                  <w:r>
                    <w:t xml:space="preserve">2</w:t>
                  </w:r>
                </w:p>
              </w:tc>
              <w:tc>
                <w:tcPr/>
                <w:p>
                  <w:pPr>
                    <w:pStyle w:val="Compact"/>
                    <w:jc w:val="right"/>
                    <w:jc w:val="center"/>
                  </w:pPr>
                  <w:r>
                    <w:t xml:space="preserve">1110</w:t>
                  </w:r>
                </w:p>
              </w:tc>
              <w:tc>
                <w:tcPr/>
                <w:p>
                  <w:pPr>
                    <w:pStyle w:val="Compact"/>
                    <w:jc w:val="right"/>
                    <w:jc w:val="center"/>
                  </w:pPr>
                  <w:r>
                    <w:t xml:space="preserve">46</w:t>
                  </w:r>
                </w:p>
              </w:tc>
              <w:tc>
                <w:tcPr/>
                <w:p>
                  <w:pPr>
                    <w:pStyle w:val="Compact"/>
                    <w:jc w:val="right"/>
                    <w:jc w:val="center"/>
                  </w:pPr>
                  <w:r>
                    <w:t xml:space="preserve">32.0</w:t>
                  </w:r>
                </w:p>
              </w:tc>
              <w:tc>
                <w:tcPr/>
                <w:p>
                  <w:pPr>
                    <w:pStyle w:val="Compact"/>
                    <w:jc w:val="right"/>
                    <w:jc w:val="center"/>
                  </w:pPr>
                  <w:r>
                    <w:t xml:space="preserve">0.66</w:t>
                  </w:r>
                </w:p>
              </w:tc>
              <w:tc>
                <w:tcPr/>
                <w:p>
                  <w:pPr>
                    <w:pStyle w:val="Compact"/>
                    <w:jc w:val="right"/>
                    <w:jc w:val="center"/>
                  </w:pPr>
                  <w:r>
                    <w:t xml:space="preserve">0.57</w:t>
                  </w:r>
                </w:p>
              </w:tc>
              <w:tc>
                <w:tcPr/>
                <w:p>
                  <w:pPr>
                    <w:pStyle w:val="Compact"/>
                    <w:jc w:val="right"/>
                    <w:jc w:val="center"/>
                  </w:pPr>
                  <w:r>
                    <w:t xml:space="preserve">30</w:t>
                  </w:r>
                </w:p>
              </w:tc>
              <w:tc>
                <w:tcPr/>
                <w:p>
                  <w:pPr>
                    <w:pStyle w:val="Compact"/>
                    <w:jc w:val="right"/>
                    <w:jc w:val="center"/>
                  </w:pPr>
                  <w:r>
                    <w:t xml:space="preserve">3.00</w:t>
                  </w:r>
                </w:p>
              </w:tc>
              <w:tc>
                <w:tcPr/>
                <w:p>
                  <w:pPr>
                    <w:pStyle w:val="Compact"/>
                    <w:jc w:val="right"/>
                    <w:jc w:val="center"/>
                  </w:pPr>
                  <w:r>
                    <w:t xml:space="preserve">68.1</w:t>
                  </w:r>
                </w:p>
              </w:tc>
            </w:tr>
            <w:tr>
              <w:tc>
                <w:tcPr/>
                <w:p>
                  <w:pPr>
                    <w:pStyle w:val="Compact"/>
                    <w:jc w:val="left"/>
                    <w:jc w:val="center"/>
                  </w:pPr>
                  <w:r>
                    <w:t xml:space="preserve">Shitouwan</w:t>
                  </w:r>
                </w:p>
              </w:tc>
              <w:tc>
                <w:tcPr/>
                <w:p>
                  <w:pPr>
                    <w:pStyle w:val="Compact"/>
                    <w:jc w:val="left"/>
                    <w:jc w:val="center"/>
                  </w:pPr>
                  <w:r>
                    <w:t xml:space="preserve">Binchuan</w:t>
                  </w:r>
                </w:p>
              </w:tc>
              <w:tc>
                <w:tcPr/>
                <w:p>
                  <w:pPr>
                    <w:pStyle w:val="Compact"/>
                    <w:jc w:val="right"/>
                    <w:jc w:val="center"/>
                  </w:pPr>
                  <w:r>
                    <w:t xml:space="preserve">2</w:t>
                  </w:r>
                </w:p>
              </w:tc>
              <w:tc>
                <w:tcPr/>
                <w:p>
                  <w:pPr>
                    <w:pStyle w:val="Compact"/>
                    <w:jc w:val="right"/>
                    <w:jc w:val="center"/>
                  </w:pPr>
                  <w:r>
                    <w:t xml:space="preserve">523</w:t>
                  </w:r>
                </w:p>
              </w:tc>
              <w:tc>
                <w:tcPr/>
                <w:p>
                  <w:pPr>
                    <w:pStyle w:val="Compact"/>
                    <w:jc w:val="right"/>
                    <w:jc w:val="center"/>
                  </w:pPr>
                  <w:r>
                    <w:t xml:space="preserve">37</w:t>
                  </w:r>
                </w:p>
              </w:tc>
              <w:tc>
                <w:tcPr/>
                <w:p>
                  <w:pPr>
                    <w:pStyle w:val="Compact"/>
                    <w:jc w:val="right"/>
                    <w:jc w:val="center"/>
                  </w:pPr>
                  <w:r>
                    <w:t xml:space="preserve">24.2</w:t>
                  </w:r>
                </w:p>
              </w:tc>
              <w:tc>
                <w:tcPr/>
                <w:p>
                  <w:pPr>
                    <w:pStyle w:val="Compact"/>
                    <w:jc w:val="right"/>
                    <w:jc w:val="center"/>
                  </w:pPr>
                  <w:r>
                    <w:t xml:space="preserve">0.41</w:t>
                  </w:r>
                </w:p>
              </w:tc>
              <w:tc>
                <w:tcPr/>
                <w:p>
                  <w:pPr>
                    <w:pStyle w:val="Compact"/>
                    <w:jc w:val="right"/>
                    <w:jc w:val="center"/>
                  </w:pPr>
                  <w:r>
                    <w:t xml:space="preserve">0.85</w:t>
                  </w:r>
                </w:p>
              </w:tc>
              <w:tc>
                <w:tcPr/>
                <w:p>
                  <w:pPr>
                    <w:pStyle w:val="Compact"/>
                    <w:jc w:val="right"/>
                    <w:jc w:val="center"/>
                  </w:pPr>
                  <w:r>
                    <w:t xml:space="preserve">24</w:t>
                  </w:r>
                </w:p>
              </w:tc>
              <w:tc>
                <w:tcPr/>
                <w:p>
                  <w:pPr>
                    <w:pStyle w:val="Compact"/>
                    <w:jc w:val="right"/>
                    <w:jc w:val="center"/>
                  </w:pPr>
                  <w:r>
                    <w:t xml:space="preserve">3.00</w:t>
                  </w:r>
                </w:p>
              </w:tc>
              <w:tc>
                <w:tcPr/>
                <w:p>
                  <w:pPr>
                    <w:pStyle w:val="Compact"/>
                    <w:jc w:val="right"/>
                    <w:jc w:val="center"/>
                  </w:pPr>
                  <w:r>
                    <w:t xml:space="preserve">68.7</w:t>
                  </w:r>
                </w:p>
              </w:tc>
            </w:tr>
            <w:tr>
              <w:tc>
                <w:tcPr/>
                <w:p>
                  <w:pPr>
                    <w:pStyle w:val="Compact"/>
                    <w:jc w:val="left"/>
                    <w:jc w:val="center"/>
                  </w:pPr>
                  <w:r>
                    <w:t xml:space="preserve">Yanjianqiao</w:t>
                  </w:r>
                </w:p>
              </w:tc>
              <w:tc>
                <w:tcPr/>
                <w:p>
                  <w:pPr>
                    <w:pStyle w:val="Compact"/>
                    <w:jc w:val="left"/>
                    <w:jc w:val="center"/>
                  </w:pPr>
                  <w:r>
                    <w:t xml:space="preserve">Binchuan</w:t>
                  </w:r>
                </w:p>
              </w:tc>
              <w:tc>
                <w:tcPr/>
                <w:p>
                  <w:pPr>
                    <w:pStyle w:val="Compact"/>
                    <w:jc w:val="right"/>
                    <w:jc w:val="center"/>
                  </w:pPr>
                  <w:r>
                    <w:t xml:space="preserve">2</w:t>
                  </w:r>
                </w:p>
              </w:tc>
              <w:tc>
                <w:tcPr/>
                <w:p>
                  <w:pPr>
                    <w:pStyle w:val="Compact"/>
                    <w:jc w:val="right"/>
                    <w:jc w:val="center"/>
                  </w:pPr>
                  <w:r>
                    <w:t xml:space="preserve">204</w:t>
                  </w:r>
                </w:p>
              </w:tc>
              <w:tc>
                <w:tcPr/>
                <w:p>
                  <w:pPr>
                    <w:pStyle w:val="Compact"/>
                    <w:jc w:val="right"/>
                    <w:jc w:val="center"/>
                  </w:pPr>
                  <w:r>
                    <w:t xml:space="preserve">48</w:t>
                  </w:r>
                </w:p>
              </w:tc>
              <w:tc>
                <w:tcPr/>
                <w:p>
                  <w:pPr>
                    <w:pStyle w:val="Compact"/>
                    <w:jc w:val="right"/>
                    <w:jc w:val="center"/>
                  </w:pPr>
                  <w:r>
                    <w:t xml:space="preserve">19.8</w:t>
                  </w:r>
                </w:p>
              </w:tc>
              <w:tc>
                <w:tcPr/>
                <w:p>
                  <w:pPr>
                    <w:pStyle w:val="Compact"/>
                    <w:jc w:val="right"/>
                    <w:jc w:val="center"/>
                  </w:pPr>
                  <w:r>
                    <w:t xml:space="preserve">0.51</w:t>
                  </w:r>
                </w:p>
              </w:tc>
              <w:tc>
                <w:tcPr/>
                <w:p>
                  <w:pPr>
                    <w:pStyle w:val="Compact"/>
                    <w:jc w:val="right"/>
                    <w:jc w:val="center"/>
                  </w:pPr>
                  <w:r>
                    <w:t xml:space="preserve">0.64</w:t>
                  </w:r>
                </w:p>
              </w:tc>
              <w:tc>
                <w:tcPr/>
                <w:p>
                  <w:pPr>
                    <w:pStyle w:val="Compact"/>
                    <w:jc w:val="right"/>
                    <w:jc w:val="center"/>
                  </w:pPr>
                  <w:r>
                    <w:t xml:space="preserve">20</w:t>
                  </w:r>
                </w:p>
              </w:tc>
              <w:tc>
                <w:tcPr/>
                <w:p>
                  <w:pPr>
                    <w:pStyle w:val="Compact"/>
                    <w:jc w:val="right"/>
                    <w:jc w:val="center"/>
                  </w:pPr>
                  <w:r>
                    <w:t xml:space="preserve">2.25</w:t>
                  </w:r>
                </w:p>
              </w:tc>
              <w:tc>
                <w:tcPr/>
                <w:p>
                  <w:pPr>
                    <w:pStyle w:val="Compact"/>
                    <w:jc w:val="right"/>
                    <w:jc w:val="center"/>
                  </w:pPr>
                  <w:r>
                    <w:t xml:space="preserve">69.1</w:t>
                  </w:r>
                </w:p>
              </w:tc>
            </w:tr>
            <w:tr>
              <w:tc>
                <w:tcPr/>
                <w:p>
                  <w:pPr>
                    <w:pStyle w:val="Compact"/>
                    <w:jc w:val="left"/>
                    <w:jc w:val="center"/>
                  </w:pPr>
                  <w:r>
                    <w:t xml:space="preserve">Zhongjialiangzi</w:t>
                  </w:r>
                </w:p>
              </w:tc>
              <w:tc>
                <w:tcPr/>
                <w:p>
                  <w:pPr>
                    <w:pStyle w:val="Compact"/>
                    <w:jc w:val="left"/>
                    <w:jc w:val="center"/>
                  </w:pPr>
                  <w:r>
                    <w:t xml:space="preserve">Binchuan</w:t>
                  </w:r>
                </w:p>
              </w:tc>
              <w:tc>
                <w:tcPr/>
                <w:p>
                  <w:pPr>
                    <w:pStyle w:val="Compact"/>
                    <w:jc w:val="right"/>
                    <w:jc w:val="center"/>
                  </w:pPr>
                  <w:r>
                    <w:t xml:space="preserve">2</w:t>
                  </w:r>
                </w:p>
              </w:tc>
              <w:tc>
                <w:tcPr/>
                <w:p>
                  <w:pPr>
                    <w:pStyle w:val="Compact"/>
                    <w:jc w:val="right"/>
                    <w:jc w:val="center"/>
                  </w:pPr>
                  <w:r>
                    <w:t xml:space="preserve">908</w:t>
                  </w:r>
                </w:p>
              </w:tc>
              <w:tc>
                <w:tcPr/>
                <w:p>
                  <w:pPr>
                    <w:pStyle w:val="Compact"/>
                    <w:jc w:val="right"/>
                    <w:jc w:val="center"/>
                  </w:pPr>
                  <w:r>
                    <w:t xml:space="preserve">30</w:t>
                  </w:r>
                </w:p>
              </w:tc>
              <w:tc>
                <w:tcPr/>
                <w:p>
                  <w:pPr>
                    <w:pStyle w:val="Compact"/>
                    <w:jc w:val="right"/>
                    <w:jc w:val="center"/>
                  </w:pPr>
                  <w:r>
                    <w:t xml:space="preserve">23.3</w:t>
                  </w:r>
                </w:p>
              </w:tc>
              <w:tc>
                <w:tcPr/>
                <w:p>
                  <w:pPr>
                    <w:pStyle w:val="Compact"/>
                    <w:jc w:val="right"/>
                    <w:jc w:val="center"/>
                  </w:pPr>
                  <w:r>
                    <w:t xml:space="preserve">0.62</w:t>
                  </w:r>
                </w:p>
              </w:tc>
              <w:tc>
                <w:tcPr/>
                <w:p>
                  <w:pPr>
                    <w:pStyle w:val="Compact"/>
                    <w:jc w:val="right"/>
                    <w:jc w:val="center"/>
                  </w:pPr>
                  <w:r>
                    <w:t xml:space="preserve">0.98</w:t>
                  </w:r>
                </w:p>
              </w:tc>
              <w:tc>
                <w:tcPr/>
                <w:p>
                  <w:pPr>
                    <w:pStyle w:val="Compact"/>
                    <w:jc w:val="right"/>
                    <w:jc w:val="center"/>
                  </w:pPr>
                  <w:r>
                    <w:t xml:space="preserve">24</w:t>
                  </w:r>
                </w:p>
              </w:tc>
              <w:tc>
                <w:tcPr/>
                <w:p>
                  <w:pPr>
                    <w:pStyle w:val="Compact"/>
                    <w:jc w:val="right"/>
                    <w:jc w:val="center"/>
                  </w:pPr>
                  <w:r>
                    <w:t xml:space="preserve">3.25</w:t>
                  </w:r>
                </w:p>
              </w:tc>
              <w:tc>
                <w:tcPr/>
                <w:p>
                  <w:pPr>
                    <w:pStyle w:val="Compact"/>
                    <w:jc w:val="right"/>
                    <w:jc w:val="center"/>
                  </w:pPr>
                  <w:r>
                    <w:t xml:space="preserve">73.5</w:t>
                  </w:r>
                </w:p>
              </w:tc>
            </w:tr>
            <w:tr>
              <w:tc>
                <w:tcPr/>
                <w:p>
                  <w:pPr>
                    <w:pStyle w:val="Compact"/>
                    <w:jc w:val="left"/>
                    <w:jc w:val="center"/>
                  </w:pPr>
                  <w:r>
                    <w:t xml:space="preserve">Zhouxiyingliangzi</w:t>
                  </w:r>
                </w:p>
              </w:tc>
              <w:tc>
                <w:tcPr/>
                <w:p>
                  <w:pPr>
                    <w:pStyle w:val="Compact"/>
                    <w:jc w:val="left"/>
                    <w:jc w:val="center"/>
                  </w:pPr>
                  <w:r>
                    <w:t xml:space="preserve">Binchuan</w:t>
                  </w:r>
                </w:p>
              </w:tc>
              <w:tc>
                <w:tcPr/>
                <w:p>
                  <w:pPr>
                    <w:pStyle w:val="Compact"/>
                    <w:jc w:val="right"/>
                    <w:jc w:val="center"/>
                  </w:pPr>
                  <w:r>
                    <w:t xml:space="preserve">2</w:t>
                  </w:r>
                </w:p>
              </w:tc>
              <w:tc>
                <w:tcPr/>
                <w:p>
                  <w:pPr>
                    <w:pStyle w:val="Compact"/>
                    <w:jc w:val="right"/>
                    <w:jc w:val="center"/>
                  </w:pPr>
                  <w:r>
                    <w:t xml:space="preserve">210</w:t>
                  </w:r>
                </w:p>
              </w:tc>
              <w:tc>
                <w:tcPr/>
                <w:p>
                  <w:pPr>
                    <w:pStyle w:val="Compact"/>
                    <w:jc w:val="right"/>
                    <w:jc w:val="center"/>
                  </w:pPr>
                  <w:r>
                    <w:t xml:space="preserve">40</w:t>
                  </w:r>
                </w:p>
              </w:tc>
              <w:tc>
                <w:tcPr/>
                <w:p>
                  <w:pPr>
                    <w:pStyle w:val="Compact"/>
                    <w:jc w:val="right"/>
                    <w:jc w:val="center"/>
                  </w:pPr>
                  <w:r>
                    <w:t xml:space="preserve">24.2</w:t>
                  </w:r>
                </w:p>
              </w:tc>
              <w:tc>
                <w:tcPr/>
                <w:p>
                  <w:pPr>
                    <w:pStyle w:val="Compact"/>
                    <w:jc w:val="right"/>
                    <w:jc w:val="center"/>
                  </w:pPr>
                  <w:r>
                    <w:t xml:space="preserve">0.37</w:t>
                  </w:r>
                </w:p>
              </w:tc>
              <w:tc>
                <w:tcPr/>
                <w:p>
                  <w:pPr>
                    <w:pStyle w:val="Compact"/>
                    <w:jc w:val="right"/>
                    <w:jc w:val="center"/>
                  </w:pPr>
                  <w:r>
                    <w:t xml:space="preserve">0.88</w:t>
                  </w:r>
                </w:p>
              </w:tc>
              <w:tc>
                <w:tcPr/>
                <w:p>
                  <w:pPr>
                    <w:pStyle w:val="Compact"/>
                    <w:jc w:val="right"/>
                    <w:jc w:val="center"/>
                  </w:pPr>
                  <w:r>
                    <w:t xml:space="preserve">18</w:t>
                  </w:r>
                </w:p>
              </w:tc>
              <w:tc>
                <w:tcPr/>
                <w:p>
                  <w:pPr>
                    <w:pStyle w:val="Compact"/>
                    <w:jc w:val="right"/>
                    <w:jc w:val="center"/>
                  </w:pPr>
                  <w:r>
                    <w:t xml:space="preserve">2.50</w:t>
                  </w:r>
                </w:p>
              </w:tc>
              <w:tc>
                <w:tcPr/>
                <w:p>
                  <w:pPr>
                    <w:pStyle w:val="Compact"/>
                    <w:jc w:val="right"/>
                    <w:jc w:val="center"/>
                  </w:pPr>
                  <w:r>
                    <w:t xml:space="preserve">62.6</w:t>
                  </w:r>
                </w:p>
              </w:tc>
            </w:tr>
            <w:tr>
              <w:tc>
                <w:tcPr/>
                <w:p>
                  <w:pPr>
                    <w:pStyle w:val="Compact"/>
                    <w:jc w:val="left"/>
                    <w:jc w:val="center"/>
                  </w:pPr>
                  <w:r>
                    <w:t xml:space="preserve">Baifen</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716</w:t>
                  </w:r>
                </w:p>
              </w:tc>
              <w:tc>
                <w:tcPr/>
                <w:p>
                  <w:pPr>
                    <w:pStyle w:val="Compact"/>
                    <w:jc w:val="right"/>
                    <w:jc w:val="center"/>
                  </w:pPr>
                  <w:r>
                    <w:t xml:space="preserve">40</w:t>
                  </w:r>
                </w:p>
              </w:tc>
              <w:tc>
                <w:tcPr/>
                <w:p>
                  <w:pPr>
                    <w:pStyle w:val="Compact"/>
                    <w:jc w:val="right"/>
                    <w:jc w:val="center"/>
                  </w:pPr>
                  <w:r>
                    <w:t xml:space="preserve">17.5</w:t>
                  </w:r>
                </w:p>
              </w:tc>
              <w:tc>
                <w:tcPr/>
                <w:p>
                  <w:pPr>
                    <w:pStyle w:val="Compact"/>
                    <w:jc w:val="right"/>
                    <w:jc w:val="center"/>
                  </w:pPr>
                  <w:r>
                    <w:t xml:space="preserve">0.36</w:t>
                  </w:r>
                </w:p>
              </w:tc>
              <w:tc>
                <w:tcPr/>
                <w:p>
                  <w:pPr>
                    <w:pStyle w:val="Compact"/>
                    <w:jc w:val="right"/>
                    <w:jc w:val="center"/>
                  </w:pPr>
                  <w:r>
                    <w:t xml:space="preserve">0.97</w:t>
                  </w:r>
                </w:p>
              </w:tc>
              <w:tc>
                <w:tcPr/>
                <w:p>
                  <w:pPr>
                    <w:pStyle w:val="Compact"/>
                    <w:jc w:val="right"/>
                    <w:jc w:val="center"/>
                  </w:pPr>
                  <w:r>
                    <w:t xml:space="preserve">9</w:t>
                  </w:r>
                </w:p>
              </w:tc>
              <w:tc>
                <w:tcPr/>
                <w:p>
                  <w:pPr>
                    <w:pStyle w:val="Compact"/>
                    <w:jc w:val="right"/>
                    <w:jc w:val="center"/>
                  </w:pPr>
                  <w:r>
                    <w:t xml:space="preserve">2.00</w:t>
                  </w:r>
                </w:p>
              </w:tc>
              <w:tc>
                <w:tcPr/>
                <w:p>
                  <w:pPr>
                    <w:pStyle w:val="Compact"/>
                    <w:jc w:val="right"/>
                    <w:jc w:val="center"/>
                  </w:pPr>
                  <w:r>
                    <w:t xml:space="preserve">62.0</w:t>
                  </w:r>
                </w:p>
              </w:tc>
            </w:tr>
            <w:tr>
              <w:tc>
                <w:tcPr/>
                <w:p>
                  <w:pPr>
                    <w:pStyle w:val="Compact"/>
                    <w:jc w:val="left"/>
                    <w:jc w:val="center"/>
                  </w:pPr>
                  <w:r>
                    <w:t xml:space="preserve">Dapingdi 1</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1390</w:t>
                  </w:r>
                </w:p>
              </w:tc>
              <w:tc>
                <w:tcPr/>
                <w:p>
                  <w:pPr>
                    <w:pStyle w:val="Compact"/>
                    <w:jc w:val="right"/>
                    <w:jc w:val="center"/>
                  </w:pPr>
                  <w:r>
                    <w:t xml:space="preserve">25</w:t>
                  </w:r>
                </w:p>
              </w:tc>
              <w:tc>
                <w:tcPr/>
                <w:p>
                  <w:pPr>
                    <w:pStyle w:val="Compact"/>
                    <w:jc w:val="right"/>
                    <w:jc w:val="center"/>
                  </w:pPr>
                  <w:r>
                    <w:t xml:space="preserve">38.6</w:t>
                  </w:r>
                </w:p>
              </w:tc>
              <w:tc>
                <w:tcPr/>
                <w:p>
                  <w:pPr>
                    <w:pStyle w:val="Compact"/>
                    <w:jc w:val="right"/>
                    <w:jc w:val="center"/>
                  </w:pPr>
                  <w:r>
                    <w:t xml:space="preserve">0.33</w:t>
                  </w:r>
                </w:p>
              </w:tc>
              <w:tc>
                <w:tcPr/>
                <w:p>
                  <w:pPr>
                    <w:pStyle w:val="Compact"/>
                    <w:jc w:val="right"/>
                    <w:jc w:val="center"/>
                  </w:pPr>
                  <w:r>
                    <w:t xml:space="preserve">1.00</w:t>
                  </w:r>
                </w:p>
              </w:tc>
              <w:tc>
                <w:tcPr/>
                <w:p>
                  <w:pPr>
                    <w:pStyle w:val="Compact"/>
                    <w:jc w:val="right"/>
                    <w:jc w:val="center"/>
                  </w:pPr>
                  <w:r>
                    <w:t xml:space="preserve">16</w:t>
                  </w:r>
                </w:p>
              </w:tc>
              <w:tc>
                <w:tcPr/>
                <w:p>
                  <w:pPr>
                    <w:pStyle w:val="Compact"/>
                    <w:jc w:val="right"/>
                    <w:jc w:val="center"/>
                  </w:pPr>
                  <w:r>
                    <w:t xml:space="preserve">3.00</w:t>
                  </w:r>
                </w:p>
              </w:tc>
              <w:tc>
                <w:tcPr/>
                <w:p>
                  <w:pPr>
                    <w:pStyle w:val="Compact"/>
                    <w:jc w:val="right"/>
                    <w:jc w:val="center"/>
                  </w:pPr>
                  <w:r>
                    <w:t xml:space="preserve">87.7</w:t>
                  </w:r>
                </w:p>
              </w:tc>
            </w:tr>
            <w:tr>
              <w:tc>
                <w:tcPr/>
                <w:p>
                  <w:pPr>
                    <w:pStyle w:val="Compact"/>
                    <w:jc w:val="left"/>
                    <w:jc w:val="center"/>
                  </w:pPr>
                  <w:r>
                    <w:t xml:space="preserve">Dapingdi 2</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268</w:t>
                  </w:r>
                </w:p>
              </w:tc>
              <w:tc>
                <w:tcPr/>
                <w:p>
                  <w:pPr>
                    <w:pStyle w:val="Compact"/>
                    <w:jc w:val="right"/>
                    <w:jc w:val="center"/>
                  </w:pPr>
                  <w:r>
                    <w:t xml:space="preserve">38</w:t>
                  </w:r>
                </w:p>
              </w:tc>
              <w:tc>
                <w:tcPr/>
                <w:p>
                  <w:pPr>
                    <w:pStyle w:val="Compact"/>
                    <w:jc w:val="right"/>
                    <w:jc w:val="center"/>
                  </w:pPr>
                  <w:r>
                    <w:t xml:space="preserve">22.9</w:t>
                  </w:r>
                </w:p>
              </w:tc>
              <w:tc>
                <w:tcPr/>
                <w:p>
                  <w:pPr>
                    <w:pStyle w:val="Compact"/>
                    <w:jc w:val="right"/>
                    <w:jc w:val="center"/>
                  </w:pPr>
                  <w:r>
                    <w:t xml:space="preserve">0.36</w:t>
                  </w:r>
                </w:p>
              </w:tc>
              <w:tc>
                <w:tcPr/>
                <w:p>
                  <w:pPr>
                    <w:pStyle w:val="Compact"/>
                    <w:jc w:val="right"/>
                    <w:jc w:val="center"/>
                  </w:pPr>
                  <w:r>
                    <w:t xml:space="preserve">0.21</w:t>
                  </w:r>
                </w:p>
              </w:tc>
              <w:tc>
                <w:tcPr/>
                <w:p>
                  <w:pPr>
                    <w:pStyle w:val="Compact"/>
                    <w:jc w:val="right"/>
                    <w:jc w:val="center"/>
                  </w:pPr>
                  <w:r>
                    <w:t xml:space="preserve">9</w:t>
                  </w:r>
                </w:p>
              </w:tc>
              <w:tc>
                <w:tcPr/>
                <w:p>
                  <w:pPr>
                    <w:pStyle w:val="Compact"/>
                    <w:jc w:val="right"/>
                    <w:jc w:val="center"/>
                  </w:pPr>
                  <w:r>
                    <w:t xml:space="preserve">1.00</w:t>
                  </w:r>
                </w:p>
              </w:tc>
              <w:tc>
                <w:tcPr/>
                <w:p>
                  <w:pPr>
                    <w:pStyle w:val="Compact"/>
                    <w:jc w:val="right"/>
                    <w:jc w:val="center"/>
                  </w:pPr>
                  <w:r>
                    <w:t xml:space="preserve">55.0</w:t>
                  </w:r>
                </w:p>
              </w:tc>
            </w:tr>
            <w:tr>
              <w:tc>
                <w:tcPr/>
                <w:p>
                  <w:pPr>
                    <w:pStyle w:val="Compact"/>
                    <w:jc w:val="left"/>
                    <w:jc w:val="center"/>
                  </w:pPr>
                  <w:r>
                    <w:t xml:space="preserve">Futianzhuang</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459</w:t>
                  </w:r>
                </w:p>
              </w:tc>
              <w:tc>
                <w:tcPr/>
                <w:p>
                  <w:pPr>
                    <w:pStyle w:val="Compact"/>
                    <w:jc w:val="right"/>
                    <w:jc w:val="center"/>
                  </w:pPr>
                  <w:r>
                    <w:t xml:space="preserve">73</w:t>
                  </w:r>
                </w:p>
              </w:tc>
              <w:tc>
                <w:tcPr/>
                <w:p>
                  <w:pPr>
                    <w:pStyle w:val="Compact"/>
                    <w:jc w:val="right"/>
                    <w:jc w:val="center"/>
                  </w:pPr>
                  <w:r>
                    <w:t xml:space="preserve">13.7</w:t>
                  </w:r>
                </w:p>
              </w:tc>
              <w:tc>
                <w:tcPr/>
                <w:p>
                  <w:pPr>
                    <w:pStyle w:val="Compact"/>
                    <w:jc w:val="right"/>
                    <w:jc w:val="center"/>
                  </w:pPr>
                  <w:r>
                    <w:t xml:space="preserve">0.22</w:t>
                  </w:r>
                </w:p>
              </w:tc>
              <w:tc>
                <w:tcPr/>
                <w:p>
                  <w:pPr>
                    <w:pStyle w:val="Compact"/>
                    <w:jc w:val="right"/>
                    <w:jc w:val="center"/>
                  </w:pPr>
                  <w:r>
                    <w:t xml:space="preserve">1.00</w:t>
                  </w:r>
                </w:p>
              </w:tc>
              <w:tc>
                <w:tcPr/>
                <w:p>
                  <w:pPr>
                    <w:pStyle w:val="Compact"/>
                    <w:jc w:val="right"/>
                    <w:jc w:val="center"/>
                  </w:pPr>
                  <w:r>
                    <w:t xml:space="preserve">16</w:t>
                  </w:r>
                </w:p>
              </w:tc>
              <w:tc>
                <w:tcPr/>
                <w:p>
                  <w:pPr>
                    <w:pStyle w:val="Compact"/>
                    <w:jc w:val="right"/>
                    <w:jc w:val="center"/>
                  </w:pPr>
                  <w:r>
                    <w:t xml:space="preserve">3.00</w:t>
                  </w:r>
                </w:p>
              </w:tc>
              <w:tc>
                <w:tcPr/>
                <w:p>
                  <w:pPr>
                    <w:pStyle w:val="Compact"/>
                    <w:jc w:val="right"/>
                    <w:jc w:val="center"/>
                  </w:pPr>
                  <w:r>
                    <w:t xml:space="preserve">65.7</w:t>
                  </w:r>
                </w:p>
              </w:tc>
            </w:tr>
            <w:tr>
              <w:tc>
                <w:tcPr/>
                <w:p>
                  <w:pPr>
                    <w:pStyle w:val="Compact"/>
                    <w:jc w:val="left"/>
                    <w:jc w:val="center"/>
                  </w:pPr>
                  <w:r>
                    <w:t xml:space="preserve">Haibacun</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550</w:t>
                  </w:r>
                </w:p>
              </w:tc>
              <w:tc>
                <w:tcPr/>
                <w:p>
                  <w:pPr>
                    <w:pStyle w:val="Compact"/>
                    <w:jc w:val="right"/>
                    <w:jc w:val="center"/>
                  </w:pPr>
                  <w:r>
                    <w:t xml:space="preserve">158</w:t>
                  </w:r>
                </w:p>
              </w:tc>
              <w:tc>
                <w:tcPr/>
                <w:p>
                  <w:pPr>
                    <w:pStyle w:val="Compact"/>
                    <w:jc w:val="right"/>
                    <w:jc w:val="center"/>
                  </w:pPr>
                  <w:r>
                    <w:t xml:space="preserve">31.8</w:t>
                  </w:r>
                </w:p>
              </w:tc>
              <w:tc>
                <w:tcPr/>
                <w:p>
                  <w:pPr>
                    <w:pStyle w:val="Compact"/>
                    <w:jc w:val="right"/>
                    <w:jc w:val="center"/>
                  </w:pPr>
                  <w:r>
                    <w:t xml:space="preserve">0.62</w:t>
                  </w:r>
                </w:p>
              </w:tc>
              <w:tc>
                <w:tcPr/>
                <w:p>
                  <w:pPr>
                    <w:pStyle w:val="Compact"/>
                    <w:jc w:val="right"/>
                    <w:jc w:val="center"/>
                  </w:pPr>
                  <w:r>
                    <w:t xml:space="preserve">0.88</w:t>
                  </w:r>
                </w:p>
              </w:tc>
              <w:tc>
                <w:tcPr/>
                <w:p>
                  <w:pPr>
                    <w:pStyle w:val="Compact"/>
                    <w:jc w:val="right"/>
                    <w:jc w:val="center"/>
                  </w:pPr>
                  <w:r>
                    <w:t xml:space="preserve">32</w:t>
                  </w:r>
                </w:p>
              </w:tc>
              <w:tc>
                <w:tcPr/>
                <w:p>
                  <w:pPr>
                    <w:pStyle w:val="Compact"/>
                    <w:jc w:val="right"/>
                    <w:jc w:val="center"/>
                  </w:pPr>
                  <w:r>
                    <w:t xml:space="preserve">3.50</w:t>
                  </w:r>
                </w:p>
              </w:tc>
              <w:tc>
                <w:tcPr/>
                <w:p>
                  <w:pPr>
                    <w:pStyle w:val="Compact"/>
                    <w:jc w:val="right"/>
                    <w:jc w:val="center"/>
                  </w:pPr>
                  <w:r>
                    <w:t xml:space="preserve">87.0</w:t>
                  </w:r>
                </w:p>
              </w:tc>
            </w:tr>
            <w:tr>
              <w:tc>
                <w:tcPr/>
                <w:p>
                  <w:pPr>
                    <w:pStyle w:val="Compact"/>
                    <w:jc w:val="left"/>
                    <w:jc w:val="center"/>
                  </w:pPr>
                  <w:r>
                    <w:t xml:space="preserve">Jiancaowan</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596</w:t>
                  </w:r>
                </w:p>
              </w:tc>
              <w:tc>
                <w:tcPr/>
                <w:p>
                  <w:pPr>
                    <w:pStyle w:val="Compact"/>
                    <w:jc w:val="right"/>
                    <w:jc w:val="center"/>
                  </w:pPr>
                  <w:r>
                    <w:t xml:space="preserve">55</w:t>
                  </w:r>
                </w:p>
              </w:tc>
              <w:tc>
                <w:tcPr/>
                <w:p>
                  <w:pPr>
                    <w:pStyle w:val="Compact"/>
                    <w:jc w:val="right"/>
                    <w:jc w:val="center"/>
                  </w:pPr>
                  <w:r>
                    <w:t xml:space="preserve">28.4</w:t>
                  </w:r>
                </w:p>
              </w:tc>
              <w:tc>
                <w:tcPr/>
                <w:p>
                  <w:pPr>
                    <w:pStyle w:val="Compact"/>
                    <w:jc w:val="right"/>
                    <w:jc w:val="center"/>
                  </w:pPr>
                  <w:r>
                    <w:t xml:space="preserve">0.40</w:t>
                  </w:r>
                </w:p>
              </w:tc>
              <w:tc>
                <w:tcPr/>
                <w:p>
                  <w:pPr>
                    <w:pStyle w:val="Compact"/>
                    <w:jc w:val="right"/>
                    <w:jc w:val="center"/>
                  </w:pPr>
                  <w:r>
                    <w:t xml:space="preserve">0.65</w:t>
                  </w:r>
                </w:p>
              </w:tc>
              <w:tc>
                <w:tcPr/>
                <w:p>
                  <w:pPr>
                    <w:pStyle w:val="Compact"/>
                    <w:jc w:val="right"/>
                    <w:jc w:val="center"/>
                  </w:pPr>
                  <w:r>
                    <w:t xml:space="preserve">31</w:t>
                  </w:r>
                </w:p>
              </w:tc>
              <w:tc>
                <w:tcPr/>
                <w:p>
                  <w:pPr>
                    <w:pStyle w:val="Compact"/>
                    <w:jc w:val="right"/>
                    <w:jc w:val="center"/>
                  </w:pPr>
                  <w:r>
                    <w:t xml:space="preserve">3.00</w:t>
                  </w:r>
                </w:p>
              </w:tc>
              <w:tc>
                <w:tcPr/>
                <w:p>
                  <w:pPr>
                    <w:pStyle w:val="Compact"/>
                    <w:jc w:val="right"/>
                    <w:jc w:val="center"/>
                  </w:pPr>
                  <w:r>
                    <w:t xml:space="preserve">69.0</w:t>
                  </w:r>
                </w:p>
              </w:tc>
            </w:tr>
            <w:tr>
              <w:tc>
                <w:tcPr/>
                <w:p>
                  <w:pPr>
                    <w:pStyle w:val="Compact"/>
                    <w:jc w:val="left"/>
                    <w:jc w:val="center"/>
                  </w:pPr>
                  <w:r>
                    <w:t xml:space="preserve">Niunitang</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480</w:t>
                  </w:r>
                </w:p>
              </w:tc>
              <w:tc>
                <w:tcPr/>
                <w:p>
                  <w:pPr>
                    <w:pStyle w:val="Compact"/>
                    <w:jc w:val="right"/>
                    <w:jc w:val="center"/>
                  </w:pPr>
                  <w:r>
                    <w:t xml:space="preserve">58</w:t>
                  </w:r>
                </w:p>
              </w:tc>
              <w:tc>
                <w:tcPr/>
                <w:p>
                  <w:pPr>
                    <w:pStyle w:val="Compact"/>
                    <w:jc w:val="right"/>
                    <w:jc w:val="center"/>
                  </w:pPr>
                  <w:r>
                    <w:t xml:space="preserve">20.9</w:t>
                  </w:r>
                </w:p>
              </w:tc>
              <w:tc>
                <w:tcPr/>
                <w:p>
                  <w:pPr>
                    <w:pStyle w:val="Compact"/>
                    <w:jc w:val="right"/>
                    <w:jc w:val="center"/>
                  </w:pPr>
                  <w:r>
                    <w:t xml:space="preserve">0.27</w:t>
                  </w:r>
                </w:p>
              </w:tc>
              <w:tc>
                <w:tcPr/>
                <w:p>
                  <w:pPr>
                    <w:pStyle w:val="Compact"/>
                    <w:jc w:val="right"/>
                    <w:jc w:val="center"/>
                  </w:pPr>
                  <w:r>
                    <w:t xml:space="preserve">0.37</w:t>
                  </w:r>
                </w:p>
              </w:tc>
              <w:tc>
                <w:tcPr/>
                <w:p>
                  <w:pPr>
                    <w:pStyle w:val="Compact"/>
                    <w:jc w:val="right"/>
                    <w:jc w:val="center"/>
                  </w:pPr>
                  <w:r>
                    <w:t xml:space="preserve">15</w:t>
                  </w:r>
                </w:p>
              </w:tc>
              <w:tc>
                <w:tcPr/>
                <w:p>
                  <w:pPr>
                    <w:pStyle w:val="Compact"/>
                    <w:jc w:val="right"/>
                    <w:jc w:val="center"/>
                  </w:pPr>
                  <w:r>
                    <w:t xml:space="preserve">2.00</w:t>
                  </w:r>
                </w:p>
              </w:tc>
              <w:tc>
                <w:tcPr/>
                <w:p>
                  <w:pPr>
                    <w:pStyle w:val="Compact"/>
                    <w:jc w:val="right"/>
                    <w:jc w:val="center"/>
                  </w:pPr>
                  <w:r>
                    <w:t xml:space="preserve">78.3</w:t>
                  </w:r>
                </w:p>
              </w:tc>
            </w:tr>
            <w:tr>
              <w:tc>
                <w:tcPr/>
                <w:p>
                  <w:pPr>
                    <w:pStyle w:val="Compact"/>
                    <w:jc w:val="left"/>
                    <w:jc w:val="center"/>
                  </w:pPr>
                  <w:r>
                    <w:t xml:space="preserve">Qingguangshan</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768</w:t>
                  </w:r>
                </w:p>
              </w:tc>
              <w:tc>
                <w:tcPr/>
                <w:p>
                  <w:pPr>
                    <w:pStyle w:val="Compact"/>
                    <w:jc w:val="right"/>
                    <w:jc w:val="center"/>
                  </w:pPr>
                  <w:r>
                    <w:t xml:space="preserve">46</w:t>
                  </w:r>
                </w:p>
              </w:tc>
              <w:tc>
                <w:tcPr/>
                <w:p>
                  <w:pPr>
                    <w:pStyle w:val="Compact"/>
                    <w:jc w:val="right"/>
                    <w:jc w:val="center"/>
                  </w:pPr>
                  <w:r>
                    <w:t xml:space="preserve">17.5</w:t>
                  </w:r>
                </w:p>
              </w:tc>
              <w:tc>
                <w:tcPr/>
                <w:p>
                  <w:pPr>
                    <w:pStyle w:val="Compact"/>
                    <w:jc w:val="right"/>
                    <w:jc w:val="center"/>
                  </w:pPr>
                  <w:r>
                    <w:t xml:space="preserve">0.52</w:t>
                  </w:r>
                </w:p>
              </w:tc>
              <w:tc>
                <w:tcPr/>
                <w:p>
                  <w:pPr>
                    <w:pStyle w:val="Compact"/>
                    <w:jc w:val="right"/>
                    <w:jc w:val="center"/>
                  </w:pPr>
                  <w:r>
                    <w:t xml:space="preserve">0.83</w:t>
                  </w:r>
                </w:p>
              </w:tc>
              <w:tc>
                <w:tcPr/>
                <w:p>
                  <w:pPr>
                    <w:pStyle w:val="Compact"/>
                    <w:jc w:val="right"/>
                    <w:jc w:val="center"/>
                  </w:pPr>
                  <w:r>
                    <w:t xml:space="preserve">30</w:t>
                  </w:r>
                </w:p>
              </w:tc>
              <w:tc>
                <w:tcPr/>
                <w:p>
                  <w:pPr>
                    <w:pStyle w:val="Compact"/>
                    <w:jc w:val="right"/>
                    <w:jc w:val="center"/>
                  </w:pPr>
                  <w:r>
                    <w:t xml:space="preserve">3.00</w:t>
                  </w:r>
                </w:p>
              </w:tc>
              <w:tc>
                <w:tcPr/>
                <w:p>
                  <w:pPr>
                    <w:pStyle w:val="Compact"/>
                    <w:jc w:val="right"/>
                    <w:jc w:val="center"/>
                  </w:pPr>
                  <w:r>
                    <w:t xml:space="preserve">66.2</w:t>
                  </w:r>
                </w:p>
              </w:tc>
            </w:tr>
            <w:tr>
              <w:tc>
                <w:tcPr/>
                <w:p>
                  <w:pPr>
                    <w:pStyle w:val="Compact"/>
                    <w:jc w:val="left"/>
                    <w:jc w:val="center"/>
                  </w:pPr>
                  <w:r>
                    <w:t xml:space="preserve">Wuguiqing</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305</w:t>
                  </w:r>
                </w:p>
              </w:tc>
              <w:tc>
                <w:tcPr/>
                <w:p>
                  <w:pPr>
                    <w:pStyle w:val="Compact"/>
                    <w:jc w:val="right"/>
                    <w:jc w:val="center"/>
                  </w:pPr>
                  <w:r>
                    <w:t xml:space="preserve">187</w:t>
                  </w:r>
                </w:p>
              </w:tc>
              <w:tc>
                <w:tcPr/>
                <w:p>
                  <w:pPr>
                    <w:pStyle w:val="Compact"/>
                    <w:jc w:val="right"/>
                    <w:jc w:val="center"/>
                  </w:pPr>
                  <w:r>
                    <w:t xml:space="preserve">16.9</w:t>
                  </w:r>
                </w:p>
              </w:tc>
              <w:tc>
                <w:tcPr/>
                <w:p>
                  <w:pPr>
                    <w:pStyle w:val="Compact"/>
                    <w:jc w:val="right"/>
                    <w:jc w:val="center"/>
                  </w:pPr>
                  <w:r>
                    <w:t xml:space="preserve">0.35</w:t>
                  </w:r>
                </w:p>
              </w:tc>
              <w:tc>
                <w:tcPr/>
                <w:p>
                  <w:pPr>
                    <w:pStyle w:val="Compact"/>
                    <w:jc w:val="right"/>
                    <w:jc w:val="center"/>
                  </w:pPr>
                  <w:r>
                    <w:t xml:space="preserve">0.52</w:t>
                  </w:r>
                </w:p>
              </w:tc>
              <w:tc>
                <w:tcPr/>
                <w:p>
                  <w:pPr>
                    <w:pStyle w:val="Compact"/>
                    <w:jc w:val="right"/>
                    <w:jc w:val="center"/>
                  </w:pPr>
                  <w:r>
                    <w:t xml:space="preserve">24</w:t>
                  </w:r>
                </w:p>
              </w:tc>
              <w:tc>
                <w:tcPr/>
                <w:p>
                  <w:pPr>
                    <w:pStyle w:val="Compact"/>
                    <w:jc w:val="right"/>
                    <w:jc w:val="center"/>
                  </w:pPr>
                  <w:r>
                    <w:t xml:space="preserve">3.00</w:t>
                  </w:r>
                </w:p>
              </w:tc>
              <w:tc>
                <w:tcPr/>
                <w:p>
                  <w:pPr>
                    <w:pStyle w:val="Compact"/>
                    <w:jc w:val="right"/>
                    <w:jc w:val="center"/>
                  </w:pPr>
                  <w:r>
                    <w:t xml:space="preserve">73.7</w:t>
                  </w:r>
                </w:p>
              </w:tc>
            </w:tr>
            <w:tr>
              <w:tc>
                <w:tcPr/>
                <w:p>
                  <w:pPr>
                    <w:pStyle w:val="Compact"/>
                    <w:jc w:val="left"/>
                    <w:jc w:val="center"/>
                  </w:pPr>
                  <w:r>
                    <w:t xml:space="preserve">Zhaokanzhuang</w:t>
                  </w:r>
                </w:p>
              </w:tc>
              <w:tc>
                <w:tcPr/>
                <w:p>
                  <w:pPr>
                    <w:pStyle w:val="Compact"/>
                    <w:jc w:val="left"/>
                    <w:jc w:val="center"/>
                  </w:pPr>
                  <w:r>
                    <w:t xml:space="preserve">Binchuan</w:t>
                  </w:r>
                </w:p>
              </w:tc>
              <w:tc>
                <w:tcPr/>
                <w:p>
                  <w:pPr>
                    <w:pStyle w:val="Compact"/>
                    <w:jc w:val="right"/>
                    <w:jc w:val="center"/>
                  </w:pPr>
                  <w:r>
                    <w:t xml:space="preserve">1</w:t>
                  </w:r>
                </w:p>
              </w:tc>
              <w:tc>
                <w:tcPr/>
                <w:p>
                  <w:pPr>
                    <w:pStyle w:val="Compact"/>
                    <w:jc w:val="right"/>
                    <w:jc w:val="center"/>
                  </w:pPr>
                  <w:r>
                    <w:t xml:space="preserve">2540</w:t>
                  </w:r>
                </w:p>
              </w:tc>
              <w:tc>
                <w:tcPr/>
                <w:p>
                  <w:pPr>
                    <w:pStyle w:val="Compact"/>
                    <w:jc w:val="right"/>
                    <w:jc w:val="center"/>
                  </w:pPr>
                  <w:r>
                    <w:t xml:space="preserve">45</w:t>
                  </w:r>
                </w:p>
              </w:tc>
              <w:tc>
                <w:tcPr/>
                <w:p>
                  <w:pPr>
                    <w:pStyle w:val="Compact"/>
                    <w:jc w:val="right"/>
                    <w:jc w:val="center"/>
                  </w:pPr>
                  <w:r>
                    <w:t xml:space="preserve">31.5</w:t>
                  </w:r>
                </w:p>
              </w:tc>
              <w:tc>
                <w:tcPr/>
                <w:p>
                  <w:pPr>
                    <w:pStyle w:val="Compact"/>
                    <w:jc w:val="right"/>
                    <w:jc w:val="center"/>
                  </w:pPr>
                  <w:r>
                    <w:t xml:space="preserve">0.39</w:t>
                  </w:r>
                </w:p>
              </w:tc>
              <w:tc>
                <w:tcPr/>
                <w:p>
                  <w:pPr>
                    <w:pStyle w:val="Compact"/>
                    <w:jc w:val="right"/>
                    <w:jc w:val="center"/>
                  </w:pPr>
                  <w:r>
                    <w:t xml:space="preserve">0.31</w:t>
                  </w:r>
                </w:p>
              </w:tc>
              <w:tc>
                <w:tcPr/>
                <w:p>
                  <w:pPr>
                    <w:pStyle w:val="Compact"/>
                    <w:jc w:val="right"/>
                    <w:jc w:val="center"/>
                  </w:pPr>
                  <w:r>
                    <w:t xml:space="preserve">11</w:t>
                  </w:r>
                </w:p>
              </w:tc>
              <w:tc>
                <w:tcPr/>
                <w:p>
                  <w:pPr>
                    <w:pStyle w:val="Compact"/>
                    <w:jc w:val="right"/>
                    <w:jc w:val="center"/>
                  </w:pPr>
                  <w:r>
                    <w:t xml:space="preserve">2.00</w:t>
                  </w:r>
                </w:p>
              </w:tc>
              <w:tc>
                <w:tcPr/>
                <w:p>
                  <w:pPr>
                    <w:pStyle w:val="Compact"/>
                    <w:jc w:val="right"/>
                    <w:jc w:val="center"/>
                  </w:pPr>
                  <w:r>
                    <w:t xml:space="preserve">68.7</w:t>
                  </w:r>
                </w:p>
              </w:tc>
            </w:tr>
            <w:tr>
              <w:tc>
                <w:tcPr/>
                <w:p>
                  <w:pPr>
                    <w:pStyle w:val="Compact"/>
                    <w:jc w:val="left"/>
                    <w:jc w:val="center"/>
                  </w:pPr>
                  <w:r>
                    <w:t xml:space="preserve">Tianhua Cave</w:t>
                  </w:r>
                </w:p>
              </w:tc>
              <w:tc>
                <w:tcPr/>
                <w:p>
                  <w:pPr>
                    <w:pStyle w:val="Compact"/>
                    <w:jc w:val="left"/>
                    <w:jc w:val="center"/>
                  </w:pPr>
                  <w:r>
                    <w:t xml:space="preserve">Heqing</w:t>
                  </w:r>
                </w:p>
              </w:tc>
              <w:tc>
                <w:tcPr/>
                <w:p>
                  <w:pPr>
                    <w:pStyle w:val="Compact"/>
                    <w:jc w:val="right"/>
                    <w:jc w:val="center"/>
                  </w:pPr>
                  <w:r>
                    <w:t xml:space="preserve">49</w:t>
                  </w:r>
                </w:p>
              </w:tc>
              <w:tc>
                <w:tcPr/>
                <w:p>
                  <w:pPr>
                    <w:pStyle w:val="Compact"/>
                    <w:jc w:val="right"/>
                    <w:jc w:val="center"/>
                  </w:pPr>
                  <w:r>
                    <w:t xml:space="preserve">2690</w:t>
                  </w:r>
                </w:p>
              </w:tc>
              <w:tc>
                <w:tcPr/>
                <w:p>
                  <w:pPr>
                    <w:pStyle w:val="Compact"/>
                    <w:jc w:val="right"/>
                    <w:jc w:val="center"/>
                  </w:pPr>
                  <w:r>
                    <w:t xml:space="preserve">35</w:t>
                  </w:r>
                </w:p>
              </w:tc>
              <w:tc>
                <w:tcPr/>
                <w:p>
                  <w:pPr>
                    <w:pStyle w:val="Compact"/>
                    <w:jc w:val="right"/>
                    <w:jc w:val="center"/>
                  </w:pPr>
                  <w:r>
                    <w:t xml:space="preserve">26.1</w:t>
                  </w:r>
                </w:p>
              </w:tc>
              <w:tc>
                <w:tcPr/>
                <w:p>
                  <w:pPr>
                    <w:pStyle w:val="Compact"/>
                    <w:jc w:val="right"/>
                    <w:jc w:val="center"/>
                  </w:pPr>
                  <w:r>
                    <w:t xml:space="preserve">0.50</w:t>
                  </w:r>
                </w:p>
              </w:tc>
              <w:tc>
                <w:tcPr/>
                <w:p>
                  <w:pPr>
                    <w:pStyle w:val="Compact"/>
                    <w:jc w:val="right"/>
                    <w:jc w:val="center"/>
                  </w:pPr>
                  <w:r>
                    <w:t xml:space="preserve">0.78</w:t>
                  </w:r>
                </w:p>
              </w:tc>
              <w:tc>
                <w:tcPr/>
                <w:p>
                  <w:pPr>
                    <w:pStyle w:val="Compact"/>
                    <w:jc w:val="right"/>
                    <w:jc w:val="center"/>
                  </w:pPr>
                  <w:r>
                    <w:t xml:space="preserve">24</w:t>
                  </w:r>
                </w:p>
              </w:tc>
              <w:tc>
                <w:tcPr/>
                <w:p>
                  <w:pPr>
                    <w:pStyle w:val="Compact"/>
                    <w:jc w:val="right"/>
                    <w:jc w:val="center"/>
                  </w:pPr>
                  <w:r>
                    <w:t xml:space="preserve">3.00</w:t>
                  </w:r>
                </w:p>
              </w:tc>
              <w:tc>
                <w:tcPr/>
                <w:p>
                  <w:pPr>
                    <w:pStyle w:val="Compact"/>
                    <w:jc w:val="right"/>
                    <w:jc w:val="center"/>
                  </w:pPr>
                  <w:r>
                    <w:t xml:space="preserve">73.0</w:t>
                  </w:r>
                </w:p>
              </w:tc>
            </w:tr>
            <w:tr>
              <w:tc>
                <w:tcPr/>
                <w:p>
                  <w:pPr>
                    <w:pStyle w:val="Compact"/>
                    <w:jc w:val="left"/>
                    <w:jc w:val="center"/>
                  </w:pPr>
                  <w:r>
                    <w:t xml:space="preserve">Guanshan</w:t>
                  </w:r>
                </w:p>
              </w:tc>
              <w:tc>
                <w:tcPr/>
                <w:p>
                  <w:pPr>
                    <w:pStyle w:val="Compact"/>
                    <w:jc w:val="left"/>
                    <w:jc w:val="center"/>
                  </w:pPr>
                  <w:r>
                    <w:t xml:space="preserve">Heqing</w:t>
                  </w:r>
                </w:p>
              </w:tc>
              <w:tc>
                <w:tcPr/>
                <w:p>
                  <w:pPr>
                    <w:pStyle w:val="Compact"/>
                    <w:jc w:val="right"/>
                    <w:jc w:val="center"/>
                  </w:pPr>
                  <w:r>
                    <w:t xml:space="preserve">31</w:t>
                  </w:r>
                </w:p>
              </w:tc>
              <w:tc>
                <w:tcPr/>
                <w:p>
                  <w:pPr>
                    <w:pStyle w:val="Compact"/>
                    <w:jc w:val="right"/>
                    <w:jc w:val="center"/>
                  </w:pPr>
                  <w:r>
                    <w:t xml:space="preserve">917</w:t>
                  </w:r>
                </w:p>
              </w:tc>
              <w:tc>
                <w:tcPr/>
                <w:p>
                  <w:pPr>
                    <w:pStyle w:val="Compact"/>
                    <w:jc w:val="right"/>
                    <w:jc w:val="center"/>
                  </w:pPr>
                  <w:r>
                    <w:t xml:space="preserve">68</w:t>
                  </w:r>
                </w:p>
              </w:tc>
              <w:tc>
                <w:tcPr/>
                <w:p>
                  <w:pPr>
                    <w:pStyle w:val="Compact"/>
                    <w:jc w:val="right"/>
                    <w:jc w:val="center"/>
                  </w:pPr>
                  <w:r>
                    <w:t xml:space="preserve">24.9</w:t>
                  </w:r>
                </w:p>
              </w:tc>
              <w:tc>
                <w:tcPr/>
                <w:p>
                  <w:pPr>
                    <w:pStyle w:val="Compact"/>
                    <w:jc w:val="right"/>
                    <w:jc w:val="center"/>
                  </w:pPr>
                  <w:r>
                    <w:t xml:space="preserve">0.54</w:t>
                  </w:r>
                </w:p>
              </w:tc>
              <w:tc>
                <w:tcPr/>
                <w:p>
                  <w:pPr>
                    <w:pStyle w:val="Compact"/>
                    <w:jc w:val="right"/>
                    <w:jc w:val="center"/>
                  </w:pPr>
                  <w:r>
                    <w:t xml:space="preserve">0.81</w:t>
                  </w:r>
                </w:p>
              </w:tc>
              <w:tc>
                <w:tcPr/>
                <w:p>
                  <w:pPr>
                    <w:pStyle w:val="Compact"/>
                    <w:jc w:val="right"/>
                    <w:jc w:val="center"/>
                  </w:pPr>
                  <w:r>
                    <w:t xml:space="preserve">23</w:t>
                  </w:r>
                </w:p>
              </w:tc>
              <w:tc>
                <w:tcPr/>
                <w:p>
                  <w:pPr>
                    <w:pStyle w:val="Compact"/>
                    <w:jc w:val="right"/>
                    <w:jc w:val="center"/>
                  </w:pPr>
                  <w:r>
                    <w:t xml:space="preserve">3.00</w:t>
                  </w:r>
                </w:p>
              </w:tc>
              <w:tc>
                <w:tcPr/>
                <w:p>
                  <w:pPr>
                    <w:pStyle w:val="Compact"/>
                    <w:jc w:val="right"/>
                    <w:jc w:val="center"/>
                  </w:pPr>
                  <w:r>
                    <w:t xml:space="preserve">72.3</w:t>
                  </w:r>
                </w:p>
              </w:tc>
            </w:tr>
            <w:tr>
              <w:tc>
                <w:tcPr/>
                <w:p>
                  <w:pPr>
                    <w:pStyle w:val="Compact"/>
                    <w:jc w:val="left"/>
                    <w:jc w:val="center"/>
                  </w:pPr>
                  <w:r>
                    <w:t xml:space="preserve">Songping</w:t>
                  </w:r>
                </w:p>
              </w:tc>
              <w:tc>
                <w:tcPr/>
                <w:p>
                  <w:pPr>
                    <w:pStyle w:val="Compact"/>
                    <w:jc w:val="left"/>
                    <w:jc w:val="center"/>
                  </w:pPr>
                  <w:r>
                    <w:t xml:space="preserve">Heqing</w:t>
                  </w:r>
                </w:p>
              </w:tc>
              <w:tc>
                <w:tcPr/>
                <w:p>
                  <w:pPr>
                    <w:pStyle w:val="Compact"/>
                    <w:jc w:val="right"/>
                    <w:jc w:val="center"/>
                  </w:pPr>
                  <w:r>
                    <w:t xml:space="preserve">18</w:t>
                  </w:r>
                </w:p>
              </w:tc>
              <w:tc>
                <w:tcPr/>
                <w:p>
                  <w:pPr>
                    <w:pStyle w:val="Compact"/>
                    <w:jc w:val="right"/>
                    <w:jc w:val="center"/>
                  </w:pPr>
                  <w:r>
                    <w:t xml:space="preserve">612</w:t>
                  </w:r>
                </w:p>
              </w:tc>
              <w:tc>
                <w:tcPr/>
                <w:p>
                  <w:pPr>
                    <w:pStyle w:val="Compact"/>
                    <w:jc w:val="right"/>
                    <w:jc w:val="center"/>
                  </w:pPr>
                  <w:r>
                    <w:t xml:space="preserve">69</w:t>
                  </w:r>
                </w:p>
              </w:tc>
              <w:tc>
                <w:tcPr/>
                <w:p>
                  <w:pPr>
                    <w:pStyle w:val="Compact"/>
                    <w:jc w:val="right"/>
                    <w:jc w:val="center"/>
                  </w:pPr>
                  <w:r>
                    <w:t xml:space="preserve">24.5</w:t>
                  </w:r>
                </w:p>
              </w:tc>
              <w:tc>
                <w:tcPr/>
                <w:p>
                  <w:pPr>
                    <w:pStyle w:val="Compact"/>
                    <w:jc w:val="right"/>
                    <w:jc w:val="center"/>
                  </w:pPr>
                  <w:r>
                    <w:t xml:space="preserve">0.51</w:t>
                  </w:r>
                </w:p>
              </w:tc>
              <w:tc>
                <w:tcPr/>
                <w:p>
                  <w:pPr>
                    <w:pStyle w:val="Compact"/>
                    <w:jc w:val="right"/>
                    <w:jc w:val="center"/>
                  </w:pPr>
                  <w:r>
                    <w:t xml:space="preserve">0.77</w:t>
                  </w:r>
                </w:p>
              </w:tc>
              <w:tc>
                <w:tcPr/>
                <w:p>
                  <w:pPr>
                    <w:pStyle w:val="Compact"/>
                    <w:jc w:val="right"/>
                    <w:jc w:val="center"/>
                  </w:pPr>
                  <w:r>
                    <w:t xml:space="preserve">18</w:t>
                  </w:r>
                </w:p>
              </w:tc>
              <w:tc>
                <w:tcPr/>
                <w:p>
                  <w:pPr>
                    <w:pStyle w:val="Compact"/>
                    <w:jc w:val="right"/>
                    <w:jc w:val="center"/>
                  </w:pPr>
                  <w:r>
                    <w:t xml:space="preserve">3.00</w:t>
                  </w:r>
                </w:p>
              </w:tc>
              <w:tc>
                <w:tcPr/>
                <w:p>
                  <w:pPr>
                    <w:pStyle w:val="Compact"/>
                    <w:jc w:val="right"/>
                    <w:jc w:val="center"/>
                  </w:pPr>
                  <w:r>
                    <w:t xml:space="preserve">67.8</w:t>
                  </w:r>
                </w:p>
              </w:tc>
            </w:tr>
            <w:tr>
              <w:tc>
                <w:tcPr/>
                <w:p>
                  <w:pPr>
                    <w:pStyle w:val="Compact"/>
                    <w:jc w:val="left"/>
                    <w:jc w:val="center"/>
                  </w:pPr>
                  <w:r>
                    <w:t xml:space="preserve">Longtan</w:t>
                  </w:r>
                </w:p>
              </w:tc>
              <w:tc>
                <w:tcPr/>
                <w:p>
                  <w:pPr>
                    <w:pStyle w:val="Compact"/>
                    <w:jc w:val="left"/>
                    <w:jc w:val="center"/>
                  </w:pPr>
                  <w:r>
                    <w:t xml:space="preserve">Heqing</w:t>
                  </w:r>
                </w:p>
              </w:tc>
              <w:tc>
                <w:tcPr/>
                <w:p>
                  <w:pPr>
                    <w:pStyle w:val="Compact"/>
                    <w:jc w:val="right"/>
                    <w:jc w:val="center"/>
                  </w:pPr>
                  <w:r>
                    <w:t xml:space="preserve">15</w:t>
                  </w:r>
                </w:p>
              </w:tc>
              <w:tc>
                <w:tcPr/>
                <w:p>
                  <w:pPr>
                    <w:pStyle w:val="Compact"/>
                    <w:jc w:val="right"/>
                    <w:jc w:val="center"/>
                  </w:pPr>
                  <w:r>
                    <w:t xml:space="preserve">617</w:t>
                  </w:r>
                </w:p>
              </w:tc>
              <w:tc>
                <w:tcPr/>
                <w:p>
                  <w:pPr>
                    <w:pStyle w:val="Compact"/>
                    <w:jc w:val="right"/>
                    <w:jc w:val="center"/>
                  </w:pPr>
                  <w:r>
                    <w:t xml:space="preserve">40</w:t>
                  </w:r>
                </w:p>
              </w:tc>
              <w:tc>
                <w:tcPr/>
                <w:p>
                  <w:pPr>
                    <w:pStyle w:val="Compact"/>
                    <w:jc w:val="right"/>
                    <w:jc w:val="center"/>
                  </w:pPr>
                  <w:r>
                    <w:t xml:space="preserve">18.4</w:t>
                  </w:r>
                </w:p>
              </w:tc>
              <w:tc>
                <w:tcPr/>
                <w:p>
                  <w:pPr>
                    <w:pStyle w:val="Compact"/>
                    <w:jc w:val="right"/>
                    <w:jc w:val="center"/>
                  </w:pPr>
                  <w:r>
                    <w:t xml:space="preserve">0.37</w:t>
                  </w:r>
                </w:p>
              </w:tc>
              <w:tc>
                <w:tcPr/>
                <w:p>
                  <w:pPr>
                    <w:pStyle w:val="Compact"/>
                    <w:jc w:val="right"/>
                    <w:jc w:val="center"/>
                  </w:pPr>
                  <w:r>
                    <w:t xml:space="preserve">0.69</w:t>
                  </w:r>
                </w:p>
              </w:tc>
              <w:tc>
                <w:tcPr/>
                <w:p>
                  <w:pPr>
                    <w:pStyle w:val="Compact"/>
                    <w:jc w:val="right"/>
                    <w:jc w:val="center"/>
                  </w:pPr>
                  <w:r>
                    <w:t xml:space="preserve">11</w:t>
                  </w:r>
                </w:p>
              </w:tc>
              <w:tc>
                <w:tcPr/>
                <w:p>
                  <w:pPr>
                    <w:pStyle w:val="Compact"/>
                    <w:jc w:val="right"/>
                    <w:jc w:val="center"/>
                  </w:pPr>
                  <w:r>
                    <w:t xml:space="preserve">2.00</w:t>
                  </w:r>
                </w:p>
              </w:tc>
              <w:tc>
                <w:tcPr/>
                <w:p>
                  <w:pPr>
                    <w:pStyle w:val="Compact"/>
                    <w:jc w:val="right"/>
                    <w:jc w:val="center"/>
                  </w:pPr>
                  <w:r>
                    <w:t xml:space="preserve">63.0</w:t>
                  </w:r>
                </w:p>
              </w:tc>
            </w:tr>
            <w:tr>
              <w:tc>
                <w:tcPr/>
                <w:p>
                  <w:pPr>
                    <w:pStyle w:val="Compact"/>
                    <w:jc w:val="left"/>
                    <w:jc w:val="center"/>
                  </w:pPr>
                  <w:r>
                    <w:t xml:space="preserve">Dazhuang</w:t>
                  </w:r>
                </w:p>
              </w:tc>
              <w:tc>
                <w:tcPr/>
                <w:p>
                  <w:pPr>
                    <w:pStyle w:val="Compact"/>
                    <w:jc w:val="left"/>
                    <w:jc w:val="center"/>
                  </w:pPr>
                  <w:r>
                    <w:t xml:space="preserve">Heqing</w:t>
                  </w:r>
                </w:p>
              </w:tc>
              <w:tc>
                <w:tcPr/>
                <w:p>
                  <w:pPr>
                    <w:pStyle w:val="Compact"/>
                    <w:jc w:val="right"/>
                    <w:jc w:val="center"/>
                  </w:pPr>
                  <w:r>
                    <w:t xml:space="preserve">6</w:t>
                  </w:r>
                </w:p>
              </w:tc>
              <w:tc>
                <w:tcPr/>
                <w:p>
                  <w:pPr>
                    <w:pStyle w:val="Compact"/>
                    <w:jc w:val="right"/>
                    <w:jc w:val="center"/>
                  </w:pPr>
                  <w:r>
                    <w:t xml:space="preserve">339</w:t>
                  </w:r>
                </w:p>
              </w:tc>
              <w:tc>
                <w:tcPr/>
                <w:p>
                  <w:pPr>
                    <w:pStyle w:val="Compact"/>
                    <w:jc w:val="right"/>
                    <w:jc w:val="center"/>
                  </w:pPr>
                  <w:r>
                    <w:t xml:space="preserve">43</w:t>
                  </w:r>
                </w:p>
              </w:tc>
              <w:tc>
                <w:tcPr/>
                <w:p>
                  <w:pPr>
                    <w:pStyle w:val="Compact"/>
                    <w:jc w:val="right"/>
                    <w:jc w:val="center"/>
                  </w:pPr>
                  <w:r>
                    <w:t xml:space="preserve">28.0</w:t>
                  </w:r>
                </w:p>
              </w:tc>
              <w:tc>
                <w:tcPr/>
                <w:p>
                  <w:pPr>
                    <w:pStyle w:val="Compact"/>
                    <w:jc w:val="right"/>
                    <w:jc w:val="center"/>
                  </w:pPr>
                  <w:r>
                    <w:t xml:space="preserve">0.45</w:t>
                  </w:r>
                </w:p>
              </w:tc>
              <w:tc>
                <w:tcPr/>
                <w:p>
                  <w:pPr>
                    <w:pStyle w:val="Compact"/>
                    <w:jc w:val="right"/>
                    <w:jc w:val="center"/>
                  </w:pPr>
                  <w:r>
                    <w:t xml:space="preserve">0.70</w:t>
                  </w:r>
                </w:p>
              </w:tc>
              <w:tc>
                <w:tcPr/>
                <w:p>
                  <w:pPr>
                    <w:pStyle w:val="Compact"/>
                    <w:jc w:val="right"/>
                    <w:jc w:val="center"/>
                  </w:pPr>
                  <w:r>
                    <w:t xml:space="preserve">12</w:t>
                  </w:r>
                </w:p>
              </w:tc>
              <w:tc>
                <w:tcPr/>
                <w:p>
                  <w:pPr>
                    <w:pStyle w:val="Compact"/>
                    <w:jc w:val="right"/>
                    <w:jc w:val="center"/>
                  </w:pPr>
                  <w:r>
                    <w:t xml:space="preserve">2.00</w:t>
                  </w:r>
                </w:p>
              </w:tc>
              <w:tc>
                <w:tcPr/>
                <w:p>
                  <w:pPr>
                    <w:pStyle w:val="Compact"/>
                    <w:jc w:val="right"/>
                    <w:jc w:val="center"/>
                  </w:pPr>
                  <w:r>
                    <w:t xml:space="preserve">70.0</w:t>
                  </w:r>
                </w:p>
              </w:tc>
            </w:tr>
          </w:tbl>
          <w:bookmarkEnd w:id="31"/>
          <w:p/>
        </w:tc>
      </w:tr>
    </w:tbl>
    <w:p>
      <w:r>
        <w:br w:type="page"/>
      </w:r>
    </w:p>
    <w:tbl>
      <w:tblPr>
        <w:tblStyle w:val="Table"/>
        <w:tblW w:type="pct" w:w="5000"/>
        <w:tblLayout w:type="fixed"/>
        <w:tblLook w:firstRow="0" w:lastRow="0" w:firstColumn="0" w:lastColumn="0" w:noHBand="0" w:noVBand="0" w:val="0000"/>
      </w:tblPr>
      <w:tblGrid>
        <w:gridCol w:w="7920"/>
      </w:tblGrid>
      <w:tr>
        <w:tc>
          <w:tcPr/>
          <w:bookmarkStart w:id="32" w:name="tbl-landscape-permanova"/>
          <w:p>
            <w:pPr>
              <w:jc w:val="center"/>
            </w:pPr>
            <w:pPr>
              <w:jc w:val="left"/>
              <w:spacing w:before="200"/>
              <w:pStyle w:val="ImageCaption"/>
            </w:pPr>
            <w:r>
              <w:t xml:space="preserve">Table S11: Locality-level PERMANOVA for each landscape variable, on Euclidean distances in the z-scored six-variable space with 9,999 permutations, together with the test of dispersion for the one categorical variable. The three continuous variables enter at their measured values and are nowhere discretised, so no cut point of ours affects any result here. The two basins do not differ in the position of their centroids but do differ in dispersion; with only five localities in Heqing a dispersion estimate is unstable, and this is recorded not as a difference in technological variability between the basins but as an indication that the small basin</w:t>
            </w:r>
            <w:r>
              <w:t xml:space="preserve"> </w:t>
            </w:r>
            <w:r>
              <w:rPr>
                <w:i/>
                <w:iCs/>
              </w:rPr>
              <w:t xml:space="preserve">R</w:t>
            </w:r>
            <w:r>
              <w:t xml:space="preserve">² reflects overlapping groups rather than two coincident clusters.</w:t>
            </w:r>
          </w:p>
          <w:tbl>
            <w:tblPr>
              <w:tblStyle w:val="Table"/>
              <w:tblW w:type="pct" w:w="5000"/>
              <w:tblLayout w:type="fixed"/>
              <w:tblLook w:firstRow="1" w:lastRow="0" w:firstColumn="0" w:lastColumn="0" w:noHBand="0" w:noVBand="0" w:val="0020"/>
            </w:tblPr>
            <w:tblGrid>
              <w:gridCol w:w="4127"/>
              <w:gridCol w:w="669"/>
              <w:gridCol w:w="557"/>
              <w:gridCol w:w="669"/>
              <w:gridCol w:w="1227"/>
              <w:gridCol w:w="669"/>
            </w:tblGrid>
            <w:tr>
              <w:trPr>
                <w:tblHeader w:val="on"/>
              </w:trPr>
              <w:tc>
                <w:tcPr/>
                <w:p>
                  <w:pPr>
                    <w:pStyle w:val="Compact"/>
                    <w:jc w:val="left"/>
                    <w:jc w:val="center"/>
                  </w:pPr>
                  <w:r>
                    <w:t xml:space="preserve">Landscape variable</w:t>
                  </w:r>
                </w:p>
              </w:tc>
              <w:tc>
                <w:tcPr/>
                <w:p>
                  <w:pPr>
                    <w:pStyle w:val="Compact"/>
                    <w:jc w:val="right"/>
                    <w:jc w:val="center"/>
                  </w:pPr>
                  <w:r>
                    <w:rPr>
                      <w:i/>
                      <w:iCs/>
                    </w:rPr>
                    <w:t xml:space="preserve">df</w:t>
                  </w:r>
                </w:p>
              </w:tc>
              <w:tc>
                <w:tcPr/>
                <w:p>
                  <w:pPr>
                    <w:pStyle w:val="Compact"/>
                    <w:jc w:val="right"/>
                    <w:jc w:val="center"/>
                  </w:pPr>
                  <w:r>
                    <w:t xml:space="preserve">SS</w:t>
                  </w:r>
                </w:p>
              </w:tc>
              <w:tc>
                <w:tcPr/>
                <w:p>
                  <w:pPr>
                    <w:pStyle w:val="Compact"/>
                    <w:jc w:val="right"/>
                    <w:jc w:val="center"/>
                  </w:pPr>
                  <w:r>
                    <w:rPr>
                      <w:i/>
                      <w:iCs/>
                    </w:rPr>
                    <w:t xml:space="preserve">R</w:t>
                  </w:r>
                  <w:r>
                    <w:t xml:space="preserve">²</w:t>
                  </w:r>
                </w:p>
              </w:tc>
              <w:tc>
                <w:tcPr/>
                <w:p>
                  <w:pPr>
                    <w:pStyle w:val="Compact"/>
                    <w:jc w:val="right"/>
                    <w:jc w:val="center"/>
                  </w:pPr>
                  <w:r>
                    <w:t xml:space="preserve">pseudo-</w:t>
                  </w:r>
                  <w:r>
                    <w:rPr>
                      <w:i/>
                      <w:iCs/>
                    </w:rPr>
                    <w:t xml:space="preserve">F</w:t>
                  </w:r>
                </w:p>
              </w:tc>
              <w:tc>
                <w:tcPr/>
                <w:p>
                  <w:pPr>
                    <w:pStyle w:val="Compact"/>
                    <w:jc w:val="right"/>
                    <w:jc w:val="center"/>
                  </w:pPr>
                  <w:r>
                    <w:rPr>
                      <w:i/>
                      <w:iCs/>
                    </w:rPr>
                    <w:t xml:space="preserve">p</w:t>
                  </w:r>
                </w:p>
              </w:tc>
            </w:tr>
            <w:tr>
              <w:tc>
                <w:tcPr/>
                <w:p>
                  <w:pPr>
                    <w:pStyle w:val="Compact"/>
                    <w:jc w:val="left"/>
                    <w:jc w:val="center"/>
                  </w:pPr>
                  <w:r>
                    <w:rPr>
                      <w:b/>
                      <w:bCs/>
                    </w:rPr>
                    <w:t xml:space="preserve">Basin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PERMANOVA (Binchuan 21, Heqing 5)</w:t>
                  </w:r>
                </w:p>
              </w:tc>
              <w:tc>
                <w:tcPr/>
                <w:p>
                  <w:pPr>
                    <w:pStyle w:val="Compact"/>
                    <w:jc w:val="right"/>
                    <w:jc w:val="center"/>
                  </w:pPr>
                  <w:r>
                    <w:t xml:space="preserve">1, 24</w:t>
                  </w:r>
                </w:p>
              </w:tc>
              <w:tc>
                <w:tcPr/>
                <w:p>
                  <w:pPr>
                    <w:pStyle w:val="Compact"/>
                    <w:jc w:val="right"/>
                    <w:jc w:val="center"/>
                  </w:pPr>
                  <w:r>
                    <w:t xml:space="preserve">1.64</w:t>
                  </w:r>
                </w:p>
              </w:tc>
              <w:tc>
                <w:tcPr/>
                <w:p>
                  <w:pPr>
                    <w:pStyle w:val="Compact"/>
                    <w:jc w:val="right"/>
                    <w:jc w:val="center"/>
                  </w:pPr>
                  <w:r>
                    <w:t xml:space="preserve">0.011</w:t>
                  </w:r>
                </w:p>
              </w:tc>
              <w:tc>
                <w:tcPr/>
                <w:p>
                  <w:pPr>
                    <w:pStyle w:val="Compact"/>
                    <w:jc w:val="right"/>
                    <w:jc w:val="center"/>
                  </w:pPr>
                  <w:r>
                    <w:t xml:space="preserve">0.265</w:t>
                  </w:r>
                </w:p>
              </w:tc>
              <w:tc>
                <w:tcPr/>
                <w:p>
                  <w:pPr>
                    <w:pStyle w:val="Compact"/>
                    <w:jc w:val="right"/>
                    <w:jc w:val="center"/>
                  </w:pPr>
                  <w:r>
                    <w:t xml:space="preserve">0.909</w:t>
                  </w:r>
                </w:p>
              </w:tc>
            </w:tr>
            <w:tr>
              <w:tc>
                <w:tcPr/>
                <w:p>
                  <w:pPr>
                    <w:pStyle w:val="Compact"/>
                    <w:jc w:val="left"/>
                    <w:jc w:val="center"/>
                  </w:pPr>
                  <w:r>
                    <w:t xml:space="preserve">   PERMDISP</w:t>
                  </w:r>
                </w:p>
              </w:tc>
              <w:tc>
                <w:tcPr/>
                <w:p>
                  <w:pPr>
                    <w:pStyle w:val="Compact"/>
                  </w:pPr>
                </w:p>
              </w:tc>
              <w:tc>
                <w:tcPr/>
                <w:p>
                  <w:pPr>
                    <w:pStyle w:val="Compact"/>
                  </w:pPr>
                </w:p>
              </w:tc>
              <w:tc>
                <w:tcPr/>
                <w:p>
                  <w:pPr>
                    <w:pStyle w:val="Compact"/>
                  </w:pPr>
                </w:p>
              </w:tc>
              <w:tc>
                <w:tcPr/>
                <w:p>
                  <w:pPr>
                    <w:pStyle w:val="Compact"/>
                    <w:jc w:val="right"/>
                    <w:jc w:val="center"/>
                  </w:pPr>
                  <w:r>
                    <w:t xml:space="preserve">4.880</w:t>
                  </w:r>
                </w:p>
              </w:tc>
              <w:tc>
                <w:tcPr/>
                <w:p>
                  <w:pPr>
                    <w:pStyle w:val="Compact"/>
                    <w:jc w:val="right"/>
                    <w:jc w:val="center"/>
                  </w:pPr>
                  <w:r>
                    <w:t xml:space="preserve">0.035</w:t>
                  </w:r>
                </w:p>
              </w:tc>
            </w:tr>
            <w:tr>
              <w:tc>
                <w:tcPr/>
                <w:p>
                  <w:pPr>
                    <w:pStyle w:val="Compact"/>
                    <w:jc w:val="left"/>
                    <w:jc w:val="center"/>
                  </w:pPr>
                  <w:r>
                    <w:rPr>
                      <w:b/>
                      <w:bCs/>
                    </w:rPr>
                    <w:t xml:space="preserve">Height above channel (m)</w:t>
                  </w:r>
                </w:p>
              </w:tc>
              <w:tc>
                <w:tcPr/>
                <w:p>
                  <w:pPr>
                    <w:pStyle w:val="Compact"/>
                    <w:jc w:val="right"/>
                    <w:jc w:val="center"/>
                  </w:pPr>
                  <w:r>
                    <w:t xml:space="preserve">1, 24</w:t>
                  </w:r>
                </w:p>
              </w:tc>
              <w:tc>
                <w:tcPr/>
                <w:p>
                  <w:pPr>
                    <w:pStyle w:val="Compact"/>
                    <w:jc w:val="right"/>
                    <w:jc w:val="center"/>
                  </w:pPr>
                  <w:r>
                    <w:t xml:space="preserve">5.46</w:t>
                  </w:r>
                </w:p>
              </w:tc>
              <w:tc>
                <w:tcPr/>
                <w:p>
                  <w:pPr>
                    <w:pStyle w:val="Compact"/>
                    <w:jc w:val="right"/>
                    <w:jc w:val="center"/>
                  </w:pPr>
                  <w:r>
                    <w:t xml:space="preserve">0.036</w:t>
                  </w:r>
                </w:p>
              </w:tc>
              <w:tc>
                <w:tcPr/>
                <w:p>
                  <w:pPr>
                    <w:pStyle w:val="Compact"/>
                    <w:jc w:val="right"/>
                    <w:jc w:val="center"/>
                  </w:pPr>
                  <w:r>
                    <w:t xml:space="preserve">0.906</w:t>
                  </w:r>
                </w:p>
              </w:tc>
              <w:tc>
                <w:tcPr/>
                <w:p>
                  <w:pPr>
                    <w:pStyle w:val="Compact"/>
                    <w:jc w:val="right"/>
                    <w:jc w:val="center"/>
                  </w:pPr>
                  <w:r>
                    <w:t xml:space="preserve">0.443</w:t>
                  </w:r>
                </w:p>
              </w:tc>
            </w:tr>
            <w:tr>
              <w:tc>
                <w:tcPr/>
                <w:p>
                  <w:pPr>
                    <w:pStyle w:val="Compact"/>
                    <w:jc w:val="left"/>
                    <w:jc w:val="center"/>
                  </w:pPr>
                  <w:r>
                    <w:rPr>
                      <w:b/>
                      <w:bCs/>
                    </w:rPr>
                    <w:t xml:space="preserve">Distance to channel (m)</w:t>
                  </w:r>
                </w:p>
              </w:tc>
              <w:tc>
                <w:tcPr/>
                <w:p>
                  <w:pPr>
                    <w:pStyle w:val="Compact"/>
                    <w:jc w:val="right"/>
                    <w:jc w:val="center"/>
                  </w:pPr>
                  <w:r>
                    <w:t xml:space="preserve">1, 24</w:t>
                  </w:r>
                </w:p>
              </w:tc>
              <w:tc>
                <w:tcPr/>
                <w:p>
                  <w:pPr>
                    <w:pStyle w:val="Compact"/>
                    <w:jc w:val="right"/>
                    <w:jc w:val="center"/>
                  </w:pPr>
                  <w:r>
                    <w:t xml:space="preserve">4.61</w:t>
                  </w:r>
                </w:p>
              </w:tc>
              <w:tc>
                <w:tcPr/>
                <w:p>
                  <w:pPr>
                    <w:pStyle w:val="Compact"/>
                    <w:jc w:val="right"/>
                    <w:jc w:val="center"/>
                  </w:pPr>
                  <w:r>
                    <w:t xml:space="preserve">0.031</w:t>
                  </w:r>
                </w:p>
              </w:tc>
              <w:tc>
                <w:tcPr/>
                <w:p>
                  <w:pPr>
                    <w:pStyle w:val="Compact"/>
                    <w:jc w:val="right"/>
                    <w:jc w:val="center"/>
                  </w:pPr>
                  <w:r>
                    <w:t xml:space="preserve">0.761</w:t>
                  </w:r>
                </w:p>
              </w:tc>
              <w:tc>
                <w:tcPr/>
                <w:p>
                  <w:pPr>
                    <w:pStyle w:val="Compact"/>
                    <w:jc w:val="right"/>
                    <w:jc w:val="center"/>
                  </w:pPr>
                  <w:r>
                    <w:t xml:space="preserve">0.513</w:t>
                  </w:r>
                </w:p>
              </w:tc>
            </w:tr>
            <w:tr>
              <w:tc>
                <w:tcPr/>
                <w:p>
                  <w:pPr>
                    <w:pStyle w:val="Compact"/>
                    <w:jc w:val="left"/>
                    <w:jc w:val="center"/>
                  </w:pPr>
                  <w:r>
                    <w:rPr>
                      <w:b/>
                      <w:bCs/>
                    </w:rPr>
                    <w:t xml:space="preserve">Assemblage size (n specimens)</w:t>
                  </w:r>
                </w:p>
              </w:tc>
              <w:tc>
                <w:tcPr/>
                <w:p>
                  <w:pPr>
                    <w:pStyle w:val="Compact"/>
                    <w:jc w:val="right"/>
                    <w:jc w:val="center"/>
                  </w:pPr>
                  <w:r>
                    <w:t xml:space="preserve">1, 24</w:t>
                  </w:r>
                </w:p>
              </w:tc>
              <w:tc>
                <w:tcPr/>
                <w:p>
                  <w:pPr>
                    <w:pStyle w:val="Compact"/>
                    <w:jc w:val="right"/>
                    <w:jc w:val="center"/>
                  </w:pPr>
                  <w:r>
                    <w:t xml:space="preserve">0.87</w:t>
                  </w:r>
                </w:p>
              </w:tc>
              <w:tc>
                <w:tcPr/>
                <w:p>
                  <w:pPr>
                    <w:pStyle w:val="Compact"/>
                    <w:jc w:val="right"/>
                    <w:jc w:val="center"/>
                  </w:pPr>
                  <w:r>
                    <w:t xml:space="preserve">0.006</w:t>
                  </w:r>
                </w:p>
              </w:tc>
              <w:tc>
                <w:tcPr/>
                <w:p>
                  <w:pPr>
                    <w:pStyle w:val="Compact"/>
                    <w:jc w:val="right"/>
                    <w:jc w:val="center"/>
                  </w:pPr>
                  <w:r>
                    <w:t xml:space="preserve">0.140</w:t>
                  </w:r>
                </w:p>
              </w:tc>
              <w:tc>
                <w:tcPr/>
                <w:p>
                  <w:pPr>
                    <w:pStyle w:val="Compact"/>
                    <w:jc w:val="right"/>
                    <w:jc w:val="center"/>
                  </w:pPr>
                  <w:r>
                    <w:t xml:space="preserve">0.970</w:t>
                  </w:r>
                </w:p>
              </w:tc>
            </w:tr>
          </w:tbl>
          <w:bookmarkEnd w:id="32"/>
          <w:p/>
        </w:tc>
      </w:tr>
    </w:tbl>
    <w:p>
      <w:r>
        <w:br w:type="page"/>
      </w:r>
    </w:p>
    <w:tbl>
      <w:tblPr>
        <w:tblStyle w:val="Table"/>
        <w:tblW w:type="pct" w:w="5000"/>
        <w:tblLayout w:type="fixed"/>
        <w:tblLook w:firstRow="0" w:lastRow="0" w:firstColumn="0" w:lastColumn="0" w:noHBand="0" w:noVBand="0" w:val="0000"/>
      </w:tblPr>
      <w:tblGrid>
        <w:gridCol w:w="7920"/>
      </w:tblGrid>
      <w:tr>
        <w:tc>
          <w:tcPr/>
          <w:bookmarkStart w:id="36" w:name="fig-site-pca"/>
          <w:p>
            <w:pPr>
              <w:pStyle w:val="Compact"/>
              <w:jc w:val="center"/>
            </w:pPr>
            <w:r>
              <w:drawing>
                <wp:inline>
                  <wp:extent cx="5403966" cy="5312373"/>
                  <wp:effectExtent b="0" l="0" r="0" t="0"/>
                  <wp:docPr descr="" title="" id="34" name="Picture"/>
                  <a:graphic>
                    <a:graphicData uri="http://schemas.openxmlformats.org/drawingml/2006/picture">
                      <pic:pic>
                        <pic:nvPicPr>
                          <pic:cNvPr descr="supplementary_files/figure-docx/fig-site-pca-1.png" id="35" name="Picture"/>
                          <pic:cNvPicPr>
                            <a:picLocks noChangeArrowheads="1" noChangeAspect="1"/>
                          </pic:cNvPicPr>
                        </pic:nvPicPr>
                        <pic:blipFill>
                          <a:blip r:embed="rId33"/>
                          <a:stretch>
                            <a:fillRect/>
                          </a:stretch>
                        </pic:blipFill>
                        <pic:spPr bwMode="auto">
                          <a:xfrm>
                            <a:off x="0" y="0"/>
                            <a:ext cx="5403966" cy="5312373"/>
                          </a:xfrm>
                          <a:prstGeom prst="rect">
                            <a:avLst/>
                          </a:prstGeom>
                          <a:noFill/>
                          <a:ln w="9525">
                            <a:noFill/>
                            <a:headEnd/>
                            <a:tailEnd/>
                          </a:ln>
                        </pic:spPr>
                      </pic:pic>
                    </a:graphicData>
                  </a:graphic>
                </wp:inline>
              </w:drawing>
            </w:r>
          </w:p>
          <w:p>
            <w:pPr>
              <w:jc w:val="center"/>
            </w:pPr>
            <w:pPr>
              <w:jc w:val="left"/>
              <w:spacing w:before="200"/>
              <w:pStyle w:val="ImageCaption"/>
            </w:pPr>
            <w:r>
              <w:t xml:space="preserve">Fig. S4: Locality-level ordination of the six technological measures, each locality entered as the median of its Quina scrapers, coloured by (A) basin, (B) height above the channel, (C) assemblage size and (D) distance to the nearest channel. The four panels are the same ordination and differ only in the landscape variable shown, which is named in the legend beneath each. The three continuous variables are carried by the colour gradient at their measured values, the form in which they enter every test reported here; the gradient runs between the two colours that distinguish the basins in (A), the colour scale is square-root, all three being right-skewed, and the legend ticks are in the original units. Behind the localities of (B) to (D), on that same scale, is a thin-plate spline of the variable fitted over the ordination plane and clipped to the area the localities cover. The smooth was free to be shrunk out of the model altogether, and in every case it very nearly was: the surfaces explain at most 4.4% of the deviance, none of them significant (</w:t>
            </w:r>
            <w:r>
              <w:rPr>
                <w:i/>
                <w:iCs/>
              </w:rPr>
              <w:t xml:space="preserve">p</w:t>
            </w:r>
            <w:r>
              <w:t xml:space="preserve"> </w:t>
            </w:r>
            <w:r>
              <w:t xml:space="preserve">&gt;= 0.32). A landscape gradient would show as colour running in a direction across a panel, and none does. Basin, the one categorical variable, has hulls enclosing each group and filled points marking group centroids.</w:t>
            </w:r>
          </w:p>
          <w:bookmarkEnd w:id="36"/>
        </w:tc>
      </w:tr>
    </w:tbl>
    <w:p>
      <w:r>
        <w:br w:type="page"/>
      </w:r>
    </w:p>
    <w:tbl>
      <w:tblPr>
        <w:tblStyle w:val="Table"/>
        <w:tblW w:type="pct" w:w="5000"/>
        <w:tblLayout w:type="fixed"/>
        <w:tblLook w:firstRow="0" w:lastRow="0" w:firstColumn="0" w:lastColumn="0" w:noHBand="0" w:noVBand="0" w:val="0000"/>
      </w:tblPr>
      <w:tblGrid>
        <w:gridCol w:w="7920"/>
      </w:tblGrid>
      <w:tr>
        <w:tc>
          <w:tcPr/>
          <w:bookmarkStart w:id="40" w:name="fig-landscape-scatter"/>
          <w:p>
            <w:pPr>
              <w:pStyle w:val="Compact"/>
              <w:jc w:val="center"/>
            </w:pPr>
            <w:r>
              <w:drawing>
                <wp:inline>
                  <wp:extent cx="5403966" cy="7144227"/>
                  <wp:effectExtent b="0" l="0" r="0" t="0"/>
                  <wp:docPr descr="" title="" id="38" name="Picture"/>
                  <a:graphic>
                    <a:graphicData uri="http://schemas.openxmlformats.org/drawingml/2006/picture">
                      <pic:pic>
                        <pic:nvPicPr>
                          <pic:cNvPr descr="supplementary_files/figure-docx/fig-landscape-scatter-1.png" id="39" name="Picture"/>
                          <pic:cNvPicPr>
                            <a:picLocks noChangeArrowheads="1" noChangeAspect="1"/>
                          </pic:cNvPicPr>
                        </pic:nvPicPr>
                        <pic:blipFill>
                          <a:blip r:embed="rId37"/>
                          <a:stretch>
                            <a:fillRect/>
                          </a:stretch>
                        </pic:blipFill>
                        <pic:spPr bwMode="auto">
                          <a:xfrm>
                            <a:off x="0" y="0"/>
                            <a:ext cx="5403966" cy="7144227"/>
                          </a:xfrm>
                          <a:prstGeom prst="rect">
                            <a:avLst/>
                          </a:prstGeom>
                          <a:noFill/>
                          <a:ln w="9525">
                            <a:noFill/>
                            <a:headEnd/>
                            <a:tailEnd/>
                          </a:ln>
                        </pic:spPr>
                      </pic:pic>
                    </a:graphicData>
                  </a:graphic>
                </wp:inline>
              </w:drawing>
            </w:r>
          </w:p>
          <w:p>
            <w:pPr>
              <w:jc w:val="center"/>
            </w:pPr>
            <w:pPr>
              <w:jc w:val="left"/>
              <w:spacing w:before="200"/>
              <w:pStyle w:val="ImageCaption"/>
            </w:pPr>
            <w:r>
              <w:t xml:space="preserve">Fig. S5: Each of the six technological measures against each of the three continuous landscape variables, at the scale of the locality: one row per measure, one column per landscape variable, all at measured values. The dashed line is an ordinary least-squares fit, shown only as a guide to the direction of the relationship. Each panel gives Spearman’s ρ with its</w:t>
            </w:r>
            <w:r>
              <w:t xml:space="preserve"> </w:t>
            </w:r>
            <w:r>
              <w:rPr>
                <w:i/>
                <w:iCs/>
              </w:rPr>
              <w:t xml:space="preserve">p</w:t>
            </w:r>
            <w:r>
              <w:t xml:space="preserve">-value, adjusted by the Bonferroni procedure within each column, every column being one family of six tests; the distance column is the family reported in the main text. All six coefficients against distance are positive, but no coefficient anywhere in the figure reaches significance after adjustment: the localities are few and several of the medians rest on a single specimen.</w:t>
            </w:r>
          </w:p>
          <w:bookmarkEnd w:id="40"/>
        </w:tc>
      </w:tr>
    </w:tbl>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2"/>
  </w:num>
  <w:num w:numId="2">
    <w:abstractNumId w:val="1"/>
  </w:num>
  <w:num w:numId="3">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11C8B"/>
    <w:rsid w:val="00014752"/>
    <w:rsid w:val="004C579B"/>
    <w:rsid w:val="004E29B3"/>
    <w:rsid w:val="00590D07"/>
    <w:rsid w:val="005A091B"/>
    <w:rsid w:val="00705E12"/>
    <w:rsid w:val="00784D58"/>
    <w:rsid w:val="00884F3F"/>
    <w:rsid w:val="008D6863"/>
    <w:rsid w:val="00970303"/>
    <w:rsid w:val="00B86B75"/>
    <w:rsid w:val="00BC48D5"/>
    <w:rsid w:val="00C36279"/>
    <w:rsid w:val="00DA425F"/>
    <w:rsid w:val="00E315A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 w:styleId="Table" w:type="table">
    <w:name w:val="Table"/>
    <w:basedOn w:val="TableNormal"/>
    <w:uiPriority w:val="99"/>
    <w:rPr>
      <w:sz w:val="18"/>
      <w:szCs w:val="18"/>
    </w:rPr>
    <w:tblPr>
      <w:tblCellMar>
        <w:left w:type="dxa" w:w="108"/>
        <w:right w:type="dxa" w:w="108"/>
      </w:tblCellMar>
    </w:tblPr>
    <w:tblStylePr w:type="firstRow">
      <w:rPr>
        <w:b/>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37" Target="media/rId37.png"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hyperlink" Id="rId9"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9"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Peiyuan Xiaoa,b,c, Qijun Ruand, Zhenxiu Jiaa, Marco Peresanie,f, Davide Delpianoe, and Ben Marwickc,✉</dc:creator>
  <cp:keywords/>
  <dcterms:created xsi:type="dcterms:W3CDTF">2026-07-24T02:25:33Z</dcterms:created>
  <dcterms:modified xsi:type="dcterms:W3CDTF">2026-07-24T02:25:33Z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y-affiliation">
    <vt:lpwstr/>
  </property>
  <property fmtid="{D5CDD505-2E9C-101B-9397-08002B2CF9AE}" pid="5" name="crossref">
    <vt:lpwstr/>
  </property>
  <property fmtid="{D5CDD505-2E9C-101B-9397-08002B2CF9AE}" pid="6" name="date">
    <vt:lpwstr>July 23, 2026</vt:lpwstr>
  </property>
  <property fmtid="{D5CDD505-2E9C-101B-9397-08002B2CF9AE}" pid="7" name="date-format">
    <vt:lpwstr>long</vt:lpwstr>
  </property>
  <property fmtid="{D5CDD505-2E9C-101B-9397-08002B2CF9AE}" pid="8" name="editor_options">
    <vt:lpwstr/>
  </property>
  <property fmtid="{D5CDD505-2E9C-101B-9397-08002B2CF9AE}" pid="9" name="engines">
    <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The Quina Valley: a regional Middle Palaeolithic technological system on the southeastern margin of the Tibetan Plateau</vt:lpwstr>
  </property>
  <property fmtid="{D5CDD505-2E9C-101B-9397-08002B2CF9AE}" pid="17" name="toc-title">
    <vt:lpwstr>Table of contents</vt:lpwstr>
  </property>
</Properties>
</file>