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New methods based on SPHARM in lithic analysis</w:t>
      </w:r>
    </w:p>
    <w:p>
      <w:pPr>
        <w:pStyle w:val="Author"/>
      </w:pPr>
      <w:r>
        <w:t xml:space="preserve">Peiyuan Xiao</w:t>
      </w:r>
      <w:r>
        <w:rPr>
          <w:vertAlign w:val="superscript"/>
        </w:rPr>
        <w:t xml:space="preserve">b,a</w:t>
      </w:r>
      <w:r>
        <w:t xml:space="preserve">, Hao Li</w:t>
      </w:r>
      <w:r>
        <w:rPr>
          <w:vertAlign w:val="superscript"/>
        </w:rPr>
        <w:t xml:space="preserve">b,a</w:t>
      </w:r>
      <w:r>
        <w:t xml:space="preserve">, and Ben Marwick</w:t>
      </w:r>
      <w:r>
        <w:rPr>
          <w:vertAlign w:val="superscript"/>
        </w:rPr>
        <w:t xml:space="preserve">d,✉</w:t>
      </w:r>
    </w:p>
    <w:p>
      <w:pPr>
        <w:pStyle w:val="Date"/>
      </w:pPr>
      <w:r>
        <w:t xml:space="preserve">April 1, 2026</w:t>
      </w:r>
    </w:p>
    <w:p>
      <w:pPr>
        <w:pStyle w:val="FirstParagraph"/>
      </w:pPr>
      <w:r>
        <w:rPr>
          <w:vertAlign w:val="superscript"/>
        </w:rPr>
        <w:t xml:space="preserve">a</w:t>
      </w:r>
      <w:r>
        <w:t xml:space="preserve"> </w:t>
      </w:r>
      <w:r>
        <w:t xml:space="preserve">University of Chinese Academy of Sciences, Beijing 100049, China</w:t>
      </w:r>
      <w:r>
        <w:br/>
      </w:r>
      <w:r>
        <w:rPr>
          <w:vertAlign w:val="superscript"/>
        </w:rPr>
        <w:t xml:space="preserve">b</w:t>
      </w:r>
      <w:r>
        <w:t xml:space="preserve"> </w:t>
      </w:r>
      <w:r>
        <w:t xml:space="preserve">Group of Alpine Paleoecology and Human Adaptation (ALPHA), Institute of Tibetan Plateau Research, Chinese Academy of Sciences, Beijing 100101;</w:t>
      </w:r>
      <w:r>
        <w:br/>
      </w:r>
      <w:r>
        <w:rPr>
          <w:vertAlign w:val="superscript"/>
        </w:rPr>
        <w:t xml:space="preserve">c</w:t>
      </w:r>
      <w:r>
        <w:t xml:space="preserve"> </w:t>
      </w:r>
      <w:r>
        <w:t xml:space="preserve">State Key Laboratory of Tibetan Plateau Earth System, Resources and Environment (TPESRE), Beijing 100101</w:t>
      </w:r>
      <w:r>
        <w:br/>
      </w:r>
      <w:r>
        <w:rPr>
          <w:vertAlign w:val="superscript"/>
        </w:rPr>
        <w:t xml:space="preserve">d</w:t>
      </w:r>
      <w:r>
        <w:t xml:space="preserve"> </w:t>
      </w:r>
      <w:r>
        <w:t xml:space="preserve">Department of Anthropology, University of Washington, Seattle, WA, USA</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Ben Marwick &lt;bmarwick@uw.edu&gt;</w:t>
        </w:r>
      </w:hyperlink>
    </w:p>
    <w:p>
      <w:pPr>
        <w:pStyle w:val="BodyText"/>
      </w:pPr>
      <w:r>
        <w:t xml:space="preserve">Keywords:</w:t>
      </w:r>
    </w:p>
    <w:p>
      <w:pPr>
        <w:pStyle w:val="BodyText"/>
      </w:pPr>
      <w:r>
        <w:t xml:space="preserve">Highlights:</w:t>
      </w:r>
    </w:p>
    <w:bookmarkStart w:id="21" w:name="introduction"/>
    <w:p>
      <w:pPr>
        <w:pStyle w:val="Heading1"/>
      </w:pPr>
      <w:r>
        <w:t xml:space="preserve">1. Introduction</w:t>
      </w:r>
    </w:p>
    <w:p>
      <w:pPr>
        <w:pStyle w:val="FirstParagraph"/>
      </w:pPr>
      <w:r>
        <w:t xml:space="preserve">Cores preserve the most complete record of reduction strategies among all lithic artifact types, making them indispensable for understanding hominin technological behavior. Traditional analyses have relied primarily on the</w:t>
      </w:r>
      <w:r>
        <w:t xml:space="preserve"> </w:t>
      </w:r>
      <w:r>
        <w:rPr>
          <w:i/>
          <w:iCs/>
        </w:rPr>
        <w:t xml:space="preserve">chaîne opératoire</w:t>
      </w:r>
      <w:r>
        <w:t xml:space="preserve"> </w:t>
      </w:r>
      <w:r>
        <w:t xml:space="preserve">framework, employing qualitative observations of scar patterns and core morphology to infer reduction strategies. Over the past two decades, lithic studies have witnessed a marked shift toward quantitative approaches, substantially enhancing the scientific rigor and reproducibility of lithic analysis. These advances include the application of multivariate statistical methods, 2D geometric morphometric analyses based on landmarks or Fourier series, and morphological analyses derived from 3D models.</w:t>
      </w:r>
    </w:p>
    <w:p>
      <w:pPr>
        <w:pStyle w:val="BodyText"/>
      </w:pPr>
      <w:r>
        <w:t xml:space="preserve">Despite these developments, existing quantitative studies have largely focused on morphological description, leaving the systematic analysis of flaking direction comparatively underdeveloped. To date, only two studies have addressed this issue directly —</w:t>
      </w:r>
      <w:r>
        <w:t xml:space="preserve"> </w:t>
      </w:r>
      <w:r>
        <w:t xml:space="preserve">Clarkson et al. (2006)</w:t>
      </w:r>
      <w:r>
        <w:t xml:space="preserve"> </w:t>
      </w:r>
      <w:r>
        <w:t xml:space="preserve">and</w:t>
      </w:r>
      <w:r>
        <w:t xml:space="preserve"> </w:t>
      </w:r>
      <w:r>
        <w:t xml:space="preserve">Lin et al. (2024)</w:t>
      </w:r>
      <w:r>
        <w:t xml:space="preserve"> </w:t>
      </w:r>
      <w:r>
        <w:t xml:space="preserve">— yet both rely on one or two variables to characterize overall scar patterns, inevitably entailing a loss of information. This limitation is evident in their capacity to discriminate certain scar configurations: the SPI method struggles to differentiate discoidal cores from Levallois cores, while the Lin’s method has difficulty distinguishing unipolar from bipolar reduction patterns. More broadly, most existing approaches are methodologically fragmented, with variables selected</w:t>
      </w:r>
      <w:r>
        <w:t xml:space="preserve"> </w:t>
      </w:r>
      <w:r>
        <w:rPr>
          <w:i/>
          <w:iCs/>
        </w:rPr>
        <w:t xml:space="preserve">a priori</w:t>
      </w:r>
      <w:r>
        <w:t xml:space="preserve"> </w:t>
      </w:r>
      <w:r>
        <w:t xml:space="preserve">to match predefined technological categories. This constrains their applicability across different core types and assemblages from different periods, and ultimately limits their generalizability.</w:t>
      </w:r>
    </w:p>
    <w:p>
      <w:pPr>
        <w:pStyle w:val="BodyText"/>
      </w:pPr>
      <w:r>
        <w:t xml:space="preserve">Against this background, the present study proposes a new quantitative analytical framework for cores, designed to address two interrelated problems: (1) to improve methods for analyzing flaking pattern on cores; and (2) to integrate scar pattern analysis and morphological analysis within a unified mathematical framework, supported by multivariate statistical methods. By presenting this comprehensive analytical framework, the study aims to offer a methodological contribution to the quantitative study of core analysis.</w:t>
      </w:r>
    </w:p>
    <w:bookmarkEnd w:id="21"/>
    <w:bookmarkStart w:id="22" w:name="material-and-methods"/>
    <w:p>
      <w:pPr>
        <w:pStyle w:val="Heading1"/>
      </w:pPr>
      <w:r>
        <w:t xml:space="preserve">2. Material and Methods</w:t>
      </w:r>
    </w:p>
    <w:p>
      <w:pPr>
        <w:pStyle w:val="FirstParagraph"/>
      </w:pPr>
      <w:r>
        <w:rPr>
          <w:b/>
          <w:bCs/>
        </w:rPr>
        <w:t xml:space="preserve">2.1 Materials</w:t>
      </w:r>
    </w:p>
    <w:p>
      <w:pPr>
        <w:pStyle w:val="BodyText"/>
      </w:pPr>
      <w:r>
        <w:t xml:space="preserve">Ideal core models: one ideal model per core type, sourced from Lin et al. (2024).</w:t>
      </w:r>
    </w:p>
    <w:p>
      <w:pPr>
        <w:pStyle w:val="BodyText"/>
      </w:pPr>
      <w:r>
        <w:t xml:space="preserve">Experimental knapping models by Clarkson: 1–22 specimens per core type, 59 specimens in total, sourced from Lin et al. (2024) (awaiting email confirmation).</w:t>
      </w:r>
    </w:p>
    <w:p>
      <w:pPr>
        <w:pStyle w:val="BodyText"/>
      </w:pPr>
      <w:r>
        <w:t xml:space="preserve">Archaeological specimens from the Sandinggai site: after excluding incomplete cores and tested cores, 55 specimens remain. Specimens derive from Layers 2, 3, and 4 of the site; however, as only two specimens come from Layer 2, statistical analyses in this study are restricted to Layers 3 and 4. Data sourced from Li et al. (2022).</w:t>
      </w:r>
    </w:p>
    <w:p>
      <w:pPr>
        <w:pStyle w:val="BodyText"/>
      </w:pPr>
      <w:r>
        <w:rPr>
          <w:b/>
          <w:bCs/>
        </w:rPr>
        <w:t xml:space="preserve">2.2 Methods</w:t>
      </w:r>
    </w:p>
    <w:p>
      <w:pPr>
        <w:pStyle w:val="BodyText"/>
      </w:pPr>
      <w:r>
        <w:rPr>
          <w:b/>
          <w:bCs/>
        </w:rPr>
        <w:t xml:space="preserve">2.2.1 Data Extraction</w:t>
      </w:r>
    </w:p>
    <w:p>
      <w:pPr>
        <w:pStyle w:val="BodyText"/>
      </w:pPr>
      <w:r>
        <w:t xml:space="preserve">Scar orientations were digitized in Geomagic Wrap 2021, and their vector coordinates were exported directly. Since all metrics employed in this study are rotationally invariant, rotational alignment of the specimens does not affect the analyses.</w:t>
      </w:r>
    </w:p>
    <w:p>
      <w:pPr>
        <w:pStyle w:val="BodyText"/>
      </w:pPr>
      <w:r>
        <w:rPr>
          <w:b/>
          <w:bCs/>
        </w:rPr>
        <w:t xml:space="preserve">2.2.2 Spherical Harmonic Analysis</w:t>
      </w:r>
    </w:p>
    <w:p>
      <w:pPr>
        <w:pStyle w:val="BodyText"/>
      </w:pPr>
      <w:r>
        <w:t xml:space="preserve">Spherical harmonic analysis represents the three-dimensional extension of elliptic Fourier analysis. Its mathematical foundations… Several studies have already applied spherical harmonic methods to lithic analysis: Sholts et al. (2017) used spherical harmonics to quantify three-dimensional asymmetry in Clovis points, while Muller et al. (2023) and Ye et al. (2026, in reviewed) applied the method to investigate the morphology of spheroids.</w:t>
      </w:r>
    </w:p>
    <w:p>
      <w:pPr>
        <w:pStyle w:val="BodyText"/>
      </w:pPr>
      <w:r>
        <w:t xml:space="preserve">In the present study, we apply this method to scar orientation data for the first time, performing spherical harmonic analysis on core scars. For morphological data… For orientation data, a continuous density surface is first fitted using von Mises–Fisher spherical kernel density estimation based on directional statistics, which is then decomposed into spherical harmonics. The spherical harmonic variance and power spectrum are subsequently computed, and an appropriate spectral degree is selected by inspecting the variance contribution across degrees.</w:t>
      </w:r>
    </w:p>
    <w:p>
      <w:pPr>
        <w:pStyle w:val="BodyText"/>
      </w:pPr>
      <w:r>
        <w:rPr>
          <w:b/>
          <w:bCs/>
        </w:rPr>
        <w:t xml:space="preserve">2.2.3 Data Analysis</w:t>
      </w:r>
    </w:p>
    <w:p>
      <w:pPr>
        <w:pStyle w:val="BodyText"/>
      </w:pPr>
      <w:r>
        <w:rPr>
          <w:i/>
          <w:iCs/>
        </w:rPr>
        <w:t xml:space="preserve">Method comparison.</w:t>
      </w:r>
      <w:r>
        <w:t xml:space="preserve"> </w:t>
      </w:r>
      <w:r>
        <w:t xml:space="preserve">To evaluate the effectiveness of spherical harmonic analysis for characterizing scar patterns, we compare the classificatory performance of three methods — SPI, Lin’s fabric analysis, and spherical harmonics — using the ideal models. Since only one ideal model exists per type, we assess performance using pairwise Euclidean distances: specifically, how far apart different ideal model types are in a standardized feature space. Greater pairwise distances indicate stronger differentiation between types, thereby serving as a measure of each method’s discriminatory power. Results are visualized as heatmaps, and mean pairwise distances are calculated for each method.</w:t>
      </w:r>
    </w:p>
    <w:p>
      <w:pPr>
        <w:pStyle w:val="BodyText"/>
      </w:pPr>
      <w:r>
        <w:rPr>
          <w:i/>
          <w:iCs/>
        </w:rPr>
        <w:t xml:space="preserve">Dimensionality reduction.</w:t>
      </w:r>
      <w:r>
        <w:t xml:space="preserve"> </w:t>
      </w:r>
      <w:r>
        <w:t xml:space="preserve">Because spherical harmonics describe a nonlinear manifold, linear methods such as PCA are ill-suited to recovering the global structure of spherical harmonic data. We therefore apply UMAP to reduce the dimensionality of the spherical harmonic power spectra.</w:t>
      </w:r>
    </w:p>
    <w:p>
      <w:pPr>
        <w:pStyle w:val="BodyText"/>
      </w:pPr>
      <w:r>
        <w:rPr>
          <w:i/>
          <w:iCs/>
        </w:rPr>
        <w:t xml:space="preserve">Correlation analysis and Mantel test.</w:t>
      </w:r>
      <w:r>
        <w:t xml:space="preserve"> </w:t>
      </w:r>
      <w:r>
        <w:t xml:space="preserve">Spearman rank correlation coefficients and Mantel tests are used to explore whether systematic associations exist between the technological and morphological characteristics of cores.</w:t>
      </w:r>
    </w:p>
    <w:p>
      <w:pPr>
        <w:pStyle w:val="BodyText"/>
      </w:pPr>
      <w:r>
        <w:rPr>
          <w:i/>
          <w:iCs/>
        </w:rPr>
        <w:t xml:space="preserve">Co-inertia analysis.</w:t>
      </w:r>
      <w:r>
        <w:t xml:space="preserve"> </w:t>
      </w:r>
      <w:r>
        <w:t xml:space="preserve">This method performs joint dimensionality reduction on two data matrices simultaneously, and is used here to interpret the overall covariation between technological and morphological patterns across cores.</w:t>
      </w:r>
    </w:p>
    <w:bookmarkEnd w:id="22"/>
    <w:bookmarkStart w:id="23" w:name="results"/>
    <w:p>
      <w:pPr>
        <w:pStyle w:val="Heading1"/>
      </w:pPr>
      <w:r>
        <w:t xml:space="preserve">3. Results</w:t>
      </w:r>
    </w:p>
    <w:p>
      <w:pPr>
        <w:pStyle w:val="FirstParagraph"/>
      </w:pPr>
      <w:r>
        <w:rPr>
          <w:b/>
          <w:bCs/>
        </w:rPr>
        <w:t xml:space="preserve">3.1 Validity of Scar Pattern Analysis Methods</w:t>
      </w:r>
    </w:p>
    <w:p>
      <w:pPr>
        <w:pStyle w:val="BodyText"/>
      </w:pPr>
      <w:r>
        <w:t xml:space="preserve">Using the ideal core models, we computed results for all three methods and compared their classificatory effectiveness. The heatmaps clearly present the discriminatory power of each method across ideal model types, which increases progressively from Clarkson’s SPI → Lin’s Fabric analysis → SPHARM. This pattern is corroborated by mean pairwise distances: the SPHARM method yields a substantially higher mean distance (mean distance = 2.48) than both the SPI method (mean distance = 1.09) and fabric analysis (mean distance = 1.66). These results demonstrate that the SPHARM method extracts scar pattern information most completely.</w:t>
      </w:r>
    </w:p>
    <w:p>
      <w:pPr>
        <w:pStyle w:val="BodyText"/>
      </w:pPr>
      <w:r>
        <w:rPr>
          <w:b/>
          <w:bCs/>
        </w:rPr>
        <w:t xml:space="preserve">3.2 Joint Analysis of Scar Patterns and Core Morphology in Experimental Knapping Specimens</w:t>
      </w:r>
    </w:p>
    <w:p>
      <w:pPr>
        <w:pStyle w:val="BodyText"/>
      </w:pPr>
      <w:r>
        <w:t xml:space="preserve">Based on the experimental knapping specimens, morphological spherical harmonic analysis reveals…; spherical harmonic analysis of scar patterns yields…. Degree-by-degree correlation analysis and Mantel tests indicate…. Co-inertia analysis shows….</w:t>
      </w:r>
    </w:p>
    <w:p>
      <w:pPr>
        <w:pStyle w:val="BodyText"/>
      </w:pPr>
      <w:r>
        <w:rPr>
          <w:b/>
          <w:bCs/>
        </w:rPr>
        <w:t xml:space="preserve">3.3 Archaeological Case Study: Core Analysis from Sandinggai</w:t>
      </w:r>
    </w:p>
    <w:p>
      <w:pPr>
        <w:pStyle w:val="BodyText"/>
      </w:pPr>
      <w:r>
        <w:t xml:space="preserve">Applying the analytical framework established in section 3.2, we analyzed a sample of cores excavated at Sandinggai in 2019.</w:t>
      </w:r>
    </w:p>
    <w:p>
      <w:pPr>
        <w:pStyle w:val="BodyText"/>
      </w:pPr>
      <w:r>
        <w:t xml:space="preserve">At the global level, no systematic covariation is found between technology and morphology (Mantel r = 0.036, p = 0.117), indicating that variation in core morphology and scar patterns is largely independent.</w:t>
      </w:r>
    </w:p>
    <w:p>
      <w:pPr>
        <w:pStyle w:val="BodyText"/>
      </w:pPr>
      <w:r>
        <w:t xml:space="preserve">Examined by cultural layer, significant / no significant variation is observed in both flaking technology and core morphology. Examined by raw material type, significant / no significant variation is observed in flaking technology and core morphology.</w:t>
      </w:r>
    </w:p>
    <w:bookmarkEnd w:id="23"/>
    <w:bookmarkStart w:id="24" w:name="discussion"/>
    <w:p>
      <w:pPr>
        <w:pStyle w:val="Heading1"/>
      </w:pPr>
      <w:r>
        <w:t xml:space="preserve">4. Discussion</w:t>
      </w:r>
    </w:p>
    <w:bookmarkEnd w:id="24"/>
    <w:bookmarkStart w:id="25" w:name="conclusion"/>
    <w:p>
      <w:pPr>
        <w:pStyle w:val="Heading1"/>
      </w:pPr>
      <w:r>
        <w:t xml:space="preserve">5. Conclusion</w:t>
      </w:r>
    </w:p>
    <w:bookmarkEnd w:id="25"/>
    <w:bookmarkStart w:id="26" w:name="credit-authorship-contribution-statement"/>
    <w:p>
      <w:pPr>
        <w:pStyle w:val="Heading1"/>
      </w:pPr>
      <w:r>
        <w:t xml:space="preserve">6. CRediT authorship contribution statement</w:t>
      </w:r>
    </w:p>
    <w:bookmarkEnd w:id="26"/>
    <w:bookmarkStart w:id="27" w:name="data-availability-statement"/>
    <w:p>
      <w:pPr>
        <w:pStyle w:val="Heading1"/>
      </w:pPr>
      <w:r>
        <w:t xml:space="preserve">7. Data availability statement</w:t>
      </w:r>
    </w:p>
    <w:bookmarkEnd w:id="27"/>
    <w:bookmarkStart w:id="28" w:name="funding"/>
    <w:p>
      <w:pPr>
        <w:pStyle w:val="Heading1"/>
      </w:pPr>
      <w:r>
        <w:t xml:space="preserve">8. Funding</w:t>
      </w:r>
    </w:p>
    <w:bookmarkEnd w:id="28"/>
    <w:bookmarkStart w:id="29" w:name="declaration-of-competing-interest"/>
    <w:p>
      <w:pPr>
        <w:pStyle w:val="Heading1"/>
      </w:pPr>
      <w:r>
        <w:t xml:space="preserve">9. Declaration of competing interest</w:t>
      </w:r>
    </w:p>
    <w:p>
      <w:pPr>
        <w:pStyle w:val="FirstParagraph"/>
      </w:pPr>
      <w:r>
        <w:t xml:space="preserve">The authors declare that they have no known competing financial interests or personal relationships that could have appeared to influence the work reported in this paper.</w:t>
      </w:r>
    </w:p>
    <w:bookmarkEnd w:id="29"/>
    <w:bookmarkStart w:id="30" w:name="acknowledgements"/>
    <w:p>
      <w:pPr>
        <w:pStyle w:val="Heading1"/>
      </w:pPr>
      <w:r>
        <w:t xml:space="preserve">10. Acknowledgements</w:t>
      </w:r>
    </w:p>
    <w:p>
      <w:r>
        <w:br w:type="page"/>
      </w:r>
    </w:p>
    <w:bookmarkEnd w:id="30"/>
    <w:bookmarkStart w:id="37" w:name="references"/>
    <w:p>
      <w:pPr>
        <w:pStyle w:val="Heading1"/>
      </w:pPr>
      <w:r>
        <w:t xml:space="preserve">11. References</w:t>
      </w:r>
    </w:p>
    <w:bookmarkStart w:id="35" w:name="refs"/>
    <w:bookmarkStart w:id="32" w:name="ref-clarkson2006"/>
    <w:p>
      <w:pPr>
        <w:pStyle w:val="Bibliography"/>
      </w:pPr>
      <w:r>
        <w:t xml:space="preserve">Clarkson, C., Vinicius, L., Lahr, M.M., 2006. Quantifying flake scar patterning on cores using 3D recording techniques. Journal of Archaeological Science 33, 132–142.</w:t>
      </w:r>
      <w:r>
        <w:t xml:space="preserve"> </w:t>
      </w:r>
      <w:hyperlink r:id="rId31">
        <w:r>
          <w:rPr>
            <w:rStyle w:val="Hyperlink"/>
          </w:rPr>
          <w:t xml:space="preserve">https://doi.org/10.1016/j.jas.2005.07.007</w:t>
        </w:r>
      </w:hyperlink>
    </w:p>
    <w:bookmarkEnd w:id="32"/>
    <w:bookmarkStart w:id="34" w:name="ref-lin2024"/>
    <w:p>
      <w:pPr>
        <w:pStyle w:val="Bibliography"/>
      </w:pPr>
      <w:r>
        <w:t xml:space="preserve">Lin, S.C., Clarkson, C., Julianto, I.M.A., Ferdianto, A., Jatmiko, Sutikna, T., 2024. A new method for quantifying flake scar organisation on cores using orientation statistics. Journal of Archaeological Science 167, 105998.</w:t>
      </w:r>
      <w:r>
        <w:t xml:space="preserve"> </w:t>
      </w:r>
      <w:hyperlink r:id="rId33">
        <w:r>
          <w:rPr>
            <w:rStyle w:val="Hyperlink"/>
          </w:rPr>
          <w:t xml:space="preserve">https://doi.org/10.1016/j.jas.2024.105998</w:t>
        </w:r>
      </w:hyperlink>
    </w:p>
    <w:bookmarkEnd w:id="34"/>
    <w:bookmarkEnd w:id="35"/>
    <w:p>
      <w:r>
        <w:br w:type="page"/>
      </w:r>
    </w:p>
    <w:bookmarkStart w:id="36" w:name="colophon"/>
    <w:p>
      <w:pPr>
        <w:pStyle w:val="Heading3"/>
      </w:pPr>
      <w:r>
        <w:t xml:space="preserve">11.0.1 Colophon</w:t>
      </w:r>
    </w:p>
    <w:p>
      <w:pPr>
        <w:pStyle w:val="FirstParagraph"/>
      </w:pPr>
      <w:r>
        <w:t xml:space="preserve">This report was generated on 2026-04-01 15:06:40.873842 using the following computational environment and dependencies:</w:t>
      </w:r>
    </w:p>
    <w:p>
      <w:pPr>
        <w:pStyle w:val="SourceCode"/>
      </w:pPr>
      <w:r>
        <w:rPr>
          <w:rStyle w:val="CommentTok"/>
        </w:rPr>
        <w:t xml:space="preserve"># which R packages and versions?</w:t>
      </w:r>
      <w:r>
        <w:br/>
      </w:r>
      <w:r>
        <w:rPr>
          <w:rStyle w:val="ControlFlowTok"/>
        </w:rPr>
        <w:t xml:space="preserve">if</w:t>
      </w:r>
      <w:r>
        <w:rPr>
          <w:rStyle w:val="NormalTok"/>
        </w:rPr>
        <w:t xml:space="preserve"> (</w:t>
      </w:r>
      <w:r>
        <w:rPr>
          <w:rStyle w:val="StringTok"/>
        </w:rPr>
        <w:t xml:space="preserve">"devtools"</w:t>
      </w:r>
      <w:r>
        <w:rPr>
          <w:rStyle w:val="NormalTok"/>
        </w:rPr>
        <w:t xml:space="preserve"> </w:t>
      </w:r>
      <w:r>
        <w:rPr>
          <w:rStyle w:val="SpecialCharTok"/>
        </w:rPr>
        <w:t xml:space="preserve">%in%</w:t>
      </w:r>
      <w:r>
        <w:rPr>
          <w:rStyle w:val="NormalTok"/>
        </w:rPr>
        <w:t xml:space="preserve"> </w:t>
      </w:r>
      <w:r>
        <w:rPr>
          <w:rStyle w:val="FunctionTok"/>
        </w:rPr>
        <w:t xml:space="preserve">installed.packages</w:t>
      </w:r>
      <w:r>
        <w:rPr>
          <w:rStyle w:val="NormalTok"/>
        </w:rPr>
        <w:t xml:space="preserve">()) devtools</w:t>
      </w:r>
      <w:r>
        <w:rPr>
          <w:rStyle w:val="SpecialCharTok"/>
        </w:rPr>
        <w:t xml:space="preserve">::</w:t>
      </w:r>
      <w:r>
        <w:rPr>
          <w:rStyle w:val="FunctionTok"/>
        </w:rPr>
        <w:t xml:space="preserve">session_info</w:t>
      </w:r>
      <w:r>
        <w:rPr>
          <w:rStyle w:val="NormalTok"/>
        </w:rPr>
        <w:t xml:space="preserve">()</w:t>
      </w:r>
    </w:p>
    <w:p>
      <w:pPr>
        <w:pStyle w:val="SourceCode"/>
      </w:pPr>
      <w:r>
        <w:rPr>
          <w:rStyle w:val="VerbatimChar"/>
        </w:rPr>
        <w:t xml:space="preserve">─ Session info ───────────────────────────────────────────────────────────────</w:t>
      </w:r>
      <w:r>
        <w:br/>
      </w:r>
      <w:r>
        <w:rPr>
          <w:rStyle w:val="VerbatimChar"/>
        </w:rPr>
        <w:t xml:space="preserve"> setting  value</w:t>
      </w:r>
      <w:r>
        <w:br/>
      </w:r>
      <w:r>
        <w:rPr>
          <w:rStyle w:val="VerbatimChar"/>
        </w:rPr>
        <w:t xml:space="preserve"> version  R version 4.5.2 (2025-10-31 ucrt)</w:t>
      </w:r>
      <w:r>
        <w:br/>
      </w:r>
      <w:r>
        <w:rPr>
          <w:rStyle w:val="VerbatimChar"/>
        </w:rPr>
        <w:t xml:space="preserve"> os       Windows 11 x64 (build 26200)</w:t>
      </w:r>
      <w:r>
        <w:br/>
      </w:r>
      <w:r>
        <w:rPr>
          <w:rStyle w:val="VerbatimChar"/>
        </w:rPr>
        <w:t xml:space="preserve"> system   x86_64, mingw32</w:t>
      </w:r>
      <w:r>
        <w:br/>
      </w:r>
      <w:r>
        <w:rPr>
          <w:rStyle w:val="VerbatimChar"/>
        </w:rPr>
        <w:t xml:space="preserve"> ui       RTerm</w:t>
      </w:r>
      <w:r>
        <w:br/>
      </w:r>
      <w:r>
        <w:rPr>
          <w:rStyle w:val="VerbatimChar"/>
        </w:rPr>
        <w:t xml:space="preserve"> language (EN)</w:t>
      </w:r>
      <w:r>
        <w:br/>
      </w:r>
      <w:r>
        <w:rPr>
          <w:rStyle w:val="VerbatimChar"/>
        </w:rPr>
        <w:t xml:space="preserve"> collate  Chinese (Simplified)_China.utf8</w:t>
      </w:r>
      <w:r>
        <w:br/>
      </w:r>
      <w:r>
        <w:rPr>
          <w:rStyle w:val="VerbatimChar"/>
        </w:rPr>
        <w:t xml:space="preserve"> ctype    Chinese (Simplified)_China.utf8</w:t>
      </w:r>
      <w:r>
        <w:br/>
      </w:r>
      <w:r>
        <w:rPr>
          <w:rStyle w:val="VerbatimChar"/>
        </w:rPr>
        <w:t xml:space="preserve"> tz       America/Los_Angeles</w:t>
      </w:r>
      <w:r>
        <w:br/>
      </w:r>
      <w:r>
        <w:rPr>
          <w:rStyle w:val="VerbatimChar"/>
        </w:rPr>
        <w:t xml:space="preserve"> date     2026-04-01</w:t>
      </w:r>
      <w:r>
        <w:br/>
      </w:r>
      <w:r>
        <w:rPr>
          <w:rStyle w:val="VerbatimChar"/>
        </w:rPr>
        <w:t xml:space="preserve"> pandoc   3.6.3 @ F:/R/RStudio/resources/app/bin/quarto/bin/tools/ (via rmarkdown)</w:t>
      </w:r>
      <w:r>
        <w:br/>
      </w:r>
      <w:r>
        <w:rPr>
          <w:rStyle w:val="VerbatimChar"/>
        </w:rPr>
        <w:t xml:space="preserve"> quarto   NA @ F:\\R\\RStudio\\resources\\app\\bin\\quarto\\bin\\quarto.exe</w:t>
      </w:r>
      <w:r>
        <w:br/>
      </w:r>
      <w:r>
        <w:br/>
      </w:r>
      <w:r>
        <w:rPr>
          <w:rStyle w:val="VerbatimChar"/>
        </w:rPr>
        <w:t xml:space="preserve">─ Packages ───────────────────────────────────────────────────────────────────</w:t>
      </w:r>
      <w:r>
        <w:br/>
      </w:r>
      <w:r>
        <w:rPr>
          <w:rStyle w:val="VerbatimChar"/>
        </w:rPr>
        <w:t xml:space="preserve"> package     * version date (UTC) lib source</w:t>
      </w:r>
      <w:r>
        <w:br/>
      </w:r>
      <w:r>
        <w:rPr>
          <w:rStyle w:val="VerbatimChar"/>
        </w:rPr>
        <w:t xml:space="preserve"> cachem        1.1.0   2024-05-16 [1] RSPM</w:t>
      </w:r>
      <w:r>
        <w:br/>
      </w:r>
      <w:r>
        <w:rPr>
          <w:rStyle w:val="VerbatimChar"/>
        </w:rPr>
        <w:t xml:space="preserve"> cli           3.6.5   2025-04-23 [1] RSPM</w:t>
      </w:r>
      <w:r>
        <w:br/>
      </w:r>
      <w:r>
        <w:rPr>
          <w:rStyle w:val="VerbatimChar"/>
        </w:rPr>
        <w:t xml:space="preserve"> devtools      2.5.0   2026-03-14 [1] RSPM</w:t>
      </w:r>
      <w:r>
        <w:br/>
      </w:r>
      <w:r>
        <w:rPr>
          <w:rStyle w:val="VerbatimChar"/>
        </w:rPr>
        <w:t xml:space="preserve"> digest        0.6.39  2025-11-19 [1] RSPM</w:t>
      </w:r>
      <w:r>
        <w:br/>
      </w:r>
      <w:r>
        <w:rPr>
          <w:rStyle w:val="VerbatimChar"/>
        </w:rPr>
        <w:t xml:space="preserve"> ellipsis      0.3.2   2021-04-29 [1] RSPM</w:t>
      </w:r>
      <w:r>
        <w:br/>
      </w:r>
      <w:r>
        <w:rPr>
          <w:rStyle w:val="VerbatimChar"/>
        </w:rPr>
        <w:t xml:space="preserve"> evaluate      1.0.5   2025-08-27 [1] RSPM</w:t>
      </w:r>
      <w:r>
        <w:br/>
      </w:r>
      <w:r>
        <w:rPr>
          <w:rStyle w:val="VerbatimChar"/>
        </w:rPr>
        <w:t xml:space="preserve"> fastmap       1.2.0   2024-05-15 [1] RSPM</w:t>
      </w:r>
      <w:r>
        <w:br/>
      </w:r>
      <w:r>
        <w:rPr>
          <w:rStyle w:val="VerbatimChar"/>
        </w:rPr>
        <w:t xml:space="preserve"> fs            1.6.7   2026-03-06 [1] RSPM</w:t>
      </w:r>
      <w:r>
        <w:br/>
      </w:r>
      <w:r>
        <w:rPr>
          <w:rStyle w:val="VerbatimChar"/>
        </w:rPr>
        <w:t xml:space="preserve"> glue          1.8.0   2024-09-30 [1] RSPM</w:t>
      </w:r>
      <w:r>
        <w:br/>
      </w:r>
      <w:r>
        <w:rPr>
          <w:rStyle w:val="VerbatimChar"/>
        </w:rPr>
        <w:t xml:space="preserve"> htmltools     0.5.9   2025-12-04 [1] RSPM</w:t>
      </w:r>
      <w:r>
        <w:br/>
      </w:r>
      <w:r>
        <w:rPr>
          <w:rStyle w:val="VerbatimChar"/>
        </w:rPr>
        <w:t xml:space="preserve"> jsonlite      2.0.0   2025-03-27 [1] RSPM</w:t>
      </w:r>
      <w:r>
        <w:br/>
      </w:r>
      <w:r>
        <w:rPr>
          <w:rStyle w:val="VerbatimChar"/>
        </w:rPr>
        <w:t xml:space="preserve"> knitr         1.51    2025-12-20 [1] RSPM</w:t>
      </w:r>
      <w:r>
        <w:br/>
      </w:r>
      <w:r>
        <w:rPr>
          <w:rStyle w:val="VerbatimChar"/>
        </w:rPr>
        <w:t xml:space="preserve"> lifecycle     1.0.5   2026-01-08 [1] RSPM</w:t>
      </w:r>
      <w:r>
        <w:br/>
      </w:r>
      <w:r>
        <w:rPr>
          <w:rStyle w:val="VerbatimChar"/>
        </w:rPr>
        <w:t xml:space="preserve"> magrittr      2.0.4   2025-09-12 [1] RSPM</w:t>
      </w:r>
      <w:r>
        <w:br/>
      </w:r>
      <w:r>
        <w:rPr>
          <w:rStyle w:val="VerbatimChar"/>
        </w:rPr>
        <w:t xml:space="preserve"> memoise       2.0.1   2021-11-26 [1] RSPM</w:t>
      </w:r>
      <w:r>
        <w:br/>
      </w:r>
      <w:r>
        <w:rPr>
          <w:rStyle w:val="VerbatimChar"/>
        </w:rPr>
        <w:t xml:space="preserve"> otel          0.2.0   2025-08-29 [1] RSPM</w:t>
      </w:r>
      <w:r>
        <w:br/>
      </w:r>
      <w:r>
        <w:rPr>
          <w:rStyle w:val="VerbatimChar"/>
        </w:rPr>
        <w:t xml:space="preserve"> pkgbuild      1.4.8   2025-05-26 [1] RSPM</w:t>
      </w:r>
      <w:r>
        <w:br/>
      </w:r>
      <w:r>
        <w:rPr>
          <w:rStyle w:val="VerbatimChar"/>
        </w:rPr>
        <w:t xml:space="preserve"> pkgload       1.5.0   2026-02-03 [1] RSPM</w:t>
      </w:r>
      <w:r>
        <w:br/>
      </w:r>
      <w:r>
        <w:rPr>
          <w:rStyle w:val="VerbatimChar"/>
        </w:rPr>
        <w:t xml:space="preserve"> purrr         1.2.1   2026-01-09 [1] RSPM</w:t>
      </w:r>
      <w:r>
        <w:br/>
      </w:r>
      <w:r>
        <w:rPr>
          <w:rStyle w:val="VerbatimChar"/>
        </w:rPr>
        <w:t xml:space="preserve"> R6            2.6.1   2025-02-15 [1] RSPM</w:t>
      </w:r>
      <w:r>
        <w:br/>
      </w:r>
      <w:r>
        <w:rPr>
          <w:rStyle w:val="VerbatimChar"/>
        </w:rPr>
        <w:t xml:space="preserve"> rlang         1.1.7   2026-01-09 [1] RSPM</w:t>
      </w:r>
      <w:r>
        <w:br/>
      </w:r>
      <w:r>
        <w:rPr>
          <w:rStyle w:val="VerbatimChar"/>
        </w:rPr>
        <w:t xml:space="preserve"> rmarkdown     2.30    2025-09-28 [1] RSPM</w:t>
      </w:r>
      <w:r>
        <w:br/>
      </w:r>
      <w:r>
        <w:rPr>
          <w:rStyle w:val="VerbatimChar"/>
        </w:rPr>
        <w:t xml:space="preserve"> rstudioapi    0.18.0  2026-01-16 [1] RSPM</w:t>
      </w:r>
      <w:r>
        <w:br/>
      </w:r>
      <w:r>
        <w:rPr>
          <w:rStyle w:val="VerbatimChar"/>
        </w:rPr>
        <w:t xml:space="preserve"> sessioninfo   1.2.3   2025-02-05 [1] RSPM</w:t>
      </w:r>
      <w:r>
        <w:br/>
      </w:r>
      <w:r>
        <w:rPr>
          <w:rStyle w:val="VerbatimChar"/>
        </w:rPr>
        <w:t xml:space="preserve"> usethis       3.2.1   2025-09-06 [1] RSPM</w:t>
      </w:r>
      <w:r>
        <w:br/>
      </w:r>
      <w:r>
        <w:rPr>
          <w:rStyle w:val="VerbatimChar"/>
        </w:rPr>
        <w:t xml:space="preserve"> vctrs         0.7.1   2026-01-23 [1] RSPM</w:t>
      </w:r>
      <w:r>
        <w:br/>
      </w:r>
      <w:r>
        <w:rPr>
          <w:rStyle w:val="VerbatimChar"/>
        </w:rPr>
        <w:t xml:space="preserve"> xfun          0.56    2026-01-18 [1] RSPM</w:t>
      </w:r>
      <w:r>
        <w:br/>
      </w:r>
      <w:r>
        <w:rPr>
          <w:rStyle w:val="VerbatimChar"/>
        </w:rPr>
        <w:t xml:space="preserve"> yaml          2.3.12  2025-12-10 [1] RSPM</w:t>
      </w:r>
      <w:r>
        <w:br/>
      </w:r>
      <w:r>
        <w:br/>
      </w:r>
      <w:r>
        <w:rPr>
          <w:rStyle w:val="VerbatimChar"/>
        </w:rPr>
        <w:t xml:space="preserve"> [1] H:/SPHARM_analysis/renv/library/windows/R-4.5/x86_64-w64-mingw32</w:t>
      </w:r>
      <w:r>
        <w:br/>
      </w:r>
      <w:r>
        <w:rPr>
          <w:rStyle w:val="VerbatimChar"/>
        </w:rPr>
        <w:t xml:space="preserve"> [2] F:/R/R-4.5.2/library</w:t>
      </w:r>
      <w:r>
        <w:br/>
      </w:r>
      <w:r>
        <w:br/>
      </w:r>
      <w:r>
        <w:rPr>
          <w:rStyle w:val="VerbatimChar"/>
        </w:rPr>
        <w:t xml:space="preserve">──────────────────────────────────────────────────────────────────────────────</w:t>
      </w:r>
    </w:p>
    <w:bookmarkEnd w:id="36"/>
    <w:bookmarkEnd w:id="37"/>
    <w:sectPr w:rsidR="005A091B" w:rsidSect="00014752">
      <w:pgSz w:h="15840" w:w="12240"/>
      <w:pgMar w:bottom="1440" w:footer="720" w:gutter="0" w:header="720" w:left="1440" w:right="1440" w:top="1440"/>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p14">
  <w:abstractNum w15:restartNumberingAfterBreak="0" w:abstractNumId="0">
    <w:nsid w:val="95C299B2"/>
    <w:multiLevelType w:val="multilevel"/>
    <w:tmpl w:val="4A32D3E4"/>
    <w:lvl w:ilvl="0">
      <w:numFmt w:val="bullet"/>
      <w:lvlText w:val="•"/>
      <w:lvlJc w:val="left"/>
      <w:pPr>
        <w:tabs>
          <w:tab w:pos="0" w:val="num"/>
        </w:tabs>
        <w:ind w:hanging="480" w:left="480"/>
      </w:pPr>
    </w:lvl>
    <w:lvl w:ilvl="1">
      <w:numFmt w:val="bullet"/>
      <w:lvlText w:val="–"/>
      <w:lvlJc w:val="left"/>
      <w:pPr>
        <w:tabs>
          <w:tab w:pos="720" w:val="num"/>
        </w:tabs>
        <w:ind w:hanging="480" w:left="1200"/>
      </w:pPr>
    </w:lvl>
    <w:lvl w:ilvl="2">
      <w:numFmt w:val="bullet"/>
      <w:lvlText w:val="•"/>
      <w:lvlJc w:val="left"/>
      <w:pPr>
        <w:tabs>
          <w:tab w:pos="1440" w:val="num"/>
        </w:tabs>
        <w:ind w:hanging="480" w:left="1920"/>
      </w:pPr>
    </w:lvl>
    <w:lvl w:ilvl="3">
      <w:numFmt w:val="bullet"/>
      <w:lvlText w:val="–"/>
      <w:lvlJc w:val="left"/>
      <w:pPr>
        <w:tabs>
          <w:tab w:pos="2160" w:val="num"/>
        </w:tabs>
        <w:ind w:hanging="480" w:left="2640"/>
      </w:pPr>
    </w:lvl>
    <w:lvl w:ilvl="4">
      <w:numFmt w:val="bullet"/>
      <w:lvlText w:val="•"/>
      <w:lvlJc w:val="left"/>
      <w:pPr>
        <w:tabs>
          <w:tab w:pos="2880" w:val="num"/>
        </w:tabs>
        <w:ind w:hanging="480" w:left="3360"/>
      </w:pPr>
    </w:lvl>
    <w:lvl w:ilvl="5">
      <w:numFmt w:val="bullet"/>
      <w:lvlText w:val="–"/>
      <w:lvlJc w:val="left"/>
      <w:pPr>
        <w:tabs>
          <w:tab w:pos="3600" w:val="num"/>
        </w:tabs>
        <w:ind w:hanging="480" w:left="4080"/>
      </w:pPr>
    </w:lvl>
    <w:lvl w:ilvl="6">
      <w:numFmt w:val="bullet"/>
      <w:lvlText w:val="•"/>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A7FBC57F"/>
    <w:multiLevelType w:val="multilevel"/>
    <w:tmpl w:val="313AFBD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2">
    <w:nsid w:val="E17F69BA"/>
    <w:multiLevelType w:val="multilevel"/>
    <w:tmpl w:val="62AA6D9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2"/>
  </w:num>
  <w:num w:numId="2">
    <w:abstractNumId w:val="1"/>
  </w:num>
  <w:num w:numId="3">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1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90D07"/>
    <w:rsid w:val="00011C8B"/>
    <w:rsid w:val="00014752"/>
    <w:rsid w:val="004C579B"/>
    <w:rsid w:val="004E29B3"/>
    <w:rsid w:val="00590D07"/>
    <w:rsid w:val="005A091B"/>
    <w:rsid w:val="00705E12"/>
    <w:rsid w:val="00784D58"/>
    <w:rsid w:val="00884F3F"/>
    <w:rsid w:val="008D6863"/>
    <w:rsid w:val="00970303"/>
    <w:rsid w:val="00B86B75"/>
    <w:rsid w:val="00BC48D5"/>
    <w:rsid w:val="00C36279"/>
    <w:rsid w:val="00DA425F"/>
    <w:rsid w:val="00E315A3"/>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mc:Ignorable="w14 w15 w16se w16cid w16 w16cex">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themeShade="B5" w:val="345A8A"/>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32"/>
      <w:szCs w:val="32"/>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8"/>
      <w:szCs w:val="28"/>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
      <w:bCs/>
      <w:color w:themeColor="accent1" w:val="4F81BD"/>
    </w:rPr>
  </w:style>
  <w:style w:styleId="Heading5" w:type="paragraph">
    <w:name w:val="heading 5"/>
    <w:basedOn w:val="Normal"/>
    <w:next w:val="BodyText"/>
    <w:uiPriority w:val="9"/>
    <w:unhideWhenUsed/>
    <w:qFormat/>
    <w:rsid w:val="00884F3F"/>
    <w:pPr>
      <w:keepNext/>
      <w:keepLines/>
      <w:pageBreakBefore/>
      <w:spacing w:after="0" w:before="200" w:line="20" w:lineRule="exact"/>
      <w:outlineLvl w:val="4"/>
    </w:pPr>
    <w:rPr>
      <w:rFonts w:asciiTheme="majorHAnsi" w:cstheme="majorBidi" w:eastAsiaTheme="majorEastAsia" w:hAnsiTheme="majorHAnsi"/>
      <w:i/>
      <w:iCs/>
      <w:color w:themeColor="background1" w:val="FFFFFF"/>
      <w:sz w:val="16"/>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pPr>
    <w:rPr>
      <w:rFonts w:asciiTheme="majorHAnsi" w:cstheme="majorBidi" w:eastAsiaTheme="majorEastAsia" w:hAnsiTheme="majorHAnsi"/>
      <w:bCs/>
      <w:sz w:val="20"/>
      <w:szCs w:val="20"/>
    </w:rPr>
  </w:style>
  <w:style w:styleId="FootnoteText" w:type="paragraph">
    <w:name w:val="footnote text"/>
    <w:basedOn w:val="Normal"/>
    <w:uiPriority w:val="9"/>
    <w:unhideWhenUsed/>
    <w:qFormat/>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FigurewithCaption" w:type="paragraph">
    <w:name w:val="Figure with Caption"/>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LineNumber" w:type="character">
    <w:name w:val="line number"/>
    <w:basedOn w:val="DefaultParagraphFont"/>
    <w:rsid w:val="0001475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1" Target="https://doi.org/10.1016/j.jas.2005.07.007" TargetMode="External" /><Relationship Type="http://schemas.openxmlformats.org/officeDocument/2006/relationships/hyperlink" Id="rId33" Target="https://doi.org/10.1016/j.jas.2024.105998" TargetMode="External" /><Relationship Type="http://schemas.openxmlformats.org/officeDocument/2006/relationships/hyperlink" Id="rId20" Target="mailto:bmarwick@uw.edu" TargetMode="External" /></Relationships>
</file>

<file path=word/_rels/footnotes.xml.rels><?xml version="1.0" encoding="UTF-8"?><Relationships xmlns="http://schemas.openxmlformats.org/package/2006/relationships"><Relationship Type="http://schemas.openxmlformats.org/officeDocument/2006/relationships/hyperlink" Id="rId31" Target="https://doi.org/10.1016/j.jas.2005.07.007" TargetMode="External" /><Relationship Type="http://schemas.openxmlformats.org/officeDocument/2006/relationships/hyperlink" Id="rId33" Target="https://doi.org/10.1016/j.jas.2024.105998" TargetMode="External" /><Relationship Type="http://schemas.openxmlformats.org/officeDocument/2006/relationships/hyperlink" Id="rId20" Target="mailto:bmarwick@uw.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173</Words>
  <Characters>873</Characters>
  <Application>Microsoft Office Word</Application>
  <DocSecurity>0</DocSecurity>
  <Lines>26</Lines>
  <Paragraphs>20</Paragraphs>
  <ScaleCrop>false</ScaleCrop>
  <HeadingPairs>
    <vt:vector size="2" baseType="variant">
      <vt:variant>
        <vt:lpstr>Title</vt:lpstr>
      </vt:variant>
      <vt:variant>
        <vt:i4>1</vt:i4>
      </vt:variant>
    </vt:vector>
  </HeadingPairs>
  <TitlesOfParts>
    <vt:vector size="1" baseType="lpstr">
      <vt:lpstr>My title</vt:lpstr>
    </vt:vector>
  </TitlesOfParts>
  <Manager/>
  <Company/>
  <LinksUpToDate>false</LinksUpToDate>
  <CharactersWithSpaces>1036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New methods based on SPHARM in lithic analysis</dc:title>
  <dc:creator>Peiyuan Xiaob,a, Hao Lib,a, and Ben Marwickd,✉</dc:creator>
  <cp:keywords/>
  <dcterms:created xsi:type="dcterms:W3CDTF">2026-04-01T22:06:44Z</dcterms:created>
  <dcterms:modified xsi:type="dcterms:W3CDTF">2026-04-01T22:06:44Z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
  </property>
  <property fmtid="{D5CDD505-2E9C-101B-9397-08002B2CF9AE}" pid="3" name="affiliation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ffiliation">
    <vt:lpwstr/>
  </property>
  <property fmtid="{D5CDD505-2E9C-101B-9397-08002B2CF9AE}" pid="7" name="crossref">
    <vt:lpwstr/>
  </property>
  <property fmtid="{D5CDD505-2E9C-101B-9397-08002B2CF9AE}" pid="8" name="csl">
    <vt:lpwstr>../templates/journal-of-archaeological-science.csl</vt:lpwstr>
  </property>
  <property fmtid="{D5CDD505-2E9C-101B-9397-08002B2CF9AE}" pid="9" name="date">
    <vt:lpwstr>April 1, 2026</vt:lpwstr>
  </property>
  <property fmtid="{D5CDD505-2E9C-101B-9397-08002B2CF9AE}" pid="10" name="date-format">
    <vt:lpwstr>long</vt:lpwstr>
  </property>
  <property fmtid="{D5CDD505-2E9C-101B-9397-08002B2CF9AE}" pid="11" name="editor_options">
    <vt:lpwstr/>
  </property>
  <property fmtid="{D5CDD505-2E9C-101B-9397-08002B2CF9AE}" pid="12" name="execute">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institutes">
    <vt:lpwstr/>
  </property>
  <property fmtid="{D5CDD505-2E9C-101B-9397-08002B2CF9AE}" pid="17" name="labels">
    <vt:lpwstr/>
  </property>
  <property fmtid="{D5CDD505-2E9C-101B-9397-08002B2CF9AE}" pid="18" name="title-block-published">
    <vt:lpwstr>Last updated</vt:lpwstr>
  </property>
  <property fmtid="{D5CDD505-2E9C-101B-9397-08002B2CF9AE}" pid="19" name="toc-title">
    <vt:lpwstr>Table of contents</vt:lpwstr>
  </property>
</Properties>
</file>