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发射端代码可以跟着文档跑出来，但是看懂有点难。直接运行应该是可以的。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根据知乎跑了一下代码，验证了一下是可以跑的。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发现接收端和发送端的两个链接其实是相互分离的（那天发的）。接收端可以用</w:t>
      </w:r>
      <w:r>
        <w:drawing>
          <wp:inline distT="0" distB="0" distL="114300" distR="114300">
            <wp:extent cx="2727960" cy="25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这个东西进行仿真，然后生成数据集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17119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感觉有可能是这个，还没确定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89960" cy="1943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251DE"/>
    <w:multiLevelType w:val="singleLevel"/>
    <w:tmpl w:val="334251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OWU0MmI4ZTg5YzRlYTc0N2QxNmFiNWNjMzMxY2EifQ=="/>
  </w:docVars>
  <w:rsids>
    <w:rsidRoot w:val="00000000"/>
    <w:rsid w:val="07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3</TotalTime>
  <ScaleCrop>false</ScaleCrop>
  <LinksUpToDate>false</LinksUpToDate>
  <CharactersWithSpaces>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2023-07-14T15:02:09Z</dcterms:created>
  <dc:creator>14520</dc:creator>
  <cp:lastModifiedBy>pei</cp:lastModifiedBy>
  <dcterms:modified xsi:type="dcterms:W3CDTF">2023-07-14T15:05:33Z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E3C8766A253947D0B17D2BBEF9A257AD_12</vt:lpwstr>
  </property>
</Properties>
</file>