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2F18" w14:textId="69C5CB02" w:rsidR="009E3ACE" w:rsidRDefault="000E603A" w:rsidP="000E603A">
      <w:pPr>
        <w:autoSpaceDE w:val="0"/>
        <w:autoSpaceDN w:val="0"/>
        <w:adjustRightInd w:val="0"/>
        <w:rPr>
          <w:b/>
          <w:bCs/>
          <w:sz w:val="28"/>
          <w:szCs w:val="28"/>
          <w:lang w:val="en-US"/>
        </w:rPr>
      </w:pPr>
      <w:r>
        <w:rPr>
          <w:b/>
          <w:bCs/>
          <w:sz w:val="28"/>
          <w:szCs w:val="28"/>
          <w:lang w:val="en-US"/>
        </w:rPr>
        <w:t xml:space="preserve">Week-1 </w:t>
      </w:r>
      <w:r w:rsidR="00B41574">
        <w:rPr>
          <w:b/>
          <w:bCs/>
          <w:sz w:val="28"/>
          <w:szCs w:val="28"/>
          <w:lang w:val="en-US"/>
        </w:rPr>
        <w:t>Descriptive Statistics Exercises</w:t>
      </w:r>
    </w:p>
    <w:p w14:paraId="6409EA0F" w14:textId="6B653596" w:rsidR="00F97A81" w:rsidRDefault="00F97A81" w:rsidP="000E603A">
      <w:pPr>
        <w:autoSpaceDE w:val="0"/>
        <w:autoSpaceDN w:val="0"/>
        <w:adjustRightInd w:val="0"/>
        <w:rPr>
          <w:b/>
          <w:bCs/>
          <w:sz w:val="28"/>
          <w:szCs w:val="28"/>
          <w:lang w:val="en-US"/>
        </w:rPr>
      </w:pPr>
    </w:p>
    <w:p w14:paraId="24C5AA2A" w14:textId="14FD6A58" w:rsidR="00F97A81" w:rsidRPr="00F97A81" w:rsidRDefault="00F97A81" w:rsidP="000E603A">
      <w:pPr>
        <w:autoSpaceDE w:val="0"/>
        <w:autoSpaceDN w:val="0"/>
        <w:adjustRightInd w:val="0"/>
        <w:rPr>
          <w:sz w:val="28"/>
          <w:szCs w:val="28"/>
          <w:lang w:val="en-US"/>
        </w:rPr>
      </w:pPr>
      <w:r w:rsidRPr="00F97A81">
        <w:rPr>
          <w:sz w:val="28"/>
          <w:szCs w:val="28"/>
          <w:lang w:val="en-US"/>
        </w:rPr>
        <w:t xml:space="preserve">It is highly recommended that </w:t>
      </w:r>
      <w:r>
        <w:rPr>
          <w:sz w:val="28"/>
          <w:szCs w:val="28"/>
          <w:lang w:val="en-US"/>
        </w:rPr>
        <w:t xml:space="preserve">for all of this exercise, that you complete it on the first-time using pen and paper (potentially with calculator). This is to allow familiarity with the calculation and ensure that the theory truly translate to practicality. The second round can then be done with any tool such as </w:t>
      </w:r>
      <w:r>
        <w:rPr>
          <w:sz w:val="28"/>
          <w:szCs w:val="28"/>
          <w:lang w:val="en-US"/>
        </w:rPr>
        <w:t>Excel</w:t>
      </w:r>
      <w:r>
        <w:rPr>
          <w:sz w:val="28"/>
          <w:szCs w:val="28"/>
          <w:lang w:val="en-US"/>
        </w:rPr>
        <w:t>, R, Python</w:t>
      </w:r>
      <w:r>
        <w:rPr>
          <w:sz w:val="28"/>
          <w:szCs w:val="28"/>
          <w:lang w:val="en-US"/>
        </w:rPr>
        <w:t xml:space="preserve"> or SPSS.</w:t>
      </w:r>
    </w:p>
    <w:p w14:paraId="6D286842" w14:textId="77777777" w:rsidR="00AA5D0B" w:rsidRDefault="00AA5D0B" w:rsidP="000E603A">
      <w:pPr>
        <w:autoSpaceDE w:val="0"/>
        <w:autoSpaceDN w:val="0"/>
        <w:adjustRightInd w:val="0"/>
        <w:rPr>
          <w:b/>
          <w:bCs/>
          <w:sz w:val="28"/>
          <w:szCs w:val="28"/>
          <w:lang w:val="en-US"/>
        </w:rPr>
      </w:pPr>
    </w:p>
    <w:tbl>
      <w:tblPr>
        <w:tblStyle w:val="TableGrid"/>
        <w:tblW w:w="0" w:type="auto"/>
        <w:tblLook w:val="04A0" w:firstRow="1" w:lastRow="0" w:firstColumn="1" w:lastColumn="0" w:noHBand="0" w:noVBand="1"/>
      </w:tblPr>
      <w:tblGrid>
        <w:gridCol w:w="9963"/>
      </w:tblGrid>
      <w:tr w:rsidR="006B113F" w14:paraId="33487DEB" w14:textId="77777777" w:rsidTr="006B113F">
        <w:tc>
          <w:tcPr>
            <w:tcW w:w="9963" w:type="dxa"/>
          </w:tcPr>
          <w:p w14:paraId="4234A330" w14:textId="77777777" w:rsidR="006B113F" w:rsidRDefault="006B113F" w:rsidP="006B113F">
            <w:pPr>
              <w:autoSpaceDE w:val="0"/>
              <w:autoSpaceDN w:val="0"/>
              <w:adjustRightInd w:val="0"/>
              <w:rPr>
                <w:lang w:val="en-US"/>
              </w:rPr>
            </w:pPr>
            <w:r w:rsidRPr="00B13F4A">
              <w:rPr>
                <w:b/>
                <w:lang w:val="en-US"/>
              </w:rPr>
              <w:t>1.</w:t>
            </w:r>
            <w:r>
              <w:rPr>
                <w:lang w:val="en-US"/>
              </w:rPr>
              <w:t xml:space="preserve">  The following data give the length of time in days it takes a manufacturing firm to supply price quotes to its customers. Work out the frequencies and relative frequencies, and draw a histogram using classes of 0 to under 2.5, 2.5 to under 5, and so on.</w:t>
            </w:r>
          </w:p>
          <w:p w14:paraId="786541F9" w14:textId="77777777" w:rsidR="006B113F" w:rsidRPr="00B13F4A" w:rsidRDefault="006B113F" w:rsidP="00D8187E">
            <w:pPr>
              <w:autoSpaceDE w:val="0"/>
              <w:autoSpaceDN w:val="0"/>
              <w:adjustRightInd w:val="0"/>
              <w:jc w:val="center"/>
              <w:rPr>
                <w:lang w:val="en-US"/>
              </w:rPr>
            </w:pPr>
            <w:r>
              <w:rPr>
                <w:noProof/>
                <w:lang w:eastAsia="en-GB"/>
              </w:rPr>
              <w:drawing>
                <wp:inline distT="0" distB="0" distL="0" distR="0" wp14:anchorId="46873BBC" wp14:editId="4D0B84B8">
                  <wp:extent cx="52768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457200"/>
                          </a:xfrm>
                          <a:prstGeom prst="rect">
                            <a:avLst/>
                          </a:prstGeom>
                          <a:noFill/>
                          <a:ln>
                            <a:noFill/>
                          </a:ln>
                        </pic:spPr>
                      </pic:pic>
                    </a:graphicData>
                  </a:graphic>
                </wp:inline>
              </w:drawing>
            </w:r>
          </w:p>
          <w:p w14:paraId="5FA0EFFB" w14:textId="77777777" w:rsidR="006B113F" w:rsidRDefault="006B113F" w:rsidP="006B113F">
            <w:pPr>
              <w:autoSpaceDE w:val="0"/>
              <w:autoSpaceDN w:val="0"/>
              <w:adjustRightInd w:val="0"/>
              <w:rPr>
                <w:lang w:val="en-US"/>
              </w:rPr>
            </w:pPr>
            <w:r>
              <w:rPr>
                <w:lang w:val="en-US"/>
              </w:rPr>
              <w:t>What comment can you make about the distribution?</w:t>
            </w:r>
          </w:p>
          <w:p w14:paraId="3C235A35" w14:textId="77777777" w:rsidR="006B113F" w:rsidRDefault="006B113F" w:rsidP="000E603A">
            <w:pPr>
              <w:autoSpaceDE w:val="0"/>
              <w:autoSpaceDN w:val="0"/>
              <w:adjustRightInd w:val="0"/>
              <w:rPr>
                <w:b/>
                <w:bCs/>
                <w:sz w:val="28"/>
                <w:szCs w:val="28"/>
                <w:lang w:val="en-US"/>
              </w:rPr>
            </w:pPr>
          </w:p>
        </w:tc>
      </w:tr>
      <w:tr w:rsidR="006B113F" w14:paraId="4E0A4432" w14:textId="77777777" w:rsidTr="006B113F">
        <w:tc>
          <w:tcPr>
            <w:tcW w:w="9963" w:type="dxa"/>
          </w:tcPr>
          <w:p w14:paraId="7F1371F7" w14:textId="77777777" w:rsidR="006B113F" w:rsidRDefault="006B113F" w:rsidP="006B113F">
            <w:pPr>
              <w:autoSpaceDE w:val="0"/>
              <w:autoSpaceDN w:val="0"/>
              <w:adjustRightInd w:val="0"/>
              <w:rPr>
                <w:lang w:val="en-US"/>
              </w:rPr>
            </w:pPr>
            <w:r w:rsidRPr="00B13F4A">
              <w:rPr>
                <w:b/>
                <w:lang w:val="en-US"/>
              </w:rPr>
              <w:t>2.</w:t>
            </w:r>
            <w:r>
              <w:rPr>
                <w:lang w:val="en-US"/>
              </w:rPr>
              <w:t xml:space="preserve">  A doctor’s surgery studies the length of time patients, arriving with a request for emergency service, have to wait before treatment. The following data, waiting times in minutes, were collected for all emergencies over a typical one-month period.</w:t>
            </w:r>
          </w:p>
          <w:p w14:paraId="28080984" w14:textId="77777777" w:rsidR="006B113F" w:rsidRPr="00B13F4A" w:rsidRDefault="006B113F" w:rsidP="00D8187E">
            <w:pPr>
              <w:autoSpaceDE w:val="0"/>
              <w:autoSpaceDN w:val="0"/>
              <w:adjustRightInd w:val="0"/>
              <w:jc w:val="center"/>
              <w:rPr>
                <w:lang w:val="en-US"/>
              </w:rPr>
            </w:pPr>
            <w:r>
              <w:rPr>
                <w:noProof/>
                <w:lang w:eastAsia="en-GB"/>
              </w:rPr>
              <w:drawing>
                <wp:inline distT="0" distB="0" distL="0" distR="0" wp14:anchorId="4DEF767D" wp14:editId="76A1659C">
                  <wp:extent cx="527685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657225"/>
                          </a:xfrm>
                          <a:prstGeom prst="rect">
                            <a:avLst/>
                          </a:prstGeom>
                          <a:noFill/>
                          <a:ln>
                            <a:noFill/>
                          </a:ln>
                        </pic:spPr>
                      </pic:pic>
                    </a:graphicData>
                  </a:graphic>
                </wp:inline>
              </w:drawing>
            </w:r>
          </w:p>
          <w:p w14:paraId="5761DF4C" w14:textId="77777777" w:rsidR="006B113F" w:rsidRDefault="006B113F" w:rsidP="006B113F">
            <w:pPr>
              <w:autoSpaceDE w:val="0"/>
              <w:autoSpaceDN w:val="0"/>
              <w:adjustRightInd w:val="0"/>
              <w:rPr>
                <w:lang w:val="en-US"/>
              </w:rPr>
            </w:pPr>
            <w:r>
              <w:rPr>
                <w:lang w:val="en-US"/>
              </w:rPr>
              <w:t>Tabulate the frequencies and relative frequencies, and then display the data in a suitable manner. What comment can you make about the distribution?</w:t>
            </w:r>
          </w:p>
          <w:p w14:paraId="60C05859" w14:textId="77777777" w:rsidR="006B113F" w:rsidRDefault="006B113F" w:rsidP="000E603A">
            <w:pPr>
              <w:autoSpaceDE w:val="0"/>
              <w:autoSpaceDN w:val="0"/>
              <w:adjustRightInd w:val="0"/>
              <w:rPr>
                <w:b/>
                <w:bCs/>
                <w:sz w:val="28"/>
                <w:szCs w:val="28"/>
                <w:lang w:val="en-US"/>
              </w:rPr>
            </w:pPr>
          </w:p>
        </w:tc>
      </w:tr>
      <w:tr w:rsidR="006B113F" w14:paraId="3FD79EA4" w14:textId="77777777" w:rsidTr="006B113F">
        <w:tc>
          <w:tcPr>
            <w:tcW w:w="9963" w:type="dxa"/>
          </w:tcPr>
          <w:p w14:paraId="7AE70149" w14:textId="77777777" w:rsidR="006B113F" w:rsidRDefault="006B113F" w:rsidP="006B113F">
            <w:pPr>
              <w:autoSpaceDE w:val="0"/>
              <w:autoSpaceDN w:val="0"/>
              <w:adjustRightInd w:val="0"/>
              <w:rPr>
                <w:lang w:val="en-US"/>
              </w:rPr>
            </w:pPr>
            <w:r w:rsidRPr="004F059C">
              <w:rPr>
                <w:b/>
                <w:lang w:val="en-US"/>
              </w:rPr>
              <w:t>3.</w:t>
            </w:r>
            <w:r>
              <w:rPr>
                <w:lang w:val="en-US"/>
              </w:rPr>
              <w:t xml:space="preserve">  The data, given below, are the quarterly primary fuel consumption in the UK for 1980-85. </w:t>
            </w:r>
          </w:p>
          <w:p w14:paraId="0B294688" w14:textId="77777777" w:rsidR="006B113F" w:rsidRPr="004F059C" w:rsidRDefault="006B113F" w:rsidP="00D8187E">
            <w:pPr>
              <w:autoSpaceDE w:val="0"/>
              <w:autoSpaceDN w:val="0"/>
              <w:adjustRightInd w:val="0"/>
              <w:jc w:val="center"/>
              <w:rPr>
                <w:lang w:val="en-US"/>
              </w:rPr>
            </w:pPr>
            <w:r>
              <w:rPr>
                <w:noProof/>
                <w:lang w:eastAsia="en-GB"/>
              </w:rPr>
              <w:drawing>
                <wp:inline distT="0" distB="0" distL="0" distR="0" wp14:anchorId="28C40776" wp14:editId="035F0207">
                  <wp:extent cx="527685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543050"/>
                          </a:xfrm>
                          <a:prstGeom prst="rect">
                            <a:avLst/>
                          </a:prstGeom>
                          <a:noFill/>
                          <a:ln>
                            <a:noFill/>
                          </a:ln>
                        </pic:spPr>
                      </pic:pic>
                    </a:graphicData>
                  </a:graphic>
                </wp:inline>
              </w:drawing>
            </w:r>
          </w:p>
          <w:p w14:paraId="2D45AFC8" w14:textId="11285F11" w:rsidR="00A7465B" w:rsidRDefault="00D8187E" w:rsidP="000E603A">
            <w:pPr>
              <w:pStyle w:val="ListParagraph"/>
              <w:numPr>
                <w:ilvl w:val="0"/>
                <w:numId w:val="9"/>
              </w:numPr>
              <w:autoSpaceDE w:val="0"/>
              <w:autoSpaceDN w:val="0"/>
              <w:adjustRightInd w:val="0"/>
              <w:rPr>
                <w:lang w:val="en-US"/>
              </w:rPr>
            </w:pPr>
            <w:r w:rsidRPr="00A7465B">
              <w:rPr>
                <w:lang w:val="en-US"/>
              </w:rPr>
              <w:t>Draw a time series plot of the data. What does it tell you about fuel consumption?</w:t>
            </w:r>
          </w:p>
          <w:p w14:paraId="5204CD3B" w14:textId="476D8D9C" w:rsidR="009D7834" w:rsidRDefault="009D7834" w:rsidP="000E603A">
            <w:pPr>
              <w:pStyle w:val="ListParagraph"/>
              <w:numPr>
                <w:ilvl w:val="0"/>
                <w:numId w:val="9"/>
              </w:numPr>
              <w:autoSpaceDE w:val="0"/>
              <w:autoSpaceDN w:val="0"/>
              <w:adjustRightInd w:val="0"/>
              <w:rPr>
                <w:lang w:val="en-US"/>
              </w:rPr>
            </w:pPr>
            <w:r>
              <w:rPr>
                <w:lang w:val="en-US"/>
              </w:rPr>
              <w:t xml:space="preserve">Calculate </w:t>
            </w:r>
            <w:r>
              <w:rPr>
                <w:lang w:val="en-US"/>
              </w:rPr>
              <w:t>mean fuel consumption</w:t>
            </w:r>
            <w:r>
              <w:rPr>
                <w:lang w:val="en-US"/>
              </w:rPr>
              <w:t xml:space="preserve"> for the entire period between 1980-85.</w:t>
            </w:r>
          </w:p>
          <w:p w14:paraId="54D3BE9B" w14:textId="1DAF15D9" w:rsidR="00A7465B" w:rsidRPr="00A7465B" w:rsidRDefault="00A7465B" w:rsidP="000E603A">
            <w:pPr>
              <w:pStyle w:val="ListParagraph"/>
              <w:numPr>
                <w:ilvl w:val="0"/>
                <w:numId w:val="9"/>
              </w:numPr>
              <w:autoSpaceDE w:val="0"/>
              <w:autoSpaceDN w:val="0"/>
              <w:adjustRightInd w:val="0"/>
              <w:rPr>
                <w:lang w:val="en-US"/>
              </w:rPr>
            </w:pPr>
            <w:r>
              <w:rPr>
                <w:lang w:val="en-US"/>
              </w:rPr>
              <w:t xml:space="preserve">Calculate mean fuel consumption for each quarter (over multiple years). </w:t>
            </w:r>
            <w:r w:rsidR="009D7834">
              <w:rPr>
                <w:lang w:val="en-US"/>
              </w:rPr>
              <w:t xml:space="preserve">In comparison to full </w:t>
            </w:r>
            <w:r w:rsidR="001B4F4C">
              <w:rPr>
                <w:lang w:val="en-US"/>
              </w:rPr>
              <w:t>period mean</w:t>
            </w:r>
            <w:r w:rsidR="009D7834">
              <w:rPr>
                <w:lang w:val="en-US"/>
              </w:rPr>
              <w:t>, w</w:t>
            </w:r>
            <w:r>
              <w:rPr>
                <w:lang w:val="en-US"/>
              </w:rPr>
              <w:t xml:space="preserve">hat does this tell you </w:t>
            </w:r>
            <w:r w:rsidR="001B4F4C">
              <w:rPr>
                <w:lang w:val="en-US"/>
              </w:rPr>
              <w:t>about</w:t>
            </w:r>
            <w:r w:rsidR="006B6D3B">
              <w:rPr>
                <w:lang w:val="en-US"/>
              </w:rPr>
              <w:t xml:space="preserve"> consumption in</w:t>
            </w:r>
            <w:r>
              <w:rPr>
                <w:lang w:val="en-US"/>
              </w:rPr>
              <w:t xml:space="preserve"> different </w:t>
            </w:r>
            <w:r w:rsidR="009D7834">
              <w:rPr>
                <w:lang w:val="en-US"/>
              </w:rPr>
              <w:t>quarters</w:t>
            </w:r>
            <w:r>
              <w:rPr>
                <w:lang w:val="en-US"/>
              </w:rPr>
              <w:t>.</w:t>
            </w:r>
          </w:p>
          <w:p w14:paraId="5746527E" w14:textId="4691FE46" w:rsidR="00A7465B" w:rsidRDefault="00A7465B" w:rsidP="000E603A">
            <w:pPr>
              <w:autoSpaceDE w:val="0"/>
              <w:autoSpaceDN w:val="0"/>
              <w:adjustRightInd w:val="0"/>
              <w:rPr>
                <w:b/>
                <w:bCs/>
                <w:sz w:val="28"/>
                <w:szCs w:val="28"/>
                <w:lang w:val="en-US"/>
              </w:rPr>
            </w:pPr>
          </w:p>
        </w:tc>
      </w:tr>
      <w:tr w:rsidR="006B113F" w14:paraId="61233E1A" w14:textId="77777777" w:rsidTr="006B113F">
        <w:tc>
          <w:tcPr>
            <w:tcW w:w="9963" w:type="dxa"/>
          </w:tcPr>
          <w:p w14:paraId="4DEDBE83" w14:textId="77777777" w:rsidR="006B113F" w:rsidRDefault="006B113F" w:rsidP="006B113F">
            <w:pPr>
              <w:autoSpaceDE w:val="0"/>
              <w:autoSpaceDN w:val="0"/>
              <w:adjustRightInd w:val="0"/>
              <w:rPr>
                <w:lang w:val="en-US"/>
              </w:rPr>
            </w:pPr>
            <w:r w:rsidRPr="004F059C">
              <w:rPr>
                <w:b/>
                <w:lang w:val="en-US"/>
              </w:rPr>
              <w:t>4.</w:t>
            </w:r>
            <w:r>
              <w:rPr>
                <w:lang w:val="en-US"/>
              </w:rPr>
              <w:t xml:space="preserve">  The following data give the advertising expenditure and sales volume for a particular corporation for six randomly selected months. </w:t>
            </w:r>
          </w:p>
          <w:p w14:paraId="34B285A0" w14:textId="77777777" w:rsidR="006B113F" w:rsidRDefault="006B113F" w:rsidP="00D8187E">
            <w:pPr>
              <w:autoSpaceDE w:val="0"/>
              <w:autoSpaceDN w:val="0"/>
              <w:adjustRightInd w:val="0"/>
              <w:jc w:val="center"/>
              <w:rPr>
                <w:lang w:val="en-US"/>
              </w:rPr>
            </w:pPr>
            <w:r>
              <w:rPr>
                <w:noProof/>
                <w:lang w:eastAsia="en-GB"/>
              </w:rPr>
              <w:drawing>
                <wp:inline distT="0" distB="0" distL="0" distR="0" wp14:anchorId="6EDD76F2" wp14:editId="412908CA">
                  <wp:extent cx="52768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295400"/>
                          </a:xfrm>
                          <a:prstGeom prst="rect">
                            <a:avLst/>
                          </a:prstGeom>
                          <a:noFill/>
                          <a:ln>
                            <a:noFill/>
                          </a:ln>
                        </pic:spPr>
                      </pic:pic>
                    </a:graphicData>
                  </a:graphic>
                </wp:inline>
              </w:drawing>
            </w:r>
          </w:p>
          <w:p w14:paraId="3FBD2364" w14:textId="77777777" w:rsidR="006B113F" w:rsidRDefault="00D8187E" w:rsidP="000E603A">
            <w:pPr>
              <w:autoSpaceDE w:val="0"/>
              <w:autoSpaceDN w:val="0"/>
              <w:adjustRightInd w:val="0"/>
              <w:rPr>
                <w:lang w:val="en-US"/>
              </w:rPr>
            </w:pPr>
            <w:r>
              <w:rPr>
                <w:lang w:val="en-US"/>
              </w:rPr>
              <w:lastRenderedPageBreak/>
              <w:t>Draw a scatter plot of the data. Is there a relationship between the amounts a corporation spends on advertising and its sales volume?</w:t>
            </w:r>
          </w:p>
          <w:p w14:paraId="56038C1E" w14:textId="77777777" w:rsidR="00D8187E" w:rsidRDefault="00D8187E" w:rsidP="000E603A">
            <w:pPr>
              <w:autoSpaceDE w:val="0"/>
              <w:autoSpaceDN w:val="0"/>
              <w:adjustRightInd w:val="0"/>
              <w:rPr>
                <w:b/>
                <w:bCs/>
                <w:sz w:val="28"/>
                <w:szCs w:val="28"/>
                <w:lang w:val="en-US"/>
              </w:rPr>
            </w:pPr>
          </w:p>
        </w:tc>
      </w:tr>
      <w:tr w:rsidR="006B113F" w14:paraId="02BB91AF" w14:textId="77777777" w:rsidTr="006B113F">
        <w:tc>
          <w:tcPr>
            <w:tcW w:w="9963" w:type="dxa"/>
          </w:tcPr>
          <w:p w14:paraId="2012582B" w14:textId="77777777" w:rsidR="006B113F" w:rsidRDefault="006B113F" w:rsidP="006B113F">
            <w:pPr>
              <w:autoSpaceDE w:val="0"/>
              <w:autoSpaceDN w:val="0"/>
              <w:adjustRightInd w:val="0"/>
              <w:rPr>
                <w:lang w:val="en-US"/>
              </w:rPr>
            </w:pPr>
            <w:r>
              <w:rPr>
                <w:b/>
                <w:lang w:val="en-US"/>
              </w:rPr>
              <w:lastRenderedPageBreak/>
              <w:t>5</w:t>
            </w:r>
            <w:r w:rsidRPr="008A56BC">
              <w:rPr>
                <w:b/>
                <w:lang w:val="en-US"/>
              </w:rPr>
              <w:t>.</w:t>
            </w:r>
            <w:r>
              <w:rPr>
                <w:lang w:val="en-US"/>
              </w:rPr>
              <w:t xml:space="preserve"> Until now an office has used two different computer repair companies when its PCs break down. Now it wishes to take out a maintenance contract with just one of these companies and needs to select which one. The time (in days) it took for the companies to complete the repair for the last 19 breakdowns have been recorded and are given below. Of these 7 were with company </w:t>
            </w:r>
            <w:r>
              <w:rPr>
                <w:b/>
                <w:bCs/>
                <w:lang w:val="en-US"/>
              </w:rPr>
              <w:t xml:space="preserve">A </w:t>
            </w:r>
            <w:r>
              <w:rPr>
                <w:lang w:val="en-US"/>
              </w:rPr>
              <w:t xml:space="preserve">and 12 with company </w:t>
            </w:r>
            <w:r>
              <w:rPr>
                <w:b/>
                <w:bCs/>
                <w:lang w:val="en-US"/>
              </w:rPr>
              <w:t>B</w:t>
            </w:r>
            <w:r>
              <w:rPr>
                <w:lang w:val="en-US"/>
              </w:rPr>
              <w:t>.</w:t>
            </w:r>
          </w:p>
          <w:p w14:paraId="7ACD3299" w14:textId="77777777" w:rsidR="006B113F" w:rsidRDefault="006B113F" w:rsidP="006B113F">
            <w:pPr>
              <w:autoSpaceDE w:val="0"/>
              <w:autoSpaceDN w:val="0"/>
              <w:adjustRightInd w:val="0"/>
              <w:rPr>
                <w:lang w:val="en-US"/>
              </w:rPr>
            </w:pPr>
          </w:p>
          <w:p w14:paraId="2D1B14A4" w14:textId="77777777" w:rsidR="006B113F" w:rsidRPr="00DA3179" w:rsidRDefault="006B113F" w:rsidP="00D8187E">
            <w:pPr>
              <w:autoSpaceDE w:val="0"/>
              <w:autoSpaceDN w:val="0"/>
              <w:adjustRightInd w:val="0"/>
              <w:jc w:val="center"/>
              <w:rPr>
                <w:lang w:val="en-US"/>
              </w:rPr>
            </w:pPr>
            <w:r>
              <w:rPr>
                <w:noProof/>
                <w:lang w:eastAsia="en-GB"/>
              </w:rPr>
              <w:drawing>
                <wp:inline distT="0" distB="0" distL="0" distR="0" wp14:anchorId="5E43165B" wp14:editId="4EBD8D41">
                  <wp:extent cx="52768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38150"/>
                          </a:xfrm>
                          <a:prstGeom prst="rect">
                            <a:avLst/>
                          </a:prstGeom>
                          <a:noFill/>
                          <a:ln>
                            <a:noFill/>
                          </a:ln>
                        </pic:spPr>
                      </pic:pic>
                    </a:graphicData>
                  </a:graphic>
                </wp:inline>
              </w:drawing>
            </w:r>
          </w:p>
          <w:p w14:paraId="02F39134" w14:textId="77777777" w:rsidR="006B113F" w:rsidRDefault="006B113F" w:rsidP="006B113F">
            <w:pPr>
              <w:autoSpaceDE w:val="0"/>
              <w:autoSpaceDN w:val="0"/>
              <w:adjustRightInd w:val="0"/>
              <w:rPr>
                <w:lang w:val="en-US"/>
              </w:rPr>
            </w:pPr>
          </w:p>
          <w:p w14:paraId="55161F27" w14:textId="77777777" w:rsidR="006B113F" w:rsidRPr="00AA5D0B" w:rsidRDefault="006B113F" w:rsidP="00AA5D0B">
            <w:pPr>
              <w:pStyle w:val="ListParagraph"/>
              <w:numPr>
                <w:ilvl w:val="0"/>
                <w:numId w:val="6"/>
              </w:numPr>
              <w:autoSpaceDE w:val="0"/>
              <w:autoSpaceDN w:val="0"/>
              <w:adjustRightInd w:val="0"/>
              <w:rPr>
                <w:lang w:val="en-US"/>
              </w:rPr>
            </w:pPr>
            <w:r w:rsidRPr="00AA5D0B">
              <w:rPr>
                <w:lang w:val="en-US"/>
              </w:rPr>
              <w:t>Calculate the mean, the median and the mode delivery time for each company.</w:t>
            </w:r>
          </w:p>
          <w:p w14:paraId="4CB5FBE7" w14:textId="77777777" w:rsidR="006B113F" w:rsidRPr="00AA5D0B" w:rsidRDefault="006B113F" w:rsidP="00AA5D0B">
            <w:pPr>
              <w:pStyle w:val="ListParagraph"/>
              <w:numPr>
                <w:ilvl w:val="0"/>
                <w:numId w:val="6"/>
              </w:numPr>
              <w:autoSpaceDE w:val="0"/>
              <w:autoSpaceDN w:val="0"/>
              <w:adjustRightInd w:val="0"/>
              <w:rPr>
                <w:lang w:val="en-US"/>
              </w:rPr>
            </w:pPr>
            <w:r w:rsidRPr="00AA5D0B">
              <w:rPr>
                <w:lang w:val="en-US"/>
              </w:rPr>
              <w:t>Calculate the standard deviation of the delivery times for each company.</w:t>
            </w:r>
          </w:p>
          <w:p w14:paraId="7C8DAA80" w14:textId="77777777" w:rsidR="006B113F" w:rsidRPr="00AA5D0B" w:rsidRDefault="006B113F" w:rsidP="00AA5D0B">
            <w:pPr>
              <w:pStyle w:val="ListParagraph"/>
              <w:numPr>
                <w:ilvl w:val="0"/>
                <w:numId w:val="6"/>
              </w:numPr>
              <w:autoSpaceDE w:val="0"/>
              <w:autoSpaceDN w:val="0"/>
              <w:adjustRightInd w:val="0"/>
              <w:rPr>
                <w:lang w:val="en-US"/>
              </w:rPr>
            </w:pPr>
            <w:r w:rsidRPr="00AA5D0B">
              <w:rPr>
                <w:lang w:val="en-US"/>
              </w:rPr>
              <w:t>Calculate the range for each company.</w:t>
            </w:r>
          </w:p>
          <w:p w14:paraId="61D2EBAE" w14:textId="77777777" w:rsidR="006B113F" w:rsidRDefault="006B113F" w:rsidP="006B113F">
            <w:pPr>
              <w:autoSpaceDE w:val="0"/>
              <w:autoSpaceDN w:val="0"/>
              <w:adjustRightInd w:val="0"/>
              <w:rPr>
                <w:lang w:val="en-US"/>
              </w:rPr>
            </w:pPr>
          </w:p>
          <w:p w14:paraId="73A863B9" w14:textId="77777777" w:rsidR="006B113F" w:rsidRDefault="006B113F" w:rsidP="006B113F">
            <w:pPr>
              <w:autoSpaceDE w:val="0"/>
              <w:autoSpaceDN w:val="0"/>
              <w:adjustRightInd w:val="0"/>
              <w:rPr>
                <w:lang w:val="en-US"/>
              </w:rPr>
            </w:pPr>
            <w:r>
              <w:rPr>
                <w:lang w:val="en-US"/>
              </w:rPr>
              <w:t>What advice would you give to the office on the basis of your results?</w:t>
            </w:r>
          </w:p>
          <w:p w14:paraId="1E06B788" w14:textId="77777777" w:rsidR="006B113F" w:rsidRPr="004F059C" w:rsidRDefault="006B113F" w:rsidP="006B113F">
            <w:pPr>
              <w:autoSpaceDE w:val="0"/>
              <w:autoSpaceDN w:val="0"/>
              <w:adjustRightInd w:val="0"/>
              <w:rPr>
                <w:b/>
                <w:lang w:val="en-US"/>
              </w:rPr>
            </w:pPr>
          </w:p>
        </w:tc>
      </w:tr>
      <w:tr w:rsidR="00BE1304" w14:paraId="3424BF16" w14:textId="77777777" w:rsidTr="006B113F">
        <w:tc>
          <w:tcPr>
            <w:tcW w:w="9963" w:type="dxa"/>
          </w:tcPr>
          <w:p w14:paraId="53014B1D" w14:textId="0E394829" w:rsidR="00BE1304" w:rsidRDefault="00BE1304" w:rsidP="006B113F">
            <w:pPr>
              <w:autoSpaceDE w:val="0"/>
              <w:autoSpaceDN w:val="0"/>
              <w:adjustRightInd w:val="0"/>
              <w:rPr>
                <w:bCs/>
                <w:lang w:val="en-US"/>
              </w:rPr>
            </w:pPr>
            <w:r w:rsidRPr="00BE1304">
              <w:rPr>
                <w:bCs/>
                <w:lang w:val="en-US"/>
              </w:rPr>
              <w:t>6. The fol</w:t>
            </w:r>
            <w:r w:rsidR="00FE0D78">
              <w:rPr>
                <w:bCs/>
                <w:lang w:val="en-US"/>
              </w:rPr>
              <w:t>lowing data on price of houses that are currently advertised in two different areas of Leeds are presented to a potential new buyer who is deciding which area of the market they want to focus on</w:t>
            </w:r>
            <w:r w:rsidR="00A7465B">
              <w:rPr>
                <w:bCs/>
                <w:lang w:val="en-US"/>
              </w:rPr>
              <w:t xml:space="preserve"> based on price volatility</w:t>
            </w:r>
            <w:r w:rsidR="00FE0D78">
              <w:rPr>
                <w:bCs/>
                <w:lang w:val="en-US"/>
              </w:rPr>
              <w:t>. The price unit is</w:t>
            </w:r>
            <w:r w:rsidR="00A7465B">
              <w:rPr>
                <w:bCs/>
                <w:lang w:val="en-US"/>
              </w:rPr>
              <w:t xml:space="preserve"> in</w:t>
            </w:r>
            <w:r w:rsidR="00FE0D78">
              <w:rPr>
                <w:bCs/>
                <w:lang w:val="en-US"/>
              </w:rPr>
              <w:t xml:space="preserve"> </w:t>
            </w:r>
            <w:r w:rsidR="00FE0D78">
              <w:rPr>
                <w:rFonts w:ascii="Arial" w:hAnsi="Arial" w:cs="Arial"/>
                <w:sz w:val="20"/>
                <w:szCs w:val="20"/>
                <w:lang w:val="en-US"/>
              </w:rPr>
              <w:t>£</w:t>
            </w:r>
            <w:r w:rsidR="00FE0D78">
              <w:rPr>
                <w:rFonts w:ascii="Arial" w:hAnsi="Arial" w:cs="Arial"/>
                <w:sz w:val="20"/>
                <w:szCs w:val="20"/>
                <w:lang w:val="en-US"/>
              </w:rPr>
              <w:t>k</w:t>
            </w:r>
          </w:p>
          <w:p w14:paraId="120F8E39" w14:textId="79CFE7F6" w:rsidR="00FE0D78" w:rsidRDefault="00FE0D78" w:rsidP="006B113F">
            <w:pPr>
              <w:autoSpaceDE w:val="0"/>
              <w:autoSpaceDN w:val="0"/>
              <w:adjustRightInd w:val="0"/>
              <w:rPr>
                <w:bCs/>
                <w:lang w:val="en-US"/>
              </w:rPr>
            </w:pPr>
          </w:p>
          <w:tbl>
            <w:tblPr>
              <w:tblStyle w:val="TableGrid"/>
              <w:tblW w:w="0" w:type="auto"/>
              <w:tblLook w:val="04A0" w:firstRow="1" w:lastRow="0" w:firstColumn="1" w:lastColumn="0" w:noHBand="0" w:noVBand="1"/>
            </w:tblPr>
            <w:tblGrid>
              <w:gridCol w:w="882"/>
              <w:gridCol w:w="829"/>
              <w:gridCol w:w="828"/>
              <w:gridCol w:w="828"/>
              <w:gridCol w:w="828"/>
              <w:gridCol w:w="828"/>
              <w:gridCol w:w="828"/>
              <w:gridCol w:w="828"/>
              <w:gridCol w:w="829"/>
              <w:gridCol w:w="829"/>
              <w:gridCol w:w="700"/>
              <w:gridCol w:w="700"/>
            </w:tblGrid>
            <w:tr w:rsidR="00A7465B" w14:paraId="646344B5" w14:textId="7FD7653B" w:rsidTr="00A7465B">
              <w:tc>
                <w:tcPr>
                  <w:tcW w:w="882" w:type="dxa"/>
                </w:tcPr>
                <w:p w14:paraId="4C831924" w14:textId="614A22EE" w:rsidR="00A7465B" w:rsidRPr="00FE0D78" w:rsidRDefault="00A7465B" w:rsidP="006B113F">
                  <w:pPr>
                    <w:autoSpaceDE w:val="0"/>
                    <w:autoSpaceDN w:val="0"/>
                    <w:adjustRightInd w:val="0"/>
                    <w:rPr>
                      <w:b/>
                      <w:lang w:val="en-US"/>
                    </w:rPr>
                  </w:pPr>
                  <w:r w:rsidRPr="00FE0D78">
                    <w:rPr>
                      <w:b/>
                      <w:lang w:val="en-US"/>
                    </w:rPr>
                    <w:t>A</w:t>
                  </w:r>
                </w:p>
              </w:tc>
              <w:tc>
                <w:tcPr>
                  <w:tcW w:w="829" w:type="dxa"/>
                </w:tcPr>
                <w:p w14:paraId="5C68605B" w14:textId="211AADDA" w:rsidR="00A7465B" w:rsidRDefault="00A7465B" w:rsidP="00FE0D78">
                  <w:pPr>
                    <w:autoSpaceDE w:val="0"/>
                    <w:autoSpaceDN w:val="0"/>
                    <w:adjustRightInd w:val="0"/>
                    <w:jc w:val="center"/>
                    <w:rPr>
                      <w:bCs/>
                      <w:lang w:val="en-US"/>
                    </w:rPr>
                  </w:pPr>
                  <w:r>
                    <w:rPr>
                      <w:bCs/>
                      <w:lang w:val="en-US"/>
                    </w:rPr>
                    <w:t>120</w:t>
                  </w:r>
                </w:p>
              </w:tc>
              <w:tc>
                <w:tcPr>
                  <w:tcW w:w="828" w:type="dxa"/>
                </w:tcPr>
                <w:p w14:paraId="2B455A94" w14:textId="7201B965" w:rsidR="00A7465B" w:rsidRDefault="00A7465B" w:rsidP="00FE0D78">
                  <w:pPr>
                    <w:autoSpaceDE w:val="0"/>
                    <w:autoSpaceDN w:val="0"/>
                    <w:adjustRightInd w:val="0"/>
                    <w:jc w:val="center"/>
                    <w:rPr>
                      <w:bCs/>
                      <w:lang w:val="en-US"/>
                    </w:rPr>
                  </w:pPr>
                  <w:r>
                    <w:rPr>
                      <w:bCs/>
                      <w:lang w:val="en-US"/>
                    </w:rPr>
                    <w:t>350</w:t>
                  </w:r>
                </w:p>
              </w:tc>
              <w:tc>
                <w:tcPr>
                  <w:tcW w:w="828" w:type="dxa"/>
                </w:tcPr>
                <w:p w14:paraId="1EB0993D" w14:textId="17CEE6FB" w:rsidR="00A7465B" w:rsidRDefault="00A7465B" w:rsidP="00FE0D78">
                  <w:pPr>
                    <w:autoSpaceDE w:val="0"/>
                    <w:autoSpaceDN w:val="0"/>
                    <w:adjustRightInd w:val="0"/>
                    <w:jc w:val="center"/>
                    <w:rPr>
                      <w:bCs/>
                      <w:lang w:val="en-US"/>
                    </w:rPr>
                  </w:pPr>
                  <w:r>
                    <w:rPr>
                      <w:bCs/>
                      <w:lang w:val="en-US"/>
                    </w:rPr>
                    <w:t>250</w:t>
                  </w:r>
                </w:p>
              </w:tc>
              <w:tc>
                <w:tcPr>
                  <w:tcW w:w="828" w:type="dxa"/>
                </w:tcPr>
                <w:p w14:paraId="77F378D9" w14:textId="05723C47" w:rsidR="00A7465B" w:rsidRDefault="00A7465B" w:rsidP="00FE0D78">
                  <w:pPr>
                    <w:autoSpaceDE w:val="0"/>
                    <w:autoSpaceDN w:val="0"/>
                    <w:adjustRightInd w:val="0"/>
                    <w:jc w:val="center"/>
                    <w:rPr>
                      <w:bCs/>
                      <w:lang w:val="en-US"/>
                    </w:rPr>
                  </w:pPr>
                  <w:r>
                    <w:rPr>
                      <w:bCs/>
                      <w:lang w:val="en-US"/>
                    </w:rPr>
                    <w:t>170</w:t>
                  </w:r>
                </w:p>
              </w:tc>
              <w:tc>
                <w:tcPr>
                  <w:tcW w:w="828" w:type="dxa"/>
                </w:tcPr>
                <w:p w14:paraId="527005CE" w14:textId="43255BCD" w:rsidR="00A7465B" w:rsidRDefault="00A7465B" w:rsidP="00FE0D78">
                  <w:pPr>
                    <w:autoSpaceDE w:val="0"/>
                    <w:autoSpaceDN w:val="0"/>
                    <w:adjustRightInd w:val="0"/>
                    <w:jc w:val="center"/>
                    <w:rPr>
                      <w:bCs/>
                      <w:lang w:val="en-US"/>
                    </w:rPr>
                  </w:pPr>
                  <w:r>
                    <w:rPr>
                      <w:bCs/>
                      <w:lang w:val="en-US"/>
                    </w:rPr>
                    <w:t>450</w:t>
                  </w:r>
                </w:p>
              </w:tc>
              <w:tc>
                <w:tcPr>
                  <w:tcW w:w="828" w:type="dxa"/>
                </w:tcPr>
                <w:p w14:paraId="2E9B9C1C" w14:textId="3549AC4A" w:rsidR="00A7465B" w:rsidRDefault="00A7465B" w:rsidP="00FE0D78">
                  <w:pPr>
                    <w:autoSpaceDE w:val="0"/>
                    <w:autoSpaceDN w:val="0"/>
                    <w:adjustRightInd w:val="0"/>
                    <w:jc w:val="center"/>
                    <w:rPr>
                      <w:bCs/>
                      <w:lang w:val="en-US"/>
                    </w:rPr>
                  </w:pPr>
                  <w:r>
                    <w:rPr>
                      <w:bCs/>
                      <w:lang w:val="en-US"/>
                    </w:rPr>
                    <w:t>220</w:t>
                  </w:r>
                </w:p>
              </w:tc>
              <w:tc>
                <w:tcPr>
                  <w:tcW w:w="828" w:type="dxa"/>
                </w:tcPr>
                <w:p w14:paraId="22C0A3B5" w14:textId="6DCAF821" w:rsidR="00A7465B" w:rsidRDefault="00A7465B" w:rsidP="00FE0D78">
                  <w:pPr>
                    <w:autoSpaceDE w:val="0"/>
                    <w:autoSpaceDN w:val="0"/>
                    <w:adjustRightInd w:val="0"/>
                    <w:jc w:val="center"/>
                    <w:rPr>
                      <w:bCs/>
                      <w:lang w:val="en-US"/>
                    </w:rPr>
                  </w:pPr>
                  <w:r>
                    <w:rPr>
                      <w:bCs/>
                      <w:lang w:val="en-US"/>
                    </w:rPr>
                    <w:t>230</w:t>
                  </w:r>
                </w:p>
              </w:tc>
              <w:tc>
                <w:tcPr>
                  <w:tcW w:w="829" w:type="dxa"/>
                </w:tcPr>
                <w:p w14:paraId="53551FCF" w14:textId="238E324A" w:rsidR="00A7465B" w:rsidRDefault="00A7465B" w:rsidP="00FE0D78">
                  <w:pPr>
                    <w:autoSpaceDE w:val="0"/>
                    <w:autoSpaceDN w:val="0"/>
                    <w:adjustRightInd w:val="0"/>
                    <w:jc w:val="center"/>
                    <w:rPr>
                      <w:bCs/>
                      <w:lang w:val="en-US"/>
                    </w:rPr>
                  </w:pPr>
                  <w:r>
                    <w:rPr>
                      <w:bCs/>
                      <w:lang w:val="en-US"/>
                    </w:rPr>
                    <w:t>240</w:t>
                  </w:r>
                </w:p>
              </w:tc>
              <w:tc>
                <w:tcPr>
                  <w:tcW w:w="829" w:type="dxa"/>
                </w:tcPr>
                <w:p w14:paraId="03B225DD" w14:textId="00D8AFD6" w:rsidR="00A7465B" w:rsidRDefault="00A7465B" w:rsidP="00FE0D78">
                  <w:pPr>
                    <w:autoSpaceDE w:val="0"/>
                    <w:autoSpaceDN w:val="0"/>
                    <w:adjustRightInd w:val="0"/>
                    <w:jc w:val="center"/>
                    <w:rPr>
                      <w:bCs/>
                      <w:lang w:val="en-US"/>
                    </w:rPr>
                  </w:pPr>
                  <w:r>
                    <w:rPr>
                      <w:bCs/>
                      <w:lang w:val="en-US"/>
                    </w:rPr>
                    <w:t>110</w:t>
                  </w:r>
                </w:p>
              </w:tc>
              <w:tc>
                <w:tcPr>
                  <w:tcW w:w="700" w:type="dxa"/>
                </w:tcPr>
                <w:p w14:paraId="2DA39D9B" w14:textId="6D5E2A67" w:rsidR="00A7465B" w:rsidRDefault="00A7465B" w:rsidP="00FE0D78">
                  <w:pPr>
                    <w:autoSpaceDE w:val="0"/>
                    <w:autoSpaceDN w:val="0"/>
                    <w:adjustRightInd w:val="0"/>
                    <w:jc w:val="center"/>
                    <w:rPr>
                      <w:bCs/>
                      <w:lang w:val="en-US"/>
                    </w:rPr>
                  </w:pPr>
                  <w:r>
                    <w:rPr>
                      <w:bCs/>
                      <w:lang w:val="en-US"/>
                    </w:rPr>
                    <w:t>340</w:t>
                  </w:r>
                </w:p>
              </w:tc>
              <w:tc>
                <w:tcPr>
                  <w:tcW w:w="700" w:type="dxa"/>
                </w:tcPr>
                <w:p w14:paraId="05538844" w14:textId="3ED65CF2" w:rsidR="00A7465B" w:rsidRDefault="00A7465B" w:rsidP="00FE0D78">
                  <w:pPr>
                    <w:autoSpaceDE w:val="0"/>
                    <w:autoSpaceDN w:val="0"/>
                    <w:adjustRightInd w:val="0"/>
                    <w:jc w:val="center"/>
                    <w:rPr>
                      <w:bCs/>
                      <w:lang w:val="en-US"/>
                    </w:rPr>
                  </w:pPr>
                  <w:r>
                    <w:rPr>
                      <w:bCs/>
                      <w:lang w:val="en-US"/>
                    </w:rPr>
                    <w:t>120</w:t>
                  </w:r>
                </w:p>
              </w:tc>
            </w:tr>
            <w:tr w:rsidR="00A7465B" w14:paraId="1AE02FF0" w14:textId="709F47AE" w:rsidTr="00A7465B">
              <w:tc>
                <w:tcPr>
                  <w:tcW w:w="882" w:type="dxa"/>
                </w:tcPr>
                <w:p w14:paraId="4F4FC126" w14:textId="742AE9E9" w:rsidR="00A7465B" w:rsidRPr="00FE0D78" w:rsidRDefault="00A7465B" w:rsidP="006B113F">
                  <w:pPr>
                    <w:autoSpaceDE w:val="0"/>
                    <w:autoSpaceDN w:val="0"/>
                    <w:adjustRightInd w:val="0"/>
                    <w:rPr>
                      <w:b/>
                      <w:lang w:val="en-US"/>
                    </w:rPr>
                  </w:pPr>
                  <w:r w:rsidRPr="00FE0D78">
                    <w:rPr>
                      <w:b/>
                      <w:lang w:val="en-US"/>
                    </w:rPr>
                    <w:t>B</w:t>
                  </w:r>
                </w:p>
              </w:tc>
              <w:tc>
                <w:tcPr>
                  <w:tcW w:w="829" w:type="dxa"/>
                </w:tcPr>
                <w:p w14:paraId="41B1B023" w14:textId="7E2E93D8" w:rsidR="00A7465B" w:rsidRDefault="00A7465B" w:rsidP="00FE0D78">
                  <w:pPr>
                    <w:autoSpaceDE w:val="0"/>
                    <w:autoSpaceDN w:val="0"/>
                    <w:adjustRightInd w:val="0"/>
                    <w:jc w:val="center"/>
                    <w:rPr>
                      <w:bCs/>
                      <w:lang w:val="en-US"/>
                    </w:rPr>
                  </w:pPr>
                  <w:r>
                    <w:rPr>
                      <w:bCs/>
                      <w:lang w:val="en-US"/>
                    </w:rPr>
                    <w:t>200</w:t>
                  </w:r>
                </w:p>
              </w:tc>
              <w:tc>
                <w:tcPr>
                  <w:tcW w:w="828" w:type="dxa"/>
                </w:tcPr>
                <w:p w14:paraId="58BF06AE" w14:textId="4EDEEA41" w:rsidR="00A7465B" w:rsidRDefault="00A7465B" w:rsidP="00FE0D78">
                  <w:pPr>
                    <w:autoSpaceDE w:val="0"/>
                    <w:autoSpaceDN w:val="0"/>
                    <w:adjustRightInd w:val="0"/>
                    <w:jc w:val="center"/>
                    <w:rPr>
                      <w:bCs/>
                      <w:lang w:val="en-US"/>
                    </w:rPr>
                  </w:pPr>
                  <w:r>
                    <w:rPr>
                      <w:bCs/>
                      <w:lang w:val="en-US"/>
                    </w:rPr>
                    <w:t>210</w:t>
                  </w:r>
                </w:p>
              </w:tc>
              <w:tc>
                <w:tcPr>
                  <w:tcW w:w="828" w:type="dxa"/>
                </w:tcPr>
                <w:p w14:paraId="3370247E" w14:textId="322B9F6C" w:rsidR="00A7465B" w:rsidRDefault="00A7465B" w:rsidP="00FE0D78">
                  <w:pPr>
                    <w:autoSpaceDE w:val="0"/>
                    <w:autoSpaceDN w:val="0"/>
                    <w:adjustRightInd w:val="0"/>
                    <w:jc w:val="center"/>
                    <w:rPr>
                      <w:bCs/>
                      <w:lang w:val="en-US"/>
                    </w:rPr>
                  </w:pPr>
                  <w:r>
                    <w:rPr>
                      <w:bCs/>
                      <w:lang w:val="en-US"/>
                    </w:rPr>
                    <w:t>220</w:t>
                  </w:r>
                </w:p>
              </w:tc>
              <w:tc>
                <w:tcPr>
                  <w:tcW w:w="828" w:type="dxa"/>
                </w:tcPr>
                <w:p w14:paraId="7034C319" w14:textId="2A19A167" w:rsidR="00A7465B" w:rsidRDefault="00A7465B" w:rsidP="00FE0D78">
                  <w:pPr>
                    <w:autoSpaceDE w:val="0"/>
                    <w:autoSpaceDN w:val="0"/>
                    <w:adjustRightInd w:val="0"/>
                    <w:jc w:val="center"/>
                    <w:rPr>
                      <w:bCs/>
                      <w:lang w:val="en-US"/>
                    </w:rPr>
                  </w:pPr>
                  <w:r>
                    <w:rPr>
                      <w:bCs/>
                      <w:lang w:val="en-US"/>
                    </w:rPr>
                    <w:t>190</w:t>
                  </w:r>
                </w:p>
              </w:tc>
              <w:tc>
                <w:tcPr>
                  <w:tcW w:w="828" w:type="dxa"/>
                </w:tcPr>
                <w:p w14:paraId="332D814E" w14:textId="7EA5F0B1" w:rsidR="00A7465B" w:rsidRDefault="00A7465B" w:rsidP="00FE0D78">
                  <w:pPr>
                    <w:autoSpaceDE w:val="0"/>
                    <w:autoSpaceDN w:val="0"/>
                    <w:adjustRightInd w:val="0"/>
                    <w:jc w:val="center"/>
                    <w:rPr>
                      <w:bCs/>
                      <w:lang w:val="en-US"/>
                    </w:rPr>
                  </w:pPr>
                  <w:r>
                    <w:rPr>
                      <w:bCs/>
                      <w:lang w:val="en-US"/>
                    </w:rPr>
                    <w:t>240</w:t>
                  </w:r>
                </w:p>
              </w:tc>
              <w:tc>
                <w:tcPr>
                  <w:tcW w:w="828" w:type="dxa"/>
                </w:tcPr>
                <w:p w14:paraId="73C6647A" w14:textId="5D84F81B" w:rsidR="00A7465B" w:rsidRDefault="00A7465B" w:rsidP="00FE0D78">
                  <w:pPr>
                    <w:autoSpaceDE w:val="0"/>
                    <w:autoSpaceDN w:val="0"/>
                    <w:adjustRightInd w:val="0"/>
                    <w:jc w:val="center"/>
                    <w:rPr>
                      <w:bCs/>
                      <w:lang w:val="en-US"/>
                    </w:rPr>
                  </w:pPr>
                  <w:r>
                    <w:rPr>
                      <w:bCs/>
                      <w:lang w:val="en-US"/>
                    </w:rPr>
                    <w:t>270</w:t>
                  </w:r>
                </w:p>
              </w:tc>
              <w:tc>
                <w:tcPr>
                  <w:tcW w:w="828" w:type="dxa"/>
                </w:tcPr>
                <w:p w14:paraId="1D097FAD" w14:textId="3FB223EF" w:rsidR="00A7465B" w:rsidRDefault="00A7465B" w:rsidP="00FE0D78">
                  <w:pPr>
                    <w:autoSpaceDE w:val="0"/>
                    <w:autoSpaceDN w:val="0"/>
                    <w:adjustRightInd w:val="0"/>
                    <w:jc w:val="center"/>
                    <w:rPr>
                      <w:bCs/>
                      <w:lang w:val="en-US"/>
                    </w:rPr>
                  </w:pPr>
                  <w:r>
                    <w:rPr>
                      <w:bCs/>
                      <w:lang w:val="en-US"/>
                    </w:rPr>
                    <w:t>240</w:t>
                  </w:r>
                </w:p>
              </w:tc>
              <w:tc>
                <w:tcPr>
                  <w:tcW w:w="829" w:type="dxa"/>
                </w:tcPr>
                <w:p w14:paraId="1073E44C" w14:textId="2A8340E4" w:rsidR="00A7465B" w:rsidRDefault="00A7465B" w:rsidP="00FE0D78">
                  <w:pPr>
                    <w:autoSpaceDE w:val="0"/>
                    <w:autoSpaceDN w:val="0"/>
                    <w:adjustRightInd w:val="0"/>
                    <w:jc w:val="center"/>
                    <w:rPr>
                      <w:bCs/>
                      <w:lang w:val="en-US"/>
                    </w:rPr>
                  </w:pPr>
                  <w:r>
                    <w:rPr>
                      <w:bCs/>
                      <w:lang w:val="en-US"/>
                    </w:rPr>
                    <w:t>200</w:t>
                  </w:r>
                </w:p>
              </w:tc>
              <w:tc>
                <w:tcPr>
                  <w:tcW w:w="829" w:type="dxa"/>
                </w:tcPr>
                <w:p w14:paraId="4909DFEC" w14:textId="5D6EBAD1" w:rsidR="00A7465B" w:rsidRDefault="00A7465B" w:rsidP="00FE0D78">
                  <w:pPr>
                    <w:autoSpaceDE w:val="0"/>
                    <w:autoSpaceDN w:val="0"/>
                    <w:adjustRightInd w:val="0"/>
                    <w:jc w:val="center"/>
                    <w:rPr>
                      <w:bCs/>
                      <w:lang w:val="en-US"/>
                    </w:rPr>
                  </w:pPr>
                  <w:r>
                    <w:rPr>
                      <w:bCs/>
                      <w:lang w:val="en-US"/>
                    </w:rPr>
                    <w:t>250</w:t>
                  </w:r>
                </w:p>
              </w:tc>
              <w:tc>
                <w:tcPr>
                  <w:tcW w:w="700" w:type="dxa"/>
                </w:tcPr>
                <w:p w14:paraId="16374476" w14:textId="77777777" w:rsidR="00A7465B" w:rsidRDefault="00A7465B" w:rsidP="00FE0D78">
                  <w:pPr>
                    <w:autoSpaceDE w:val="0"/>
                    <w:autoSpaceDN w:val="0"/>
                    <w:adjustRightInd w:val="0"/>
                    <w:jc w:val="center"/>
                    <w:rPr>
                      <w:bCs/>
                      <w:lang w:val="en-US"/>
                    </w:rPr>
                  </w:pPr>
                </w:p>
              </w:tc>
              <w:tc>
                <w:tcPr>
                  <w:tcW w:w="700" w:type="dxa"/>
                </w:tcPr>
                <w:p w14:paraId="298DDA25" w14:textId="78E221CA" w:rsidR="00A7465B" w:rsidRDefault="00A7465B" w:rsidP="00FE0D78">
                  <w:pPr>
                    <w:autoSpaceDE w:val="0"/>
                    <w:autoSpaceDN w:val="0"/>
                    <w:adjustRightInd w:val="0"/>
                    <w:jc w:val="center"/>
                    <w:rPr>
                      <w:bCs/>
                      <w:lang w:val="en-US"/>
                    </w:rPr>
                  </w:pPr>
                </w:p>
              </w:tc>
            </w:tr>
          </w:tbl>
          <w:p w14:paraId="3802BE9B" w14:textId="77777777" w:rsidR="00FE0D78" w:rsidRDefault="00FE0D78" w:rsidP="006B113F">
            <w:pPr>
              <w:autoSpaceDE w:val="0"/>
              <w:autoSpaceDN w:val="0"/>
              <w:adjustRightInd w:val="0"/>
              <w:rPr>
                <w:bCs/>
                <w:lang w:val="en-US"/>
              </w:rPr>
            </w:pPr>
          </w:p>
          <w:p w14:paraId="23AAC85E" w14:textId="6B1B62D9" w:rsidR="00A7465B" w:rsidRPr="00AA5D0B" w:rsidRDefault="00A7465B" w:rsidP="00A7465B">
            <w:pPr>
              <w:pStyle w:val="ListParagraph"/>
              <w:numPr>
                <w:ilvl w:val="0"/>
                <w:numId w:val="8"/>
              </w:numPr>
              <w:autoSpaceDE w:val="0"/>
              <w:autoSpaceDN w:val="0"/>
              <w:adjustRightInd w:val="0"/>
              <w:rPr>
                <w:lang w:val="en-US"/>
              </w:rPr>
            </w:pPr>
            <w:r w:rsidRPr="00AA5D0B">
              <w:rPr>
                <w:lang w:val="en-US"/>
              </w:rPr>
              <w:t>Calculate the mean</w:t>
            </w:r>
            <w:r>
              <w:rPr>
                <w:lang w:val="en-US"/>
              </w:rPr>
              <w:t xml:space="preserve"> </w:t>
            </w:r>
            <w:r w:rsidRPr="00AA5D0B">
              <w:rPr>
                <w:lang w:val="en-US"/>
              </w:rPr>
              <w:t xml:space="preserve">and the </w:t>
            </w:r>
            <w:r>
              <w:rPr>
                <w:lang w:val="en-US"/>
              </w:rPr>
              <w:t>median</w:t>
            </w:r>
            <w:r w:rsidRPr="00AA5D0B">
              <w:rPr>
                <w:lang w:val="en-US"/>
              </w:rPr>
              <w:t xml:space="preserve"> </w:t>
            </w:r>
            <w:r>
              <w:rPr>
                <w:lang w:val="en-US"/>
              </w:rPr>
              <w:t xml:space="preserve">house price for </w:t>
            </w:r>
            <w:r w:rsidR="009D7834">
              <w:rPr>
                <w:lang w:val="en-US"/>
              </w:rPr>
              <w:t>both areas</w:t>
            </w:r>
            <w:r w:rsidRPr="00AA5D0B">
              <w:rPr>
                <w:lang w:val="en-US"/>
              </w:rPr>
              <w:t>.</w:t>
            </w:r>
          </w:p>
          <w:p w14:paraId="69D58D1F" w14:textId="75FF498B" w:rsidR="00A7465B" w:rsidRPr="00AA5D0B" w:rsidRDefault="00A7465B" w:rsidP="00A7465B">
            <w:pPr>
              <w:pStyle w:val="ListParagraph"/>
              <w:numPr>
                <w:ilvl w:val="0"/>
                <w:numId w:val="8"/>
              </w:numPr>
              <w:autoSpaceDE w:val="0"/>
              <w:autoSpaceDN w:val="0"/>
              <w:adjustRightInd w:val="0"/>
              <w:rPr>
                <w:lang w:val="en-US"/>
              </w:rPr>
            </w:pPr>
            <w:r w:rsidRPr="00AA5D0B">
              <w:rPr>
                <w:lang w:val="en-US"/>
              </w:rPr>
              <w:t xml:space="preserve">Calculate the standard deviation of the </w:t>
            </w:r>
            <w:r w:rsidR="009D7834">
              <w:rPr>
                <w:lang w:val="en-US"/>
              </w:rPr>
              <w:t xml:space="preserve">house price </w:t>
            </w:r>
            <w:r w:rsidRPr="00AA5D0B">
              <w:rPr>
                <w:lang w:val="en-US"/>
              </w:rPr>
              <w:t xml:space="preserve">for </w:t>
            </w:r>
            <w:r w:rsidR="009D7834">
              <w:rPr>
                <w:lang w:val="en-US"/>
              </w:rPr>
              <w:t>both areas</w:t>
            </w:r>
            <w:r w:rsidRPr="00AA5D0B">
              <w:rPr>
                <w:lang w:val="en-US"/>
              </w:rPr>
              <w:t>.</w:t>
            </w:r>
          </w:p>
          <w:p w14:paraId="4093C956" w14:textId="6CBE83A7" w:rsidR="00A7465B" w:rsidRDefault="00A7465B" w:rsidP="00A7465B">
            <w:pPr>
              <w:pStyle w:val="ListParagraph"/>
              <w:numPr>
                <w:ilvl w:val="0"/>
                <w:numId w:val="8"/>
              </w:numPr>
              <w:autoSpaceDE w:val="0"/>
              <w:autoSpaceDN w:val="0"/>
              <w:adjustRightInd w:val="0"/>
              <w:rPr>
                <w:lang w:val="en-US"/>
              </w:rPr>
            </w:pPr>
            <w:r w:rsidRPr="00AA5D0B">
              <w:rPr>
                <w:lang w:val="en-US"/>
              </w:rPr>
              <w:t xml:space="preserve">Calculate the range for each </w:t>
            </w:r>
            <w:r w:rsidR="009D7834">
              <w:rPr>
                <w:lang w:val="en-US"/>
              </w:rPr>
              <w:t>area</w:t>
            </w:r>
            <w:r w:rsidRPr="00AA5D0B">
              <w:rPr>
                <w:lang w:val="en-US"/>
              </w:rPr>
              <w:t>.</w:t>
            </w:r>
          </w:p>
          <w:p w14:paraId="1961CDA1" w14:textId="7EF4B58E" w:rsidR="009D7834" w:rsidRPr="00AA5D0B" w:rsidRDefault="009D7834" w:rsidP="00A7465B">
            <w:pPr>
              <w:pStyle w:val="ListParagraph"/>
              <w:numPr>
                <w:ilvl w:val="0"/>
                <w:numId w:val="8"/>
              </w:numPr>
              <w:autoSpaceDE w:val="0"/>
              <w:autoSpaceDN w:val="0"/>
              <w:adjustRightInd w:val="0"/>
              <w:rPr>
                <w:lang w:val="en-US"/>
              </w:rPr>
            </w:pPr>
            <w:r>
              <w:rPr>
                <w:lang w:val="en-US"/>
              </w:rPr>
              <w:t>If the new buyer wants to focus on area with less volatility, which area should they focused in and why? What do they stand to lose from this?</w:t>
            </w:r>
          </w:p>
          <w:p w14:paraId="2B854E97" w14:textId="7375EB4D" w:rsidR="00A7465B" w:rsidRPr="00BE1304" w:rsidRDefault="00A7465B" w:rsidP="006B113F">
            <w:pPr>
              <w:autoSpaceDE w:val="0"/>
              <w:autoSpaceDN w:val="0"/>
              <w:adjustRightInd w:val="0"/>
              <w:rPr>
                <w:bCs/>
                <w:lang w:val="en-US"/>
              </w:rPr>
            </w:pPr>
          </w:p>
        </w:tc>
      </w:tr>
      <w:tr w:rsidR="006B113F" w14:paraId="2BEBE746" w14:textId="77777777" w:rsidTr="006B113F">
        <w:tc>
          <w:tcPr>
            <w:tcW w:w="9963" w:type="dxa"/>
          </w:tcPr>
          <w:p w14:paraId="70D09FAB" w14:textId="0BF4A5C6" w:rsidR="006B113F" w:rsidRDefault="00BE1304" w:rsidP="006B113F">
            <w:pPr>
              <w:autoSpaceDE w:val="0"/>
              <w:autoSpaceDN w:val="0"/>
              <w:adjustRightInd w:val="0"/>
              <w:rPr>
                <w:lang w:val="en-US"/>
              </w:rPr>
            </w:pPr>
            <w:r>
              <w:rPr>
                <w:b/>
                <w:lang w:val="en-US"/>
              </w:rPr>
              <w:t>7</w:t>
            </w:r>
            <w:r w:rsidR="006B113F" w:rsidRPr="008A56BC">
              <w:rPr>
                <w:b/>
                <w:lang w:val="en-US"/>
              </w:rPr>
              <w:t>.</w:t>
            </w:r>
            <w:r w:rsidR="006B113F">
              <w:rPr>
                <w:lang w:val="en-US"/>
              </w:rPr>
              <w:t xml:space="preserve"> In a particular town there are 86 medium-sized houses for sale. The frequency distribution of the asking price is in the following table.</w:t>
            </w:r>
          </w:p>
          <w:p w14:paraId="0E8A4CB3" w14:textId="77777777" w:rsidR="006B113F" w:rsidRPr="00DA3179" w:rsidRDefault="006B113F" w:rsidP="006B113F">
            <w:pPr>
              <w:autoSpaceDE w:val="0"/>
              <w:autoSpaceDN w:val="0"/>
              <w:adjustRightInd w:val="0"/>
              <w:rPr>
                <w:lang w:val="en-US"/>
              </w:rPr>
            </w:pPr>
            <w:r>
              <w:rPr>
                <w:noProof/>
                <w:lang w:eastAsia="en-GB"/>
              </w:rPr>
              <w:drawing>
                <wp:inline distT="0" distB="0" distL="0" distR="0" wp14:anchorId="58E0DB8A" wp14:editId="455330AC">
                  <wp:extent cx="52768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485900"/>
                          </a:xfrm>
                          <a:prstGeom prst="rect">
                            <a:avLst/>
                          </a:prstGeom>
                          <a:noFill/>
                          <a:ln>
                            <a:noFill/>
                          </a:ln>
                        </pic:spPr>
                      </pic:pic>
                    </a:graphicData>
                  </a:graphic>
                </wp:inline>
              </w:drawing>
            </w:r>
          </w:p>
          <w:p w14:paraId="6AAD36E2" w14:textId="77777777" w:rsidR="006B113F" w:rsidRPr="006B113F" w:rsidRDefault="006B113F" w:rsidP="006B113F">
            <w:pPr>
              <w:pStyle w:val="ListParagraph"/>
              <w:numPr>
                <w:ilvl w:val="0"/>
                <w:numId w:val="4"/>
              </w:numPr>
              <w:autoSpaceDE w:val="0"/>
              <w:autoSpaceDN w:val="0"/>
              <w:adjustRightInd w:val="0"/>
              <w:rPr>
                <w:lang w:val="en-US"/>
              </w:rPr>
            </w:pPr>
            <w:r w:rsidRPr="006B113F">
              <w:rPr>
                <w:lang w:val="en-US"/>
              </w:rPr>
              <w:t>Find an approximate mean house price.</w:t>
            </w:r>
          </w:p>
          <w:p w14:paraId="121F5D5D" w14:textId="77777777" w:rsidR="006B113F" w:rsidRPr="006B113F" w:rsidRDefault="006B113F" w:rsidP="006B113F">
            <w:pPr>
              <w:pStyle w:val="ListParagraph"/>
              <w:numPr>
                <w:ilvl w:val="0"/>
                <w:numId w:val="4"/>
              </w:numPr>
              <w:autoSpaceDE w:val="0"/>
              <w:autoSpaceDN w:val="0"/>
              <w:adjustRightInd w:val="0"/>
              <w:rPr>
                <w:lang w:val="en-US"/>
              </w:rPr>
            </w:pPr>
            <w:r w:rsidRPr="006B113F">
              <w:rPr>
                <w:lang w:val="en-US"/>
              </w:rPr>
              <w:t>Find an approximate standard deviation of the house prices.</w:t>
            </w:r>
          </w:p>
          <w:p w14:paraId="584D636B" w14:textId="77777777" w:rsidR="006B113F" w:rsidRPr="004F059C" w:rsidRDefault="006B113F" w:rsidP="006B113F">
            <w:pPr>
              <w:autoSpaceDE w:val="0"/>
              <w:autoSpaceDN w:val="0"/>
              <w:adjustRightInd w:val="0"/>
              <w:rPr>
                <w:b/>
                <w:lang w:val="en-US"/>
              </w:rPr>
            </w:pPr>
          </w:p>
        </w:tc>
      </w:tr>
      <w:tr w:rsidR="006B113F" w14:paraId="74D4EE5B" w14:textId="77777777" w:rsidTr="006B113F">
        <w:tc>
          <w:tcPr>
            <w:tcW w:w="9963" w:type="dxa"/>
          </w:tcPr>
          <w:p w14:paraId="14143562" w14:textId="5D81CE79" w:rsidR="006B113F" w:rsidRDefault="00BE1304" w:rsidP="006B113F">
            <w:pPr>
              <w:autoSpaceDE w:val="0"/>
              <w:autoSpaceDN w:val="0"/>
              <w:adjustRightInd w:val="0"/>
              <w:rPr>
                <w:lang w:val="en-US"/>
              </w:rPr>
            </w:pPr>
            <w:r>
              <w:rPr>
                <w:b/>
                <w:lang w:val="en-US"/>
              </w:rPr>
              <w:t>8</w:t>
            </w:r>
            <w:r w:rsidR="006B113F" w:rsidRPr="006A42C1">
              <w:rPr>
                <w:b/>
                <w:lang w:val="en-US"/>
              </w:rPr>
              <w:t>.</w:t>
            </w:r>
            <w:r w:rsidR="006B113F">
              <w:rPr>
                <w:lang w:val="en-US"/>
              </w:rPr>
              <w:t xml:space="preserve"> The table contains data for weekly salaries in a small company. </w:t>
            </w:r>
          </w:p>
          <w:p w14:paraId="6650B8FB" w14:textId="77777777" w:rsidR="006B113F" w:rsidRDefault="006B113F" w:rsidP="006B113F">
            <w:pPr>
              <w:autoSpaceDE w:val="0"/>
              <w:autoSpaceDN w:val="0"/>
              <w:adjustRightInd w:val="0"/>
              <w:rPr>
                <w:lang w:val="en-US"/>
              </w:rPr>
            </w:pPr>
          </w:p>
          <w:tbl>
            <w:tblPr>
              <w:tblStyle w:val="TableSimple2"/>
              <w:tblW w:w="7056" w:type="dxa"/>
              <w:jc w:val="center"/>
              <w:tblLook w:val="0220" w:firstRow="1" w:lastRow="0" w:firstColumn="0" w:lastColumn="0" w:noHBand="1" w:noVBand="0"/>
            </w:tblPr>
            <w:tblGrid>
              <w:gridCol w:w="1008"/>
              <w:gridCol w:w="1008"/>
              <w:gridCol w:w="1008"/>
              <w:gridCol w:w="1008"/>
              <w:gridCol w:w="1008"/>
              <w:gridCol w:w="1008"/>
              <w:gridCol w:w="1008"/>
            </w:tblGrid>
            <w:tr w:rsidR="006B113F" w:rsidRPr="00BD2234" w14:paraId="31F18C13" w14:textId="77777777" w:rsidTr="00D8187E">
              <w:trPr>
                <w:cnfStyle w:val="100000000000" w:firstRow="1" w:lastRow="0" w:firstColumn="0" w:lastColumn="0" w:oddVBand="0" w:evenVBand="0" w:oddHBand="0" w:evenHBand="0" w:firstRowFirstColumn="0" w:firstRowLastColumn="0" w:lastRowFirstColumn="0" w:lastRowLastColumn="0"/>
                <w:trHeight w:val="374"/>
                <w:jc w:val="center"/>
              </w:trPr>
              <w:tc>
                <w:tcPr>
                  <w:tcW w:w="7056" w:type="dxa"/>
                  <w:gridSpan w:val="7"/>
                  <w:vAlign w:val="center"/>
                </w:tcPr>
                <w:p w14:paraId="41D560DB" w14:textId="77777777" w:rsidR="006B113F" w:rsidRPr="00BF1D74" w:rsidRDefault="006B113F" w:rsidP="00D8187E">
                  <w:pPr>
                    <w:jc w:val="center"/>
                    <w:rPr>
                      <w:rFonts w:ascii="Arial" w:hAnsi="Arial" w:cs="Arial"/>
                      <w:bCs w:val="0"/>
                      <w:i/>
                      <w:sz w:val="20"/>
                      <w:szCs w:val="20"/>
                      <w:lang w:val="en-US"/>
                    </w:rPr>
                  </w:pPr>
                  <w:r w:rsidRPr="00BF1D74">
                    <w:rPr>
                      <w:rFonts w:ascii="Arial" w:hAnsi="Arial" w:cs="Arial"/>
                      <w:i/>
                      <w:sz w:val="20"/>
                      <w:szCs w:val="20"/>
                      <w:lang w:val="en-US"/>
                    </w:rPr>
                    <w:t>Weekly Salar</w:t>
                  </w:r>
                  <w:r w:rsidRPr="00BF1D74">
                    <w:rPr>
                      <w:rFonts w:ascii="Arial" w:hAnsi="Arial" w:cs="Arial"/>
                      <w:bCs w:val="0"/>
                      <w:i/>
                      <w:sz w:val="20"/>
                      <w:szCs w:val="20"/>
                      <w:lang w:val="en-US"/>
                    </w:rPr>
                    <w:t>ies</w:t>
                  </w:r>
                </w:p>
              </w:tc>
            </w:tr>
            <w:tr w:rsidR="006B113F" w:rsidRPr="00BD2234" w14:paraId="5204CFF0" w14:textId="77777777" w:rsidTr="00D8187E">
              <w:trPr>
                <w:trHeight w:val="374"/>
                <w:jc w:val="center"/>
              </w:trPr>
              <w:tc>
                <w:tcPr>
                  <w:tcW w:w="1008" w:type="dxa"/>
                  <w:vAlign w:val="center"/>
                </w:tcPr>
                <w:p w14:paraId="1A977891"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564</w:t>
                  </w:r>
                </w:p>
              </w:tc>
              <w:tc>
                <w:tcPr>
                  <w:tcW w:w="1008" w:type="dxa"/>
                  <w:vAlign w:val="center"/>
                </w:tcPr>
                <w:p w14:paraId="3FF906FA"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692</w:t>
                  </w:r>
                </w:p>
              </w:tc>
              <w:tc>
                <w:tcPr>
                  <w:tcW w:w="1008" w:type="dxa"/>
                  <w:vAlign w:val="center"/>
                </w:tcPr>
                <w:p w14:paraId="4F8D766B"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860</w:t>
                  </w:r>
                </w:p>
              </w:tc>
              <w:tc>
                <w:tcPr>
                  <w:tcW w:w="1008" w:type="dxa"/>
                  <w:vAlign w:val="center"/>
                </w:tcPr>
                <w:p w14:paraId="0104B94C"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490</w:t>
                  </w:r>
                </w:p>
              </w:tc>
              <w:tc>
                <w:tcPr>
                  <w:tcW w:w="1008" w:type="dxa"/>
                  <w:vAlign w:val="center"/>
                </w:tcPr>
                <w:p w14:paraId="2D454498"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656</w:t>
                  </w:r>
                </w:p>
              </w:tc>
              <w:tc>
                <w:tcPr>
                  <w:tcW w:w="1008" w:type="dxa"/>
                  <w:noWrap/>
                  <w:vAlign w:val="center"/>
                </w:tcPr>
                <w:p w14:paraId="55654699"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774</w:t>
                  </w:r>
                </w:p>
              </w:tc>
              <w:tc>
                <w:tcPr>
                  <w:tcW w:w="1008" w:type="dxa"/>
                  <w:vAlign w:val="center"/>
                </w:tcPr>
                <w:p w14:paraId="29523696"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630</w:t>
                  </w:r>
                </w:p>
              </w:tc>
            </w:tr>
            <w:tr w:rsidR="006B113F" w:rsidRPr="00BD2234" w14:paraId="0B9BDEAE" w14:textId="77777777" w:rsidTr="00D8187E">
              <w:trPr>
                <w:trHeight w:val="374"/>
                <w:jc w:val="center"/>
              </w:trPr>
              <w:tc>
                <w:tcPr>
                  <w:tcW w:w="1008" w:type="dxa"/>
                  <w:vAlign w:val="center"/>
                </w:tcPr>
                <w:p w14:paraId="1DAA13EA"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lastRenderedPageBreak/>
                    <w:t>£</w:t>
                  </w:r>
                  <w:r w:rsidRPr="00BD2234">
                    <w:rPr>
                      <w:rFonts w:ascii="Arial" w:hAnsi="Arial" w:cs="Arial"/>
                      <w:sz w:val="20"/>
                      <w:szCs w:val="20"/>
                      <w:lang w:val="en-US"/>
                    </w:rPr>
                    <w:t>564</w:t>
                  </w:r>
                </w:p>
              </w:tc>
              <w:tc>
                <w:tcPr>
                  <w:tcW w:w="1008" w:type="dxa"/>
                  <w:vAlign w:val="center"/>
                </w:tcPr>
                <w:p w14:paraId="20CAB6CD"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692</w:t>
                  </w:r>
                </w:p>
              </w:tc>
              <w:tc>
                <w:tcPr>
                  <w:tcW w:w="1008" w:type="dxa"/>
                  <w:vAlign w:val="center"/>
                </w:tcPr>
                <w:p w14:paraId="1BD39231"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892</w:t>
                  </w:r>
                </w:p>
              </w:tc>
              <w:tc>
                <w:tcPr>
                  <w:tcW w:w="1008" w:type="dxa"/>
                  <w:vAlign w:val="center"/>
                </w:tcPr>
                <w:p w14:paraId="1E9C32BA"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490</w:t>
                  </w:r>
                </w:p>
              </w:tc>
              <w:tc>
                <w:tcPr>
                  <w:tcW w:w="1008" w:type="dxa"/>
                  <w:vAlign w:val="center"/>
                </w:tcPr>
                <w:p w14:paraId="6952C3A3"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656</w:t>
                  </w:r>
                </w:p>
              </w:tc>
              <w:tc>
                <w:tcPr>
                  <w:tcW w:w="1008" w:type="dxa"/>
                  <w:noWrap/>
                  <w:vAlign w:val="center"/>
                </w:tcPr>
                <w:p w14:paraId="27283BA7"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796</w:t>
                  </w:r>
                </w:p>
              </w:tc>
              <w:tc>
                <w:tcPr>
                  <w:tcW w:w="1008" w:type="dxa"/>
                  <w:vAlign w:val="center"/>
                </w:tcPr>
                <w:p w14:paraId="4D853DAC"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748</w:t>
                  </w:r>
                </w:p>
              </w:tc>
            </w:tr>
            <w:tr w:rsidR="006B113F" w:rsidRPr="00BD2234" w14:paraId="67F5C3D1" w14:textId="77777777" w:rsidTr="00D8187E">
              <w:trPr>
                <w:trHeight w:val="374"/>
                <w:jc w:val="center"/>
              </w:trPr>
              <w:tc>
                <w:tcPr>
                  <w:tcW w:w="1008" w:type="dxa"/>
                  <w:vAlign w:val="center"/>
                </w:tcPr>
                <w:p w14:paraId="75BA81F7"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630</w:t>
                  </w:r>
                </w:p>
              </w:tc>
              <w:tc>
                <w:tcPr>
                  <w:tcW w:w="1008" w:type="dxa"/>
                  <w:vAlign w:val="center"/>
                </w:tcPr>
                <w:p w14:paraId="0F18C8E2"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738</w:t>
                  </w:r>
                </w:p>
              </w:tc>
              <w:tc>
                <w:tcPr>
                  <w:tcW w:w="1008" w:type="dxa"/>
                  <w:vAlign w:val="center"/>
                </w:tcPr>
                <w:p w14:paraId="44DF4C29"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948</w:t>
                  </w:r>
                </w:p>
              </w:tc>
              <w:tc>
                <w:tcPr>
                  <w:tcW w:w="1008" w:type="dxa"/>
                  <w:vAlign w:val="center"/>
                </w:tcPr>
                <w:p w14:paraId="4579945D"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516</w:t>
                  </w:r>
                </w:p>
              </w:tc>
              <w:tc>
                <w:tcPr>
                  <w:tcW w:w="1008" w:type="dxa"/>
                  <w:vAlign w:val="center"/>
                </w:tcPr>
                <w:p w14:paraId="643D9AF6"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668</w:t>
                  </w:r>
                </w:p>
              </w:tc>
              <w:tc>
                <w:tcPr>
                  <w:tcW w:w="1008" w:type="dxa"/>
                  <w:noWrap/>
                  <w:vAlign w:val="center"/>
                </w:tcPr>
                <w:p w14:paraId="2A6EADC7"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842</w:t>
                  </w:r>
                </w:p>
              </w:tc>
              <w:tc>
                <w:tcPr>
                  <w:tcW w:w="1008" w:type="dxa"/>
                  <w:vAlign w:val="center"/>
                </w:tcPr>
                <w:p w14:paraId="730D8009"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1082</w:t>
                  </w:r>
                </w:p>
              </w:tc>
            </w:tr>
            <w:tr w:rsidR="006B113F" w:rsidRPr="00BD2234" w14:paraId="1677A6CD" w14:textId="77777777" w:rsidTr="00D8187E">
              <w:trPr>
                <w:trHeight w:val="374"/>
                <w:jc w:val="center"/>
              </w:trPr>
              <w:tc>
                <w:tcPr>
                  <w:tcW w:w="1008" w:type="dxa"/>
                  <w:vAlign w:val="center"/>
                </w:tcPr>
                <w:p w14:paraId="5A660E27"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630</w:t>
                  </w:r>
                </w:p>
              </w:tc>
              <w:tc>
                <w:tcPr>
                  <w:tcW w:w="1008" w:type="dxa"/>
                  <w:vAlign w:val="center"/>
                </w:tcPr>
                <w:p w14:paraId="1839D738"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748</w:t>
                  </w:r>
                </w:p>
              </w:tc>
              <w:tc>
                <w:tcPr>
                  <w:tcW w:w="1008" w:type="dxa"/>
                  <w:vAlign w:val="center"/>
                </w:tcPr>
                <w:p w14:paraId="7E024C24"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1022</w:t>
                  </w:r>
                </w:p>
              </w:tc>
              <w:tc>
                <w:tcPr>
                  <w:tcW w:w="1008" w:type="dxa"/>
                  <w:vAlign w:val="center"/>
                </w:tcPr>
                <w:p w14:paraId="39300840"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526</w:t>
                  </w:r>
                </w:p>
              </w:tc>
              <w:tc>
                <w:tcPr>
                  <w:tcW w:w="1008" w:type="dxa"/>
                  <w:vAlign w:val="center"/>
                </w:tcPr>
                <w:p w14:paraId="02B94CCE"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692</w:t>
                  </w:r>
                </w:p>
              </w:tc>
              <w:tc>
                <w:tcPr>
                  <w:tcW w:w="1008" w:type="dxa"/>
                  <w:noWrap/>
                  <w:vAlign w:val="center"/>
                </w:tcPr>
                <w:p w14:paraId="19C42E3D" w14:textId="77777777" w:rsidR="006B113F" w:rsidRPr="00BD2234" w:rsidRDefault="006B113F" w:rsidP="00D8187E">
                  <w:pPr>
                    <w:jc w:val="center"/>
                    <w:rPr>
                      <w:rFonts w:ascii="Arial" w:hAnsi="Arial" w:cs="Arial"/>
                      <w:sz w:val="20"/>
                      <w:szCs w:val="20"/>
                      <w:lang w:val="en-US"/>
                    </w:rPr>
                  </w:pPr>
                  <w:r>
                    <w:rPr>
                      <w:rFonts w:ascii="Arial" w:hAnsi="Arial" w:cs="Arial"/>
                      <w:sz w:val="20"/>
                      <w:szCs w:val="20"/>
                      <w:lang w:val="en-US"/>
                    </w:rPr>
                    <w:t>£</w:t>
                  </w:r>
                  <w:r w:rsidRPr="00BD2234">
                    <w:rPr>
                      <w:rFonts w:ascii="Arial" w:hAnsi="Arial" w:cs="Arial"/>
                      <w:sz w:val="20"/>
                      <w:szCs w:val="20"/>
                      <w:lang w:val="en-US"/>
                    </w:rPr>
                    <w:t>860</w:t>
                  </w:r>
                </w:p>
              </w:tc>
              <w:tc>
                <w:tcPr>
                  <w:tcW w:w="1008" w:type="dxa"/>
                  <w:vAlign w:val="center"/>
                </w:tcPr>
                <w:p w14:paraId="162EA4DE" w14:textId="77777777" w:rsidR="006B113F" w:rsidRPr="00BD2234" w:rsidRDefault="006B113F" w:rsidP="00D8187E">
                  <w:pPr>
                    <w:jc w:val="center"/>
                    <w:rPr>
                      <w:rFonts w:ascii="Arial" w:hAnsi="Arial" w:cs="Arial"/>
                      <w:sz w:val="20"/>
                      <w:szCs w:val="20"/>
                      <w:lang w:val="en-US"/>
                    </w:rPr>
                  </w:pPr>
                </w:p>
              </w:tc>
            </w:tr>
          </w:tbl>
          <w:p w14:paraId="0746CB43" w14:textId="77777777" w:rsidR="006B113F" w:rsidRDefault="006B113F" w:rsidP="006B113F">
            <w:pPr>
              <w:autoSpaceDE w:val="0"/>
              <w:autoSpaceDN w:val="0"/>
              <w:adjustRightInd w:val="0"/>
              <w:rPr>
                <w:lang w:val="en-US"/>
              </w:rPr>
            </w:pPr>
          </w:p>
          <w:p w14:paraId="41F07313" w14:textId="77777777" w:rsidR="006B113F" w:rsidRPr="006B113F" w:rsidRDefault="006B113F" w:rsidP="006B113F">
            <w:pPr>
              <w:pStyle w:val="ListParagraph"/>
              <w:numPr>
                <w:ilvl w:val="0"/>
                <w:numId w:val="2"/>
              </w:numPr>
              <w:autoSpaceDE w:val="0"/>
              <w:autoSpaceDN w:val="0"/>
              <w:adjustRightInd w:val="0"/>
              <w:rPr>
                <w:lang w:val="en-US"/>
              </w:rPr>
            </w:pPr>
            <w:r w:rsidRPr="006B113F">
              <w:rPr>
                <w:lang w:val="en-US"/>
              </w:rPr>
              <w:t>calculate the mean for the data</w:t>
            </w:r>
          </w:p>
          <w:p w14:paraId="407B8069" w14:textId="77777777" w:rsidR="006B113F" w:rsidRPr="006B113F" w:rsidRDefault="006B113F" w:rsidP="006B113F">
            <w:pPr>
              <w:pStyle w:val="ListParagraph"/>
              <w:numPr>
                <w:ilvl w:val="0"/>
                <w:numId w:val="2"/>
              </w:numPr>
              <w:autoSpaceDE w:val="0"/>
              <w:autoSpaceDN w:val="0"/>
              <w:adjustRightInd w:val="0"/>
              <w:rPr>
                <w:lang w:val="en-US"/>
              </w:rPr>
            </w:pPr>
            <w:r w:rsidRPr="006B113F">
              <w:rPr>
                <w:lang w:val="en-US"/>
              </w:rPr>
              <w:t>produce a frequency distribution for the data using £50 class widths, and calculate a mean for this table</w:t>
            </w:r>
          </w:p>
          <w:p w14:paraId="5CFA142F" w14:textId="77777777" w:rsidR="006B113F" w:rsidRPr="006B113F" w:rsidRDefault="006B113F" w:rsidP="006B113F">
            <w:pPr>
              <w:pStyle w:val="ListParagraph"/>
              <w:numPr>
                <w:ilvl w:val="0"/>
                <w:numId w:val="2"/>
              </w:numPr>
              <w:autoSpaceDE w:val="0"/>
              <w:autoSpaceDN w:val="0"/>
              <w:adjustRightInd w:val="0"/>
              <w:rPr>
                <w:lang w:val="en-US"/>
              </w:rPr>
            </w:pPr>
            <w:r w:rsidRPr="006B113F">
              <w:rPr>
                <w:lang w:val="en-US"/>
              </w:rPr>
              <w:t>produce a frequency distribution for the data using £100 class widths, and calculate a mean for this table</w:t>
            </w:r>
          </w:p>
          <w:p w14:paraId="00E53954" w14:textId="77777777" w:rsidR="006B113F" w:rsidRDefault="006B113F" w:rsidP="006B113F">
            <w:pPr>
              <w:autoSpaceDE w:val="0"/>
              <w:autoSpaceDN w:val="0"/>
              <w:adjustRightInd w:val="0"/>
              <w:rPr>
                <w:b/>
                <w:lang w:val="en-US"/>
              </w:rPr>
            </w:pPr>
          </w:p>
        </w:tc>
      </w:tr>
    </w:tbl>
    <w:p w14:paraId="27C904A9" w14:textId="77777777" w:rsidR="00B13F4A" w:rsidRDefault="00B13F4A" w:rsidP="009E3ACE">
      <w:pPr>
        <w:autoSpaceDE w:val="0"/>
        <w:autoSpaceDN w:val="0"/>
        <w:adjustRightInd w:val="0"/>
        <w:rPr>
          <w:lang w:val="en-US"/>
        </w:rPr>
      </w:pPr>
    </w:p>
    <w:p w14:paraId="65C4801D" w14:textId="77777777" w:rsidR="004F059C" w:rsidRDefault="004F059C" w:rsidP="009E3ACE">
      <w:pPr>
        <w:autoSpaceDE w:val="0"/>
        <w:autoSpaceDN w:val="0"/>
        <w:adjustRightInd w:val="0"/>
        <w:rPr>
          <w:lang w:val="en-US"/>
        </w:rPr>
      </w:pPr>
    </w:p>
    <w:p w14:paraId="3E73C5A2" w14:textId="77777777" w:rsidR="003F07FE" w:rsidRDefault="003F07FE" w:rsidP="003F07FE">
      <w:pPr>
        <w:autoSpaceDE w:val="0"/>
        <w:autoSpaceDN w:val="0"/>
        <w:adjustRightInd w:val="0"/>
        <w:rPr>
          <w:lang w:val="en-US"/>
        </w:rPr>
      </w:pPr>
    </w:p>
    <w:p w14:paraId="7A719D4F" w14:textId="77777777" w:rsidR="003F07FE" w:rsidRDefault="003F07FE" w:rsidP="003F07FE"/>
    <w:p w14:paraId="73ACC825" w14:textId="77777777" w:rsidR="003F07FE" w:rsidRPr="004F059C" w:rsidRDefault="003F07FE" w:rsidP="009E3ACE">
      <w:pPr>
        <w:autoSpaceDE w:val="0"/>
        <w:autoSpaceDN w:val="0"/>
        <w:adjustRightInd w:val="0"/>
        <w:rPr>
          <w:lang w:val="en-US"/>
        </w:rPr>
      </w:pPr>
    </w:p>
    <w:sectPr w:rsidR="003F07FE" w:rsidRPr="004F059C" w:rsidSect="006B113F">
      <w:headerReference w:type="default" r:id="rId13"/>
      <w:footerReference w:type="default" r:id="rId14"/>
      <w:pgSz w:w="11907" w:h="16840"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1E45" w14:textId="77777777" w:rsidR="00E74FD2" w:rsidRDefault="00E74FD2" w:rsidP="00F1258E">
      <w:r>
        <w:separator/>
      </w:r>
    </w:p>
  </w:endnote>
  <w:endnote w:type="continuationSeparator" w:id="0">
    <w:p w14:paraId="04B82A42" w14:textId="77777777" w:rsidR="00E74FD2" w:rsidRDefault="00E74FD2" w:rsidP="00F1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136783"/>
      <w:docPartObj>
        <w:docPartGallery w:val="Page Numbers (Bottom of Page)"/>
        <w:docPartUnique/>
      </w:docPartObj>
    </w:sdtPr>
    <w:sdtEndPr/>
    <w:sdtContent>
      <w:sdt>
        <w:sdtPr>
          <w:id w:val="860082579"/>
          <w:docPartObj>
            <w:docPartGallery w:val="Page Numbers (Top of Page)"/>
            <w:docPartUnique/>
          </w:docPartObj>
        </w:sdtPr>
        <w:sdtEndPr/>
        <w:sdtContent>
          <w:p w14:paraId="19C1C42A" w14:textId="77777777" w:rsidR="00F1258E" w:rsidRDefault="00F1258E">
            <w:pPr>
              <w:pStyle w:val="Footer"/>
              <w:jc w:val="right"/>
            </w:pPr>
            <w:r>
              <w:t xml:space="preserve">Page </w:t>
            </w:r>
            <w:r>
              <w:rPr>
                <w:b/>
                <w:bCs/>
              </w:rPr>
              <w:fldChar w:fldCharType="begin"/>
            </w:r>
            <w:r>
              <w:rPr>
                <w:b/>
                <w:bCs/>
              </w:rPr>
              <w:instrText xml:space="preserve"> PAGE </w:instrText>
            </w:r>
            <w:r>
              <w:rPr>
                <w:b/>
                <w:bCs/>
              </w:rPr>
              <w:fldChar w:fldCharType="separate"/>
            </w:r>
            <w:r w:rsidR="00D445D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445D4">
              <w:rPr>
                <w:b/>
                <w:bCs/>
                <w:noProof/>
              </w:rPr>
              <w:t>2</w:t>
            </w:r>
            <w:r>
              <w:rPr>
                <w:b/>
                <w:bCs/>
              </w:rPr>
              <w:fldChar w:fldCharType="end"/>
            </w:r>
          </w:p>
        </w:sdtContent>
      </w:sdt>
    </w:sdtContent>
  </w:sdt>
  <w:p w14:paraId="398F44F1" w14:textId="77777777" w:rsidR="00F1258E" w:rsidRDefault="00F12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AB3D" w14:textId="77777777" w:rsidR="00E74FD2" w:rsidRDefault="00E74FD2" w:rsidP="00F1258E">
      <w:r>
        <w:separator/>
      </w:r>
    </w:p>
  </w:footnote>
  <w:footnote w:type="continuationSeparator" w:id="0">
    <w:p w14:paraId="038AECF8" w14:textId="77777777" w:rsidR="00E74FD2" w:rsidRDefault="00E74FD2" w:rsidP="00F12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5B54" w14:textId="77777777" w:rsidR="00F1258E" w:rsidRDefault="00F1258E">
    <w:pPr>
      <w:pStyle w:val="Header"/>
    </w:pPr>
    <w:r>
      <w:rPr>
        <w:noProof/>
        <w:lang w:eastAsia="en-GB"/>
      </w:rPr>
      <w:drawing>
        <wp:anchor distT="0" distB="0" distL="114300" distR="114300" simplePos="0" relativeHeight="251658240" behindDoc="0" locked="0" layoutInCell="1" allowOverlap="1" wp14:anchorId="18003A8C" wp14:editId="5BD2CCEC">
          <wp:simplePos x="0" y="0"/>
          <wp:positionH relativeFrom="column">
            <wp:posOffset>-695325</wp:posOffset>
          </wp:positionH>
          <wp:positionV relativeFrom="paragraph">
            <wp:posOffset>-450215</wp:posOffset>
          </wp:positionV>
          <wp:extent cx="7583214" cy="704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3214" cy="7048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D8A7E26"/>
    <w:lvl w:ilvl="0">
      <w:numFmt w:val="bullet"/>
      <w:lvlText w:val="*"/>
      <w:lvlJc w:val="left"/>
    </w:lvl>
  </w:abstractNum>
  <w:abstractNum w:abstractNumId="1" w15:restartNumberingAfterBreak="0">
    <w:nsid w:val="07FC7F22"/>
    <w:multiLevelType w:val="hybridMultilevel"/>
    <w:tmpl w:val="2C225A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92C83"/>
    <w:multiLevelType w:val="hybridMultilevel"/>
    <w:tmpl w:val="CAE446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3F797B"/>
    <w:multiLevelType w:val="hybridMultilevel"/>
    <w:tmpl w:val="8496FE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625CB"/>
    <w:multiLevelType w:val="hybridMultilevel"/>
    <w:tmpl w:val="0B2255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E751AB"/>
    <w:multiLevelType w:val="hybridMultilevel"/>
    <w:tmpl w:val="CCDE1B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564C9D"/>
    <w:multiLevelType w:val="hybridMultilevel"/>
    <w:tmpl w:val="B852A8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745F2E"/>
    <w:multiLevelType w:val="hybridMultilevel"/>
    <w:tmpl w:val="3EEEC59E"/>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E13CC1"/>
    <w:multiLevelType w:val="hybridMultilevel"/>
    <w:tmpl w:val="2C225A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Monotype Sorts" w:hAnsi="Monotype Sorts" w:hint="default"/>
          <w:sz w:val="48"/>
        </w:rPr>
      </w:lvl>
    </w:lvlOverride>
  </w:num>
  <w:num w:numId="2">
    <w:abstractNumId w:val="3"/>
  </w:num>
  <w:num w:numId="3">
    <w:abstractNumId w:val="5"/>
  </w:num>
  <w:num w:numId="4">
    <w:abstractNumId w:val="4"/>
  </w:num>
  <w:num w:numId="5">
    <w:abstractNumId w:val="6"/>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ACE"/>
    <w:rsid w:val="00001EAE"/>
    <w:rsid w:val="00023E5B"/>
    <w:rsid w:val="00025B24"/>
    <w:rsid w:val="000320C8"/>
    <w:rsid w:val="00033548"/>
    <w:rsid w:val="000370A3"/>
    <w:rsid w:val="0004647A"/>
    <w:rsid w:val="00050603"/>
    <w:rsid w:val="00051747"/>
    <w:rsid w:val="0006060D"/>
    <w:rsid w:val="000623DB"/>
    <w:rsid w:val="00086F26"/>
    <w:rsid w:val="000B6C8D"/>
    <w:rsid w:val="000E603A"/>
    <w:rsid w:val="00102561"/>
    <w:rsid w:val="0011077F"/>
    <w:rsid w:val="00112E00"/>
    <w:rsid w:val="00113D50"/>
    <w:rsid w:val="00134DF1"/>
    <w:rsid w:val="00153AD9"/>
    <w:rsid w:val="00156656"/>
    <w:rsid w:val="0016316C"/>
    <w:rsid w:val="00175B4C"/>
    <w:rsid w:val="00177D79"/>
    <w:rsid w:val="001824DC"/>
    <w:rsid w:val="001A7CE2"/>
    <w:rsid w:val="001B19E5"/>
    <w:rsid w:val="001B303F"/>
    <w:rsid w:val="001B4F4C"/>
    <w:rsid w:val="001C32DA"/>
    <w:rsid w:val="001E04BC"/>
    <w:rsid w:val="001E7029"/>
    <w:rsid w:val="00204C66"/>
    <w:rsid w:val="00216B56"/>
    <w:rsid w:val="00260108"/>
    <w:rsid w:val="00285E48"/>
    <w:rsid w:val="002B1675"/>
    <w:rsid w:val="003002CF"/>
    <w:rsid w:val="003150C0"/>
    <w:rsid w:val="003154D0"/>
    <w:rsid w:val="00317372"/>
    <w:rsid w:val="0032313C"/>
    <w:rsid w:val="003240B9"/>
    <w:rsid w:val="00354A5B"/>
    <w:rsid w:val="003724FA"/>
    <w:rsid w:val="0038156D"/>
    <w:rsid w:val="003873B5"/>
    <w:rsid w:val="00387A06"/>
    <w:rsid w:val="00392240"/>
    <w:rsid w:val="003A4484"/>
    <w:rsid w:val="003B1282"/>
    <w:rsid w:val="003B1BC1"/>
    <w:rsid w:val="003D14F0"/>
    <w:rsid w:val="003E0173"/>
    <w:rsid w:val="003E789A"/>
    <w:rsid w:val="003F07FE"/>
    <w:rsid w:val="0040037C"/>
    <w:rsid w:val="00400F44"/>
    <w:rsid w:val="00421B9E"/>
    <w:rsid w:val="00451FB3"/>
    <w:rsid w:val="00474D7A"/>
    <w:rsid w:val="004A413B"/>
    <w:rsid w:val="004B2917"/>
    <w:rsid w:val="004D4AE1"/>
    <w:rsid w:val="004E34FA"/>
    <w:rsid w:val="004E7BD2"/>
    <w:rsid w:val="004F059C"/>
    <w:rsid w:val="00506089"/>
    <w:rsid w:val="00515BCB"/>
    <w:rsid w:val="00535712"/>
    <w:rsid w:val="00566C42"/>
    <w:rsid w:val="00574948"/>
    <w:rsid w:val="005807CB"/>
    <w:rsid w:val="00585D41"/>
    <w:rsid w:val="005A259F"/>
    <w:rsid w:val="005B3B3F"/>
    <w:rsid w:val="005D5EDC"/>
    <w:rsid w:val="005F1DCE"/>
    <w:rsid w:val="0062592B"/>
    <w:rsid w:val="00625C2F"/>
    <w:rsid w:val="006369F6"/>
    <w:rsid w:val="00646CC0"/>
    <w:rsid w:val="00657856"/>
    <w:rsid w:val="00671CA8"/>
    <w:rsid w:val="006732F8"/>
    <w:rsid w:val="0068694A"/>
    <w:rsid w:val="00695F43"/>
    <w:rsid w:val="006A2AD2"/>
    <w:rsid w:val="006A4CAD"/>
    <w:rsid w:val="006A5D15"/>
    <w:rsid w:val="006B113F"/>
    <w:rsid w:val="006B2613"/>
    <w:rsid w:val="006B6D3B"/>
    <w:rsid w:val="006C1FAD"/>
    <w:rsid w:val="006C4D7B"/>
    <w:rsid w:val="006D0318"/>
    <w:rsid w:val="006E0214"/>
    <w:rsid w:val="006E0D41"/>
    <w:rsid w:val="006F12E3"/>
    <w:rsid w:val="006F21AF"/>
    <w:rsid w:val="0070156F"/>
    <w:rsid w:val="00731057"/>
    <w:rsid w:val="00762335"/>
    <w:rsid w:val="007A416C"/>
    <w:rsid w:val="007B756A"/>
    <w:rsid w:val="007C3E04"/>
    <w:rsid w:val="00811D4E"/>
    <w:rsid w:val="00814724"/>
    <w:rsid w:val="00820F2A"/>
    <w:rsid w:val="00827DCB"/>
    <w:rsid w:val="00860393"/>
    <w:rsid w:val="0086549A"/>
    <w:rsid w:val="008D4A75"/>
    <w:rsid w:val="008D4B1B"/>
    <w:rsid w:val="008F27D4"/>
    <w:rsid w:val="0090738D"/>
    <w:rsid w:val="00920C12"/>
    <w:rsid w:val="009217CB"/>
    <w:rsid w:val="00926560"/>
    <w:rsid w:val="009A4667"/>
    <w:rsid w:val="009A61B0"/>
    <w:rsid w:val="009B3BF6"/>
    <w:rsid w:val="009C4E1B"/>
    <w:rsid w:val="009D7834"/>
    <w:rsid w:val="009E05C4"/>
    <w:rsid w:val="009E3ACE"/>
    <w:rsid w:val="00A249F4"/>
    <w:rsid w:val="00A46B4D"/>
    <w:rsid w:val="00A57C46"/>
    <w:rsid w:val="00A7465B"/>
    <w:rsid w:val="00A77400"/>
    <w:rsid w:val="00A9367E"/>
    <w:rsid w:val="00A93ED8"/>
    <w:rsid w:val="00A94A91"/>
    <w:rsid w:val="00AA325B"/>
    <w:rsid w:val="00AA5D0B"/>
    <w:rsid w:val="00AF4378"/>
    <w:rsid w:val="00AF71B2"/>
    <w:rsid w:val="00B10932"/>
    <w:rsid w:val="00B118C9"/>
    <w:rsid w:val="00B13F4A"/>
    <w:rsid w:val="00B17F4C"/>
    <w:rsid w:val="00B37EE7"/>
    <w:rsid w:val="00B41574"/>
    <w:rsid w:val="00B75D3A"/>
    <w:rsid w:val="00B937EC"/>
    <w:rsid w:val="00B95D85"/>
    <w:rsid w:val="00BC234C"/>
    <w:rsid w:val="00BC3364"/>
    <w:rsid w:val="00BC7E2E"/>
    <w:rsid w:val="00BD0EA9"/>
    <w:rsid w:val="00BE1304"/>
    <w:rsid w:val="00BF1D74"/>
    <w:rsid w:val="00BF70F6"/>
    <w:rsid w:val="00C321A4"/>
    <w:rsid w:val="00C55238"/>
    <w:rsid w:val="00C65B12"/>
    <w:rsid w:val="00C84322"/>
    <w:rsid w:val="00C92B51"/>
    <w:rsid w:val="00C94E3B"/>
    <w:rsid w:val="00CA0B5E"/>
    <w:rsid w:val="00CB413C"/>
    <w:rsid w:val="00CB739F"/>
    <w:rsid w:val="00CC0E10"/>
    <w:rsid w:val="00CC67B9"/>
    <w:rsid w:val="00CF01D2"/>
    <w:rsid w:val="00D01A1A"/>
    <w:rsid w:val="00D41E54"/>
    <w:rsid w:val="00D445D4"/>
    <w:rsid w:val="00D55DBD"/>
    <w:rsid w:val="00D72184"/>
    <w:rsid w:val="00D724A9"/>
    <w:rsid w:val="00D737EC"/>
    <w:rsid w:val="00D7703D"/>
    <w:rsid w:val="00D81355"/>
    <w:rsid w:val="00D8187E"/>
    <w:rsid w:val="00D905E9"/>
    <w:rsid w:val="00D90C1E"/>
    <w:rsid w:val="00DC72D4"/>
    <w:rsid w:val="00DD52C7"/>
    <w:rsid w:val="00DD6A81"/>
    <w:rsid w:val="00DE1F36"/>
    <w:rsid w:val="00DF2FFE"/>
    <w:rsid w:val="00E147CC"/>
    <w:rsid w:val="00E5402B"/>
    <w:rsid w:val="00E56411"/>
    <w:rsid w:val="00E74FD2"/>
    <w:rsid w:val="00E957D6"/>
    <w:rsid w:val="00EA747E"/>
    <w:rsid w:val="00EB1A4A"/>
    <w:rsid w:val="00ED4CD5"/>
    <w:rsid w:val="00F0316A"/>
    <w:rsid w:val="00F1258E"/>
    <w:rsid w:val="00F25403"/>
    <w:rsid w:val="00F344FB"/>
    <w:rsid w:val="00F350F0"/>
    <w:rsid w:val="00F455C4"/>
    <w:rsid w:val="00F555F9"/>
    <w:rsid w:val="00F5609C"/>
    <w:rsid w:val="00F82F2C"/>
    <w:rsid w:val="00F97A81"/>
    <w:rsid w:val="00FB53C0"/>
    <w:rsid w:val="00FE0D78"/>
    <w:rsid w:val="00FF11B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C8C08"/>
  <w15:docId w15:val="{F26A144E-8CAD-4F47-B14C-F02A1201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12E3"/>
    <w:rPr>
      <w:rFonts w:ascii="Tahoma" w:hAnsi="Tahoma" w:cs="Tahoma"/>
      <w:sz w:val="16"/>
      <w:szCs w:val="16"/>
    </w:rPr>
  </w:style>
  <w:style w:type="character" w:customStyle="1" w:styleId="BalloonTextChar">
    <w:name w:val="Balloon Text Char"/>
    <w:basedOn w:val="DefaultParagraphFont"/>
    <w:link w:val="BalloonText"/>
    <w:rsid w:val="006F12E3"/>
    <w:rPr>
      <w:rFonts w:ascii="Tahoma" w:hAnsi="Tahoma" w:cs="Tahoma"/>
      <w:sz w:val="16"/>
      <w:szCs w:val="16"/>
      <w:lang w:eastAsia="ko-KR"/>
    </w:rPr>
  </w:style>
  <w:style w:type="table" w:styleId="TableGrid">
    <w:name w:val="Table Grid"/>
    <w:basedOn w:val="TableNormal"/>
    <w:rsid w:val="006B1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13F"/>
    <w:pPr>
      <w:ind w:left="720"/>
      <w:contextualSpacing/>
    </w:pPr>
  </w:style>
  <w:style w:type="table" w:styleId="TableClassic1">
    <w:name w:val="Table Classic 1"/>
    <w:basedOn w:val="TableNormal"/>
    <w:rsid w:val="006B113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D8187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eader">
    <w:name w:val="header"/>
    <w:basedOn w:val="Normal"/>
    <w:link w:val="HeaderChar"/>
    <w:rsid w:val="00F1258E"/>
    <w:pPr>
      <w:tabs>
        <w:tab w:val="center" w:pos="4513"/>
        <w:tab w:val="right" w:pos="9026"/>
      </w:tabs>
    </w:pPr>
  </w:style>
  <w:style w:type="character" w:customStyle="1" w:styleId="HeaderChar">
    <w:name w:val="Header Char"/>
    <w:basedOn w:val="DefaultParagraphFont"/>
    <w:link w:val="Header"/>
    <w:rsid w:val="00F1258E"/>
    <w:rPr>
      <w:sz w:val="24"/>
      <w:szCs w:val="24"/>
      <w:lang w:eastAsia="ko-KR"/>
    </w:rPr>
  </w:style>
  <w:style w:type="paragraph" w:styleId="Footer">
    <w:name w:val="footer"/>
    <w:basedOn w:val="Normal"/>
    <w:link w:val="FooterChar"/>
    <w:uiPriority w:val="99"/>
    <w:rsid w:val="00F1258E"/>
    <w:pPr>
      <w:tabs>
        <w:tab w:val="center" w:pos="4513"/>
        <w:tab w:val="right" w:pos="9026"/>
      </w:tabs>
    </w:pPr>
  </w:style>
  <w:style w:type="character" w:customStyle="1" w:styleId="FooterChar">
    <w:name w:val="Footer Char"/>
    <w:basedOn w:val="DefaultParagraphFont"/>
    <w:link w:val="Footer"/>
    <w:uiPriority w:val="99"/>
    <w:rsid w:val="00F1258E"/>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LUBS 1675 - Introductory Statistics for Management I</vt:lpstr>
    </vt:vector>
  </TitlesOfParts>
  <Company>lubs</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LUBS 1675 - Introductory Statistics for Management I</dc:title>
  <dc:creator>barb</dc:creator>
  <cp:lastModifiedBy>Aritad Choicharoon</cp:lastModifiedBy>
  <cp:revision>16</cp:revision>
  <cp:lastPrinted>2015-10-01T13:38:00Z</cp:lastPrinted>
  <dcterms:created xsi:type="dcterms:W3CDTF">2015-10-01T13:03:00Z</dcterms:created>
  <dcterms:modified xsi:type="dcterms:W3CDTF">2022-09-29T10:03:00Z</dcterms:modified>
</cp:coreProperties>
</file>