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58596C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77777777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2018-present</w:t>
      </w:r>
      <w:r w:rsidRPr="009E3E8A">
        <w:rPr>
          <w:sz w:val="18"/>
        </w:rPr>
        <w:t>)</w:t>
      </w:r>
      <w:r>
        <w:rPr>
          <w:sz w:val="18"/>
        </w:rPr>
        <w:t xml:space="preserve">      GPA: 4.0 / 4.0 (98%)</w:t>
      </w:r>
    </w:p>
    <w:p w14:paraId="40C99B98" w14:textId="64586D65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583899">
        <w:rPr>
          <w:i/>
          <w:sz w:val="18"/>
        </w:rPr>
        <w:t xml:space="preserve">Master </w:t>
      </w:r>
      <w:r w:rsidR="00893047">
        <w:rPr>
          <w:i/>
          <w:sz w:val="18"/>
        </w:rPr>
        <w:t>Degree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Supervisor: Dr. Salimur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36DE97CC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583899">
        <w:rPr>
          <w:i/>
          <w:sz w:val="18"/>
        </w:rPr>
        <w:t>Bachelor of Science</w:t>
      </w:r>
      <w:r w:rsidR="00F11B74">
        <w:rPr>
          <w:i/>
          <w:sz w:val="18"/>
        </w:rPr>
        <w:t xml:space="preserve"> Degree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7777777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>
        <w:rPr>
          <w:iCs/>
          <w:sz w:val="18"/>
        </w:rPr>
        <w:t>, Dr. George Townsend</w:t>
      </w:r>
    </w:p>
    <w:p w14:paraId="689BADFF" w14:textId="28BE802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 xml:space="preserve">, Jinan, Shandong, China — </w:t>
      </w:r>
      <w:r w:rsidRPr="00583899">
        <w:rPr>
          <w:i/>
          <w:sz w:val="18"/>
        </w:rPr>
        <w:t>Bachelor of</w:t>
      </w:r>
      <w:r w:rsidR="00F11B74">
        <w:rPr>
          <w:i/>
          <w:sz w:val="18"/>
        </w:rPr>
        <w:t xml:space="preserve"> Engineering Degree</w:t>
      </w:r>
      <w:r w:rsidRPr="00583899">
        <w:rPr>
          <w:i/>
          <w:sz w:val="18"/>
        </w:rPr>
        <w:t xml:space="preserve"> 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CE3F320" w14:textId="02AEA65C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 (2019)</w:t>
      </w:r>
    </w:p>
    <w:p w14:paraId="08D6007B" w14:textId="7777777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 assistant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assistant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59A48893" w14:textId="77777777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18184A71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Choudhury, S., Optimizing Mobile Edge Computing Multi-Level Task Offloading via Deep Reinforcement Learning, submitted to 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2020 IEEE International Conference on Communications (ICC 2020). IEEE.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The Thirty-Fourth AAAI Conference on Artificial Intelligence.</w:t>
      </w:r>
    </w:p>
    <w:p w14:paraId="42BE1D21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Pr="00D92882">
        <w:rPr>
          <w:color w:val="000000" w:themeColor="text1"/>
          <w:sz w:val="18"/>
          <w:szCs w:val="18"/>
        </w:rPr>
        <w:t xml:space="preserve">A Machine Learning Auxiliary Approach for the Distributed Dense RFID Readers Arrangement Algorithm. </w:t>
      </w:r>
      <w:r w:rsidRPr="00D92882">
        <w:rPr>
          <w:i/>
          <w:iCs/>
          <w:color w:val="000000" w:themeColor="text1"/>
          <w:sz w:val="18"/>
          <w:szCs w:val="18"/>
        </w:rPr>
        <w:t>IEEE Access on Intelligent and Cognitive Techniques for Internet of Things.</w:t>
      </w:r>
    </w:p>
    <w:p w14:paraId="1270622B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</w:t>
      </w:r>
      <w:r w:rsidRPr="00D92882">
        <w:rPr>
          <w:color w:val="000000" w:themeColor="text1"/>
          <w:sz w:val="18"/>
          <w:szCs w:val="18"/>
        </w:rPr>
        <w:t>. An Energy-Efficient Topology Control Algorithm for Optimizing the Lifetime of Wireless Information-Centric IoT Networks</w:t>
      </w:r>
      <w:r w:rsidRPr="00D92882">
        <w:rPr>
          <w:noProof/>
          <w:color w:val="000000" w:themeColor="text1"/>
          <w:sz w:val="18"/>
          <w:szCs w:val="18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882">
        <w:rPr>
          <w:color w:val="000000" w:themeColor="text1"/>
          <w:sz w:val="18"/>
          <w:szCs w:val="18"/>
        </w:rPr>
        <w:t xml:space="preserve">. </w:t>
      </w:r>
      <w:r w:rsidRPr="00D92882">
        <w:rPr>
          <w:i/>
          <w:iCs/>
          <w:color w:val="000000" w:themeColor="text1"/>
          <w:sz w:val="18"/>
          <w:szCs w:val="18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 M., Mendhe C., Mago V., &amp; Choudhury S.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Pr="00D92882">
        <w:rPr>
          <w:color w:val="000000" w:themeColor="text1"/>
          <w:sz w:val="18"/>
          <w:szCs w:val="18"/>
        </w:rPr>
        <w:t xml:space="preserve">Utilizing Twitter Data Analysis and Deep Learning to Identify Drug Use. </w:t>
      </w:r>
      <w:r w:rsidRPr="00D92882">
        <w:rPr>
          <w:i/>
          <w:iCs/>
          <w:color w:val="000000" w:themeColor="text1"/>
          <w:sz w:val="18"/>
          <w:szCs w:val="18"/>
        </w:rPr>
        <w:t>IEEE Access</w:t>
      </w:r>
      <w:r w:rsidRPr="00D92882">
        <w:rPr>
          <w:color w:val="000000" w:themeColor="text1"/>
          <w:sz w:val="18"/>
          <w:szCs w:val="18"/>
        </w:rPr>
        <w:t>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06EFDED6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4AC97567" w14:textId="5E659079" w:rsidR="00595222" w:rsidRPr="00D92882" w:rsidRDefault="0059522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Xcode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Matlab</w:t>
      </w:r>
      <w:bookmarkStart w:id="1" w:name="_GoBack"/>
      <w:bookmarkEnd w:id="1"/>
    </w:p>
    <w:p w14:paraId="0CCACF58" w14:textId="77777777" w:rsidR="000F4649" w:rsidRDefault="000F4649"/>
    <w:sectPr w:rsidR="000F4649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4187" w14:textId="77777777" w:rsidR="0058596C" w:rsidRDefault="0058596C">
      <w:pPr>
        <w:spacing w:after="0" w:line="240" w:lineRule="auto"/>
      </w:pPr>
      <w:r>
        <w:separator/>
      </w:r>
    </w:p>
  </w:endnote>
  <w:endnote w:type="continuationSeparator" w:id="0">
    <w:p w14:paraId="71F8F05B" w14:textId="77777777" w:rsidR="0058596C" w:rsidRDefault="0058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2E0A3" w14:textId="77777777" w:rsidR="0058596C" w:rsidRDefault="0058596C">
      <w:pPr>
        <w:spacing w:after="0" w:line="240" w:lineRule="auto"/>
      </w:pPr>
      <w:r>
        <w:separator/>
      </w:r>
    </w:p>
  </w:footnote>
  <w:footnote w:type="continuationSeparator" w:id="0">
    <w:p w14:paraId="532E09DC" w14:textId="77777777" w:rsidR="0058596C" w:rsidRDefault="0058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rAUAnh+CUCwAAAA="/>
  </w:docVars>
  <w:rsids>
    <w:rsidRoot w:val="00824731"/>
    <w:rsid w:val="000B2385"/>
    <w:rsid w:val="000F4649"/>
    <w:rsid w:val="00117ACD"/>
    <w:rsid w:val="0058596C"/>
    <w:rsid w:val="00595222"/>
    <w:rsid w:val="005C4B0C"/>
    <w:rsid w:val="005D24EB"/>
    <w:rsid w:val="00813BA9"/>
    <w:rsid w:val="00824731"/>
    <w:rsid w:val="00893047"/>
    <w:rsid w:val="009623C4"/>
    <w:rsid w:val="00CB71F6"/>
    <w:rsid w:val="00D92882"/>
    <w:rsid w:val="00F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283BBC"/>
    <w:rsid w:val="00355112"/>
    <w:rsid w:val="005225F1"/>
    <w:rsid w:val="00B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10</cp:revision>
  <dcterms:created xsi:type="dcterms:W3CDTF">2019-11-24T01:24:00Z</dcterms:created>
  <dcterms:modified xsi:type="dcterms:W3CDTF">2019-12-18T19:23:00Z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