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3" w:name="content"/>
    <w:bookmarkStart w:id="122" w:name="codex-saas-ja-evm-standardit-vertailu"/>
    <w:p>
      <w:pPr>
        <w:pStyle w:val="Heading1"/>
      </w:pPr>
      <w:r>
        <w:t xml:space="preserve">Codex SaaS ja EVM-standardit – Vertailu</w:t>
      </w:r>
    </w:p>
    <w:bookmarkStart w:id="36" w:name="baseline-lukitus-ja-versiohallinta"/>
    <w:p>
      <w:pPr>
        <w:pStyle w:val="Heading2"/>
      </w:pPr>
      <w:r>
        <w:t xml:space="preserve">Baseline-lukitus ja versiohallinta</w:t>
      </w:r>
    </w:p>
    <w:p>
      <w:pPr>
        <w:pStyle w:val="FirstParagraph"/>
      </w:pPr>
      <w:r>
        <w:rPr>
          <w:b/>
          <w:bCs/>
        </w:rPr>
        <w:t xml:space="preserve">Codexin käytäntö:</w:t>
      </w:r>
      <w:r>
        <w:t xml:space="preserve"> </w:t>
      </w:r>
      <w:r>
        <w:t xml:space="preserve">Codex SaaS -projektissa</w:t>
      </w:r>
      <w:r>
        <w:t xml:space="preserve"> </w:t>
      </w:r>
      <w:r>
        <w:rPr>
          <w:b/>
          <w:bCs/>
        </w:rPr>
        <w:t xml:space="preserve">baseline (tavoitearvio)</w:t>
      </w:r>
      <w:r>
        <w:t xml:space="preserve"> </w:t>
      </w:r>
      <w:r>
        <w:t xml:space="preserve">lukitaan kahden portaan hyväksyntäprosessilla. Työpaketin suunnitelmatapahtumat (baseline-suunnitelma) etenevät tiloissa</w:t>
      </w:r>
      <w:r>
        <w:t xml:space="preserve"> </w:t>
      </w:r>
      <w:r>
        <w:rPr>
          <w:b/>
          <w:bCs/>
        </w:rPr>
        <w:t xml:space="preserve">DRAFT → READY_FOR_FORECAST → LOCKED</w:t>
      </w:r>
      <w:r>
        <w:t xml:space="preserve">, ja lukitus vaatii</w:t>
      </w:r>
      <w:r>
        <w:t xml:space="preserve"> </w:t>
      </w:r>
      <w:r>
        <w:rPr>
          <w:b/>
          <w:bCs/>
        </w:rPr>
        <w:t xml:space="preserve">2-portaisen hyväksynnän</w:t>
      </w:r>
      <w:r>
        <w:t xml:space="preserve">: ensin projektipäällikön (1/2) ja lopuksi tuotantojohtajan (2/2) hyväksynnän</w:t>
      </w:r>
      <w:hyperlink r:id="rId21">
        <w:r>
          <w:rPr>
            <w:rStyle w:val="Hyperlink"/>
          </w:rPr>
          <w:t xml:space="preserve">[1]</w:t>
        </w:r>
      </w:hyperlink>
      <w:hyperlink r:id="rId22">
        <w:r>
          <w:rPr>
            <w:rStyle w:val="Hyperlink"/>
          </w:rPr>
          <w:t xml:space="preserve">[2]</w:t>
        </w:r>
      </w:hyperlink>
      <w:r>
        <w:t xml:space="preserve">. Kun työpaketin baseline on merkitty</w:t>
      </w:r>
      <w:r>
        <w:t xml:space="preserve"> </w:t>
      </w:r>
      <w:r>
        <w:rPr>
          <w:i/>
          <w:iCs/>
        </w:rPr>
        <w:t xml:space="preserve">LOCKED</w:t>
      </w:r>
      <w:r>
        <w:t xml:space="preserve">-tilaan, järjestelmä ”aktivoi” EV- ja KPI-laskennan kyseiselle paketille</w:t>
      </w:r>
      <w:hyperlink r:id="rId23">
        <w:r>
          <w:rPr>
            <w:rStyle w:val="Hyperlink"/>
          </w:rPr>
          <w:t xml:space="preserve">[3]</w:t>
        </w:r>
      </w:hyperlink>
      <w:r>
        <w:t xml:space="preserve">. Ennen lukitusta järjestelmä estää ennuste- ja toteumatietojen kirjaamisen työpaketille (liiketoimintasääntö</w:t>
      </w:r>
      <w:r>
        <w:t xml:space="preserve"> </w:t>
      </w:r>
      <w:r>
        <w:rPr>
          <w:i/>
          <w:iCs/>
        </w:rPr>
        <w:t xml:space="preserve">“suunnitelma ennen ennustetta”</w:t>
      </w:r>
      <w:r>
        <w:t xml:space="preserve">,</w:t>
      </w:r>
      <w:r>
        <w:t xml:space="preserve"> </w:t>
      </w:r>
      <w:r>
        <w:rPr>
          <w:i/>
          <w:iCs/>
        </w:rPr>
        <w:t xml:space="preserve">policy A</w:t>
      </w:r>
      <w:r>
        <w:t xml:space="preserve">)</w:t>
      </w:r>
      <w:hyperlink r:id="rId24">
        <w:r>
          <w:rPr>
            <w:rStyle w:val="Hyperlink"/>
          </w:rPr>
          <w:t xml:space="preserve">[4]</w:t>
        </w:r>
      </w:hyperlink>
      <w:r>
        <w:t xml:space="preserve">. Baseline-lukitus on siis edellytys seurantatiedon syötölle ja ansaitun arvon laskennalle.</w:t>
      </w:r>
    </w:p>
    <w:p>
      <w:pPr>
        <w:pStyle w:val="BodyText"/>
      </w:pPr>
      <w:r>
        <w:t xml:space="preserve">Codex tallentaa baselineen liittyvät muutokset</w:t>
      </w:r>
      <w:r>
        <w:t xml:space="preserve"> </w:t>
      </w:r>
      <w:r>
        <w:rPr>
          <w:b/>
          <w:bCs/>
        </w:rPr>
        <w:t xml:space="preserve">versiohistoriaan</w:t>
      </w:r>
      <w:r>
        <w:t xml:space="preserve">: baseline-suunnitelmat ovat append-only-tapahtumia (ei päivityksiä, vain uusia rivejä), mikä varmistaa historiatietojen säilymisen muuttumattomina</w:t>
      </w:r>
      <w:hyperlink r:id="rId25">
        <w:r>
          <w:rPr>
            <w:rStyle w:val="Hyperlink"/>
          </w:rPr>
          <w:t xml:space="preserve">[5]</w:t>
        </w:r>
      </w:hyperlink>
      <w:r>
        <w:t xml:space="preserve">. Baselineen kuuluvat budjettirivit on myös suojattu – esim.</w:t>
      </w:r>
      <w:r>
        <w:t xml:space="preserve"> </w:t>
      </w:r>
      <w:r>
        <w:rPr>
          <w:b/>
          <w:bCs/>
        </w:rPr>
        <w:t xml:space="preserve">mapping-rivejä</w:t>
      </w:r>
      <w:r>
        <w:t xml:space="preserve"> </w:t>
      </w:r>
      <w:r>
        <w:t xml:space="preserve">(budjetin ja työpakettien kartoitus) saa muokata vain baseline-version ollessa DRAFT-tilassa</w:t>
      </w:r>
      <w:hyperlink r:id="rId26">
        <w:r>
          <w:rPr>
            <w:rStyle w:val="Hyperlink"/>
          </w:rPr>
          <w:t xml:space="preserve">[6]</w:t>
        </w:r>
      </w:hyperlink>
      <w:r>
        <w:t xml:space="preserve">. Kun baseline on lukittu, sitä vastaava budjetti (BAC) säilytetään lukittuna omassa taulussaan (esim.</w:t>
      </w:r>
      <w:r>
        <w:t xml:space="preserve"> </w:t>
      </w:r>
      <w:r>
        <w:rPr>
          <w:rStyle w:val="VerbatimChar"/>
        </w:rPr>
        <w:t xml:space="preserve">work_phase_baseline</w:t>
      </w:r>
      <w:r>
        <w:t xml:space="preserve"> </w:t>
      </w:r>
      <w:r>
        <w:t xml:space="preserve">-taulu, sisältäen summan) vertailua varten</w:t>
      </w:r>
      <w:hyperlink r:id="rId27">
        <w:r>
          <w:rPr>
            <w:rStyle w:val="Hyperlink"/>
          </w:rPr>
          <w:t xml:space="preserve">[7]</w:t>
        </w:r>
      </w:hyperlink>
      <w:r>
        <w:t xml:space="preserve">. Codex käyttää baseline-mallina vaihtoehtoa</w:t>
      </w:r>
      <w:r>
        <w:t xml:space="preserve"> </w:t>
      </w:r>
      <w:r>
        <w:rPr>
          <w:i/>
          <w:iCs/>
        </w:rPr>
        <w:t xml:space="preserve">“baseline lukitaan + muutosbudjetti erikseen”</w:t>
      </w:r>
      <w:r>
        <w:t xml:space="preserve">, eli alkuperäinen baseline pidetään muuttumattomana referenssinä ja kaikki myöhemmät muutokset hallitaan erillisinä budjetin muutoksina</w:t>
      </w:r>
      <w:hyperlink r:id="rId28">
        <w:r>
          <w:rPr>
            <w:rStyle w:val="Hyperlink"/>
          </w:rPr>
          <w:t xml:space="preserve">[8]</w:t>
        </w:r>
      </w:hyperlink>
      <w:r>
        <w:t xml:space="preserve">. Järjestelmän raporteissa voidaan näyttää</w:t>
      </w:r>
      <w:r>
        <w:t xml:space="preserve"> </w:t>
      </w:r>
      <w:r>
        <w:rPr>
          <w:b/>
          <w:bCs/>
        </w:rPr>
        <w:t xml:space="preserve">alkuperäinen baseline</w:t>
      </w:r>
      <w:r>
        <w:t xml:space="preserve"> </w:t>
      </w:r>
      <w:r>
        <w:t xml:space="preserve">ja</w:t>
      </w:r>
      <w:r>
        <w:t xml:space="preserve"> </w:t>
      </w:r>
      <w:r>
        <w:rPr>
          <w:b/>
          <w:bCs/>
        </w:rPr>
        <w:t xml:space="preserve">nykyinen tavoite</w:t>
      </w:r>
      <w:r>
        <w:t xml:space="preserve"> </w:t>
      </w:r>
      <w:r>
        <w:t xml:space="preserve">(johon on lisätty hyväksytyt muutokset) erikseen, mikä on tärkeä käytäntö muutosten hallinnassa</w:t>
      </w:r>
      <w:hyperlink r:id="rId28">
        <w:r>
          <w:rPr>
            <w:rStyle w:val="Hyperlink"/>
          </w:rPr>
          <w:t xml:space="preserve">[8]</w:t>
        </w:r>
      </w:hyperlink>
      <w:r>
        <w:t xml:space="preserve">.</w:t>
      </w:r>
    </w:p>
    <w:p>
      <w:pPr>
        <w:pStyle w:val="BodyText"/>
      </w:pPr>
      <w:r>
        <w:rPr>
          <w:b/>
          <w:bCs/>
        </w:rPr>
        <w:t xml:space="preserve">Standardien vertailu:</w:t>
      </w:r>
      <w:r>
        <w:t xml:space="preserve"> </w:t>
      </w:r>
      <w:r>
        <w:t xml:space="preserve">Kansainväliset EV-käytännöt painottavat baseline-tavoitearvion kontrolloitua hallintaa. Esimerkiksi ISO 21508 korostaa, että EVM-järjestelmän tulee sisältää</w:t>
      </w:r>
      <w:r>
        <w:t xml:space="preserve"> </w:t>
      </w:r>
      <w:r>
        <w:rPr>
          <w:b/>
          <w:bCs/>
        </w:rPr>
        <w:t xml:space="preserve">formaalit menetelmät baseline-muutosten hallitulle hyväksynnälle</w:t>
      </w:r>
      <w:r>
        <w:t xml:space="preserve"> </w:t>
      </w:r>
      <w:r>
        <w:t xml:space="preserve">ja että vain valtuutetut henkilöt saavat tehdä muutoksia</w:t>
      </w:r>
      <w:hyperlink r:id="rId29">
        <w:r>
          <w:rPr>
            <w:rStyle w:val="Hyperlink"/>
          </w:rPr>
          <w:t xml:space="preserve">[9]</w:t>
        </w:r>
      </w:hyperlink>
      <w:hyperlink r:id="rId30">
        <w:r>
          <w:rPr>
            <w:rStyle w:val="Hyperlink"/>
          </w:rPr>
          <w:t xml:space="preserve">[10]</w:t>
        </w:r>
      </w:hyperlink>
      <w:r>
        <w:t xml:space="preserve">. GAOn Earned Value -ohjeissa ja PMI PMBOKissa vaaditaan baseline-muutoksille selkeät hyväksyntämenettelyt (esim. muutospyyntökomitea) sekä audit trail eli loki, josta käy ilmi mitä muutettiin, milloin ja kenen hyväksynnällä</w:t>
      </w:r>
      <w:hyperlink r:id="rId31">
        <w:r>
          <w:rPr>
            <w:rStyle w:val="Hyperlink"/>
          </w:rPr>
          <w:t xml:space="preserve">[11]</w:t>
        </w:r>
      </w:hyperlink>
      <w:r>
        <w:t xml:space="preserve">. Codex toteuttaa nämä periaatteet: baseline-muutos (kuten uuden kustannusrivin lisääminen työpakettiin) tehdään ehdotuksena ja kahden esimiehen hyväksymänä</w:t>
      </w:r>
      <w:hyperlink r:id="rId32">
        <w:r>
          <w:rPr>
            <w:rStyle w:val="Hyperlink"/>
          </w:rPr>
          <w:t xml:space="preserve">[12]</w:t>
        </w:r>
      </w:hyperlink>
      <w:r>
        <w:t xml:space="preserve">, ja jokainen muutos kirjautuu</w:t>
      </w:r>
      <w:r>
        <w:t xml:space="preserve"> </w:t>
      </w:r>
      <w:r>
        <w:rPr>
          <w:b/>
          <w:bCs/>
        </w:rPr>
        <w:t xml:space="preserve">audit-logiin</w:t>
      </w:r>
      <w:r>
        <w:t xml:space="preserve"> </w:t>
      </w:r>
      <w:r>
        <w:t xml:space="preserve">(</w:t>
      </w:r>
      <w:r>
        <w:rPr>
          <w:rStyle w:val="VerbatimChar"/>
        </w:rPr>
        <w:t xml:space="preserve">planning_events</w:t>
      </w:r>
      <w:r>
        <w:t xml:space="preserve"> </w:t>
      </w:r>
      <w:r>
        <w:t xml:space="preserve">ja</w:t>
      </w:r>
      <w:r>
        <w:t xml:space="preserve"> </w:t>
      </w:r>
      <w:r>
        <w:rPr>
          <w:rStyle w:val="VerbatimChar"/>
        </w:rPr>
        <w:t xml:space="preserve">mapping_event_log</w:t>
      </w:r>
      <w:r>
        <w:t xml:space="preserve"> </w:t>
      </w:r>
      <w:r>
        <w:t xml:space="preserve">-taulut) append-only-periaatteella</w:t>
      </w:r>
      <w:hyperlink r:id="rId33">
        <w:r>
          <w:rPr>
            <w:rStyle w:val="Hyperlink"/>
          </w:rPr>
          <w:t xml:space="preserve">[13]</w:t>
        </w:r>
      </w:hyperlink>
      <w:hyperlink r:id="rId34">
        <w:r>
          <w:rPr>
            <w:rStyle w:val="Hyperlink"/>
          </w:rPr>
          <w:t xml:space="preserve">[14]</w:t>
        </w:r>
      </w:hyperlink>
      <w:r>
        <w:t xml:space="preserve">. Standardien mukaan baseline ei saa muuttua ilman jäljitettävyyttä; Codexin audit-trail varmistaa, että</w:t>
      </w:r>
      <w:r>
        <w:t xml:space="preserve"> </w:t>
      </w:r>
      <w:r>
        <w:rPr>
          <w:i/>
          <w:iCs/>
        </w:rPr>
        <w:t xml:space="preserve">“Baseline-muutokset ovat jäljitettävissä audit trailin avulla”</w:t>
      </w:r>
      <w:hyperlink r:id="rId31">
        <w:r>
          <w:rPr>
            <w:rStyle w:val="Hyperlink"/>
          </w:rPr>
          <w:t xml:space="preserve">[11]</w:t>
        </w:r>
      </w:hyperlink>
      <w:r>
        <w:t xml:space="preserve">.</w:t>
      </w:r>
    </w:p>
    <w:p>
      <w:pPr>
        <w:pStyle w:val="BodyText"/>
      </w:pPr>
      <w:r>
        <w:rPr>
          <w:b/>
          <w:bCs/>
        </w:rPr>
        <w:t xml:space="preserve">Huomioita:</w:t>
      </w:r>
      <w:r>
        <w:t xml:space="preserve"> </w:t>
      </w:r>
      <w:r>
        <w:t xml:space="preserve">Codexin baseline-lukitusmekanismi on vahvasti standardien mukainen. Kahden portaan hyväksyntä on ehkä tavanomaista formalisoidumpi kuin monissa pienemmissä projekteissa, mutta se vastaa hyvin rakennusalan käytäntöä, jossa työmaainsinööri ja projektijohto hyväksyvät budjettilukot. Tämä on</w:t>
      </w:r>
      <w:r>
        <w:t xml:space="preserve"> </w:t>
      </w:r>
      <w:r>
        <w:rPr>
          <w:b/>
          <w:bCs/>
        </w:rPr>
        <w:t xml:space="preserve">fiksu, joskin ei universaalisti käytetty ratkaisu</w:t>
      </w:r>
      <w:r>
        <w:t xml:space="preserve"> </w:t>
      </w:r>
      <w:r>
        <w:t xml:space="preserve">– standardit eivät spesifioi nimenomaisesti kahta hyväksymistasoa, vaan jättävät organisaatiolle päätettäväksi riittävät valtuutukset. Codexin tapa ylittää minimivaatimukset varmistamalla, että baseline-lukitus on aina organisaation hierarkian asianmukaisten henkilöiden käsissä. Mahdollinen ero standardeihin on se, että Codex päivittää EV/CPI-arvot</w:t>
      </w:r>
      <w:r>
        <w:t xml:space="preserve"> </w:t>
      </w:r>
      <w:r>
        <w:rPr>
          <w:i/>
          <w:iCs/>
        </w:rPr>
        <w:t xml:space="preserve">takautuvasti</w:t>
      </w:r>
      <w:r>
        <w:t xml:space="preserve"> </w:t>
      </w:r>
      <w:r>
        <w:t xml:space="preserve">uusimman baseline-version pohjalta myös menneille jaksoille (Phase 17 mukaan</w:t>
      </w:r>
      <w:r>
        <w:t xml:space="preserve"> </w:t>
      </w:r>
      <w:r>
        <w:rPr>
          <w:i/>
          <w:iCs/>
        </w:rPr>
        <w:t xml:space="preserve">“EV/CPI päivittyy retroaktiivisesti”</w:t>
      </w:r>
      <w:r>
        <w:t xml:space="preserve"> </w:t>
      </w:r>
      <w:r>
        <w:t xml:space="preserve">uuden baseline-version myötä</w:t>
      </w:r>
      <w:hyperlink r:id="rId35">
        <w:r>
          <w:rPr>
            <w:rStyle w:val="Hyperlink"/>
          </w:rPr>
          <w:t xml:space="preserve">[15]</w:t>
        </w:r>
      </w:hyperlink>
      <w:r>
        <w:t xml:space="preserve">). Perinteisesti EVM-standardit suosittelevat, ettei aiempaa suorituskykydataa vääristetä baseline-muutoksilla, vaan että poikkeamat raportoidaan erikseen. Codexin ratkaisu – lisätä alun perin puuttunut kustannuserä baselineen jälkikäteen ikään kuin se olisi ollut siellä alusta asti – on ymmärrettävä korjaus</w:t>
      </w:r>
      <w:r>
        <w:t xml:space="preserve"> </w:t>
      </w:r>
      <w:r>
        <w:rPr>
          <w:b/>
          <w:bCs/>
        </w:rPr>
        <w:t xml:space="preserve">alkuperäisen virheen</w:t>
      </w:r>
      <w:r>
        <w:t xml:space="preserve"> </w:t>
      </w:r>
      <w:r>
        <w:t xml:space="preserve">paikkaamiseksi. Tämä on hyväksyttävä käytäntö, kunhan audit trailista ilmenee muutos ja sen syy. Se kuitenkin poikkeaa hieman tavanomaisesta, jossa baseline-muutos vaikuttaisi</w:t>
      </w:r>
      <w:r>
        <w:t xml:space="preserve"> </w:t>
      </w:r>
      <w:r>
        <w:rPr>
          <w:i/>
          <w:iCs/>
        </w:rPr>
        <w:t xml:space="preserve">nykyhetkestä eteenpäin</w:t>
      </w:r>
      <w:r>
        <w:t xml:space="preserve"> </w:t>
      </w:r>
      <w:r>
        <w:t xml:space="preserve">eikä muuttaisi menneiden jaksojen EV/CPI-historiaa. Codex kirjaa muutoksen syyn ja pitää alkuperäisen baseline-arvon tallessa, joten tietojen tulkittavuus säilyy. Käytännössä ratkaisu pienentää riskiä, että baseline-virhe vääristäisi koko projektin EVM-seurantaa – mutta käyttäjän tulee ymmärtää, että EV/CPI-käyrät ovat</w:t>
      </w:r>
      <w:r>
        <w:t xml:space="preserve"> </w:t>
      </w:r>
      <w:r>
        <w:rPr>
          <w:i/>
          <w:iCs/>
        </w:rPr>
        <w:t xml:space="preserve">korjautuneet</w:t>
      </w:r>
      <w:r>
        <w:t xml:space="preserve"> </w:t>
      </w:r>
      <w:r>
        <w:t xml:space="preserve">taaksepäin.</w:t>
      </w:r>
    </w:p>
    <w:bookmarkEnd w:id="36"/>
    <w:bookmarkStart w:id="60" w:name="ev-ac-bac-ja-cpi-laskenta-ja-ehdot"/>
    <w:p>
      <w:pPr>
        <w:pStyle w:val="Heading2"/>
      </w:pPr>
      <w:r>
        <w:t xml:space="preserve">EV, AC, BAC ja CPI – laskenta ja ehdot</w:t>
      </w:r>
    </w:p>
    <w:p>
      <w:pPr>
        <w:pStyle w:val="FirstParagraph"/>
      </w:pPr>
      <w:r>
        <w:rPr>
          <w:b/>
          <w:bCs/>
        </w:rPr>
        <w:t xml:space="preserve">Codexin käytäntö:</w:t>
      </w:r>
      <w:r>
        <w:t xml:space="preserve"> </w:t>
      </w:r>
      <w:r>
        <w:t xml:space="preserve">Järjestelmässä Earned Value -tunnusluvut on määritelty selkeästi ja yhdenmukaisesti.</w:t>
      </w:r>
      <w:r>
        <w:t xml:space="preserve"> </w:t>
      </w:r>
      <w:r>
        <w:rPr>
          <w:b/>
          <w:bCs/>
        </w:rPr>
        <w:t xml:space="preserve">BAC (Budget at Completion)</w:t>
      </w:r>
      <w:r>
        <w:t xml:space="preserve"> </w:t>
      </w:r>
      <w:r>
        <w:t xml:space="preserve">tarkoittaa työpaketin lukitun baselinen budjettia euroina</w:t>
      </w:r>
      <w:hyperlink r:id="rId37">
        <w:r>
          <w:rPr>
            <w:rStyle w:val="Hyperlink"/>
          </w:rPr>
          <w:t xml:space="preserve">[16]</w:t>
        </w:r>
      </w:hyperlink>
      <w:r>
        <w:t xml:space="preserve">. BAC lasketaan summana kaikista kyseisen työpaketin baselineen kuuluvista budjettiriveistä, ja BAC näytetään vain työpaketeille, joilla on lukittu baseline</w:t>
      </w:r>
      <w:hyperlink r:id="rId37">
        <w:r>
          <w:rPr>
            <w:rStyle w:val="Hyperlink"/>
          </w:rPr>
          <w:t xml:space="preserve">[16]</w:t>
        </w:r>
      </w:hyperlink>
      <w:hyperlink r:id="rId38">
        <w:r>
          <w:rPr>
            <w:rStyle w:val="Hyperlink"/>
          </w:rPr>
          <w:t xml:space="preserve">[17]</w:t>
        </w:r>
      </w:hyperlink>
      <w:r>
        <w:t xml:space="preserve">.</w:t>
      </w:r>
      <w:r>
        <w:t xml:space="preserve"> </w:t>
      </w:r>
      <w:r>
        <w:rPr>
          <w:b/>
          <w:bCs/>
        </w:rPr>
        <w:t xml:space="preserve">EV (Earned Value, “ansaittu arvo”)</w:t>
      </w:r>
      <w:r>
        <w:t xml:space="preserve"> </w:t>
      </w:r>
      <w:r>
        <w:t xml:space="preserve">lasketaan kaavalla</w:t>
      </w:r>
      <w:r>
        <w:t xml:space="preserve"> </w:t>
      </w:r>
      <w:r>
        <w:rPr>
          <w:i/>
          <w:iCs/>
        </w:rPr>
        <w:t xml:space="preserve">EV = BAC * (PCT / 100%)</w:t>
      </w:r>
      <w:r>
        <w:t xml:space="preserve">, jossa</w:t>
      </w:r>
      <w:r>
        <w:t xml:space="preserve"> </w:t>
      </w:r>
      <w:r>
        <w:rPr>
          <w:i/>
          <w:iCs/>
        </w:rPr>
        <w:t xml:space="preserve">PCT</w:t>
      </w:r>
      <w:r>
        <w:t xml:space="preserve"> </w:t>
      </w:r>
      <w:r>
        <w:t xml:space="preserve">on työpaketin</w:t>
      </w:r>
      <w:r>
        <w:t xml:space="preserve"> </w:t>
      </w:r>
      <w:r>
        <w:rPr>
          <w:b/>
          <w:bCs/>
        </w:rPr>
        <w:t xml:space="preserve">valmiusaste (% complete)</w:t>
      </w:r>
      <w:hyperlink r:id="rId39">
        <w:r>
          <w:rPr>
            <w:rStyle w:val="Hyperlink"/>
          </w:rPr>
          <w:t xml:space="preserve">[18]</w:t>
        </w:r>
      </w:hyperlink>
      <w:hyperlink r:id="rId40">
        <w:r>
          <w:rPr>
            <w:rStyle w:val="Hyperlink"/>
          </w:rPr>
          <w:t xml:space="preserve">[19]</w:t>
        </w:r>
      </w:hyperlink>
      <w:r>
        <w:t xml:space="preserve">. EV kuvastaa, kuinka paljon budjetoitua työtä on tehty euroissa mitattuna – esimerkiksi jos BAC on 100 000 € ja työ on 25 % valmis, EV = 25 000 €</w:t>
      </w:r>
      <w:hyperlink r:id="rId39">
        <w:r>
          <w:rPr>
            <w:rStyle w:val="Hyperlink"/>
          </w:rPr>
          <w:t xml:space="preserve">[18]</w:t>
        </w:r>
      </w:hyperlink>
      <w:hyperlink r:id="rId40">
        <w:r>
          <w:rPr>
            <w:rStyle w:val="Hyperlink"/>
          </w:rPr>
          <w:t xml:space="preserve">[19]</w:t>
        </w:r>
      </w:hyperlink>
      <w:r>
        <w:t xml:space="preserve">. Ehtona Codexissa on, että EV lasketaan</w:t>
      </w:r>
      <w:r>
        <w:t xml:space="preserve"> </w:t>
      </w:r>
      <w:r>
        <w:rPr>
          <w:b/>
          <w:bCs/>
        </w:rPr>
        <w:t xml:space="preserve">vain, jos baseline on lukittu ja työpaketin valmiusaste on syötetty</w:t>
      </w:r>
      <w:r>
        <w:t xml:space="preserve">; muuten EV:lle ei anneta arvoa (järjestelmä näyttää EV- ja CPI-kentät tyhjinä)</w:t>
      </w:r>
      <w:hyperlink r:id="rId41">
        <w:r>
          <w:rPr>
            <w:rStyle w:val="Hyperlink"/>
          </w:rPr>
          <w:t xml:space="preserve">[20]</w:t>
        </w:r>
      </w:hyperlink>
      <w:hyperlink r:id="rId42">
        <w:r>
          <w:rPr>
            <w:rStyle w:val="Hyperlink"/>
          </w:rPr>
          <w:t xml:space="preserve">[21]</w:t>
        </w:r>
      </w:hyperlink>
      <w:r>
        <w:t xml:space="preserve">. Tämä estää virheelliset tai ennenaikaiset EV-arvot – esim. juuri perustetulle työpaketille, jolle ei ole baselinea tai %valmiutta, EV/CPI näytetään tarkoituksella</w:t>
      </w:r>
      <w:r>
        <w:t xml:space="preserve"> </w:t>
      </w:r>
      <w:r>
        <w:rPr>
          <w:i/>
          <w:iCs/>
        </w:rPr>
        <w:t xml:space="preserve">NULL</w:t>
      </w:r>
      <w:r>
        <w:t xml:space="preserve">-arvoina standardisääntöjen mukaisesti</w:t>
      </w:r>
      <w:hyperlink r:id="rId43">
        <w:r>
          <w:rPr>
            <w:rStyle w:val="Hyperlink"/>
          </w:rPr>
          <w:t xml:space="preserve">[22]</w:t>
        </w:r>
      </w:hyperlink>
      <w:hyperlink r:id="rId41">
        <w:r>
          <w:rPr>
            <w:rStyle w:val="Hyperlink"/>
          </w:rPr>
          <w:t xml:space="preserve">[20]</w:t>
        </w:r>
      </w:hyperlink>
      <w:r>
        <w:t xml:space="preserve">.</w:t>
      </w:r>
    </w:p>
    <w:p>
      <w:pPr>
        <w:pStyle w:val="BodyText"/>
      </w:pPr>
      <w:r>
        <w:rPr>
          <w:b/>
          <w:bCs/>
        </w:rPr>
        <w:t xml:space="preserve">Actual Cost (AC, toteutunut kustannus)</w:t>
      </w:r>
      <w:r>
        <w:t xml:space="preserve"> </w:t>
      </w:r>
      <w:r>
        <w:t xml:space="preserve">muodostuu Codexissa kirjanpidon toteumista. AC lasketaan summana</w:t>
      </w:r>
      <w:r>
        <w:t xml:space="preserve"> </w:t>
      </w:r>
      <w:r>
        <w:rPr>
          <w:rStyle w:val="VerbatimChar"/>
        </w:rPr>
        <w:t xml:space="preserve">actual_cost_lines</w:t>
      </w:r>
      <w:r>
        <w:t xml:space="preserve">-taulun riveistä, jotka on</w:t>
      </w:r>
      <w:r>
        <w:t xml:space="preserve"> </w:t>
      </w:r>
      <w:r>
        <w:rPr>
          <w:b/>
          <w:bCs/>
        </w:rPr>
        <w:t xml:space="preserve">mappätty</w:t>
      </w:r>
      <w:r>
        <w:t xml:space="preserve"> </w:t>
      </w:r>
      <w:r>
        <w:t xml:space="preserve">kyseiselle työpaketille kuuluviksi kustannuksiksi</w:t>
      </w:r>
      <w:hyperlink r:id="rId44">
        <w:r>
          <w:rPr>
            <w:rStyle w:val="Hyperlink"/>
          </w:rPr>
          <w:t xml:space="preserve">[23]</w:t>
        </w:r>
      </w:hyperlink>
      <w:hyperlink r:id="rId45">
        <w:r>
          <w:rPr>
            <w:rStyle w:val="Hyperlink"/>
          </w:rPr>
          <w:t xml:space="preserve">[24]</w:t>
        </w:r>
      </w:hyperlink>
      <w:r>
        <w:t xml:space="preserve">. Käytännössä toteumat (laskut, palkat jne.) tuodaan järjestelmään projektitasolla, ja</w:t>
      </w:r>
      <w:r>
        <w:t xml:space="preserve"> </w:t>
      </w:r>
      <w:r>
        <w:rPr>
          <w:b/>
          <w:bCs/>
        </w:rPr>
        <w:t xml:space="preserve">näkymät jaksottavat ja kohdistavat</w:t>
      </w:r>
      <w:r>
        <w:t xml:space="preserve"> </w:t>
      </w:r>
      <w:r>
        <w:t xml:space="preserve">ne työpaketeille kartoitussääntöjen perusteella</w:t>
      </w:r>
      <w:hyperlink r:id="rId45">
        <w:r>
          <w:rPr>
            <w:rStyle w:val="Hyperlink"/>
          </w:rPr>
          <w:t xml:space="preserve">[24]</w:t>
        </w:r>
      </w:hyperlink>
      <w:r>
        <w:t xml:space="preserve">. Codex huomioi, että todelliset toteumatiedot tulevat usein viiveellä (esim. laskujen sykli): siksi AC voi päivittyä jälkikäteen, mikä on rakennusprojekteissa tavanomaista</w:t>
      </w:r>
      <w:hyperlink r:id="rId46">
        <w:r>
          <w:rPr>
            <w:rStyle w:val="Hyperlink"/>
          </w:rPr>
          <w:t xml:space="preserve">[25]</w:t>
        </w:r>
      </w:hyperlink>
      <w:r>
        <w:t xml:space="preserve">. AC-arvoa ei tallenneta erillisenä kenttänä, vaan se lasketaan kyselyn yhteydessä aina viimeisimpien toteumatietojen perusteella (johdettu tieto)</w:t>
      </w:r>
      <w:hyperlink r:id="rId47">
        <w:r>
          <w:rPr>
            <w:rStyle w:val="Hyperlink"/>
          </w:rPr>
          <w:t xml:space="preserve">[26]</w:t>
        </w:r>
      </w:hyperlink>
      <w:hyperlink r:id="rId48">
        <w:r>
          <w:rPr>
            <w:rStyle w:val="Hyperlink"/>
          </w:rPr>
          <w:t xml:space="preserve">[27]</w:t>
        </w:r>
      </w:hyperlink>
      <w:r>
        <w:t xml:space="preserve">.</w:t>
      </w:r>
    </w:p>
    <w:p>
      <w:pPr>
        <w:pStyle w:val="BodyText"/>
      </w:pPr>
      <w:r>
        <w:t xml:space="preserve">Codex laajentaa standardin mukaista AC-käsitettä esittelemällä</w:t>
      </w:r>
      <w:r>
        <w:t xml:space="preserve"> </w:t>
      </w:r>
      <w:r>
        <w:rPr>
          <w:b/>
          <w:bCs/>
        </w:rPr>
        <w:t xml:space="preserve">“AC</w:t>
      </w:r>
      <w:r>
        <w:rPr>
          <w:b/>
          <w:bCs/>
          <w:i/>
          <w:iCs/>
        </w:rPr>
        <w:t xml:space="preserve">” (AC-star)</w:t>
      </w:r>
      <w:r>
        <w:rPr>
          <w:b/>
          <w:bCs/>
          <w:i/>
          <w:iCs/>
        </w:rPr>
        <w:t xml:space="preserve"> </w:t>
      </w:r>
      <w:r>
        <w:rPr>
          <w:b/>
          <w:b/>
          <w:bCs/>
          <w:bCs/>
          <w:i/>
          <w:iCs/>
        </w:rPr>
        <w:t xml:space="preserve">-luvun.</w:t>
      </w:r>
      <w:r>
        <w:rPr>
          <w:b/>
          <w:bCs/>
          <w:i/>
          <w:iCs/>
        </w:rPr>
        <w:t xml:space="preserve"> </w:t>
      </w:r>
      <w:r>
        <w:rPr>
          <w:b/>
          <w:bCs/>
          <w:i/>
          <w:iCs/>
        </w:rPr>
        <w:t xml:space="preserve">GHOST_OPEN (“haamukulu”)</w:t>
      </w:r>
      <w:r>
        <w:rPr>
          <w:b/>
          <w:bCs/>
          <w:i/>
          <w:iCs/>
        </w:rPr>
        <w:t xml:space="preserve"> </w:t>
      </w:r>
      <w:r>
        <w:rPr>
          <w:b/>
          <w:b/>
          <w:bCs/>
          <w:bCs/>
          <w:i/>
          <w:iCs/>
        </w:rPr>
        <w:t xml:space="preserve">on järjestelmän käsite kustannuksille, jotka työmaa on ilmoittanut tehdystä työstä mutta jotka</w:t>
      </w:r>
      <w:r>
        <w:rPr>
          <w:b/>
          <w:bCs/>
          <w:i/>
          <w:iCs/>
        </w:rPr>
        <w:t xml:space="preserve"> </w:t>
      </w:r>
      <w:r>
        <w:rPr>
          <w:b/>
          <w:bCs/>
          <w:i/>
          <w:iCs/>
        </w:rPr>
        <w:t xml:space="preserve">eivät vielä näy kirjanpidon toteumissa</w:t>
      </w:r>
      <w:hyperlink r:id="rId49">
        <w:r>
          <w:rPr>
            <w:rStyle w:val="Hyperlink"/>
            <w:b/>
            <w:b/>
            <w:bCs/>
            <w:bCs/>
            <w:i/>
            <w:iCs/>
          </w:rPr>
          <w:t xml:space="preserve">[28]</w:t>
        </w:r>
      </w:hyperlink>
      <w:hyperlink r:id="rId50">
        <w:r>
          <w:rPr>
            <w:rStyle w:val="Hyperlink"/>
            <w:b/>
            <w:b/>
            <w:bCs/>
            <w:bCs/>
            <w:i/>
            <w:iCs/>
          </w:rPr>
          <w:t xml:space="preserve">[29]</w:t>
        </w:r>
      </w:hyperlink>
      <w:r>
        <w:rPr>
          <w:b/>
          <w:b/>
          <w:bCs/>
          <w:bCs/>
          <w:i/>
          <w:iCs/>
        </w:rPr>
        <w:t xml:space="preserve">. Esimerkiksi työ on tehty ja kustannus tiedetään, mutta lasku ei ole vielä saapunut – tämä kirjataan</w:t>
      </w:r>
      <w:r>
        <w:rPr>
          <w:b/>
          <w:b/>
          <w:bCs/>
          <w:bCs/>
          <w:i/>
          <w:iCs/>
        </w:rPr>
        <w:t xml:space="preserve"> </w:t>
      </w:r>
      <w:r>
        <w:rPr>
          <w:b/>
          <w:b/>
          <w:bCs/>
          <w:bCs/>
          <w:i/>
          <w:i/>
          <w:iCs/>
          <w:iCs/>
        </w:rPr>
        <w:t xml:space="preserve">Ghost</w:t>
      </w:r>
      <w:r>
        <w:rPr>
          <w:b/>
          <w:b/>
          <w:bCs/>
          <w:bCs/>
          <w:i/>
          <w:iCs/>
        </w:rPr>
        <w:t xml:space="preserve">-lukuna viikkoraportissa, jotta ennusteessa voidaan huomioida tuleva kulu</w:t>
      </w:r>
      <w:hyperlink r:id="rId49">
        <w:r>
          <w:rPr>
            <w:rStyle w:val="Hyperlink"/>
            <w:b/>
            <w:b/>
            <w:bCs/>
            <w:bCs/>
            <w:i/>
            <w:iCs/>
          </w:rPr>
          <w:t xml:space="preserve">[28]</w:t>
        </w:r>
      </w:hyperlink>
      <w:hyperlink r:id="rId50">
        <w:r>
          <w:rPr>
            <w:rStyle w:val="Hyperlink"/>
            <w:b/>
            <w:b/>
            <w:bCs/>
            <w:bCs/>
            <w:i/>
            <w:iCs/>
          </w:rPr>
          <w:t xml:space="preserve">[29]</w:t>
        </w:r>
      </w:hyperlink>
      <w:r>
        <w:rPr>
          <w:b/>
          <w:b/>
          <w:bCs/>
          <w:bCs/>
          <w:i/>
          <w:iCs/>
        </w:rPr>
        <w:t xml:space="preserve">. Haamukulu tallentuu tietokantaan osana viikkopäivitystä (forecast event) ja oletuksena se on 0, ellei arvoa anneta</w:t>
      </w:r>
      <w:hyperlink r:id="rId51">
        <w:r>
          <w:rPr>
            <w:rStyle w:val="Hyperlink"/>
            <w:b/>
            <w:b/>
            <w:bCs/>
            <w:bCs/>
            <w:i/>
            <w:iCs/>
          </w:rPr>
          <w:t xml:space="preserve">[30]</w:t>
        </w:r>
      </w:hyperlink>
      <w:hyperlink r:id="rId52">
        <w:r>
          <w:rPr>
            <w:rStyle w:val="Hyperlink"/>
            <w:b/>
            <w:b/>
            <w:bCs/>
            <w:bCs/>
            <w:i/>
            <w:iCs/>
          </w:rPr>
          <w:t xml:space="preserve">[31]</w:t>
        </w:r>
      </w:hyperlink>
      <w:r>
        <w:rPr>
          <w:b/>
          <w:b/>
          <w:bCs/>
          <w:bCs/>
          <w:i/>
          <w:iCs/>
        </w:rPr>
        <w:t xml:space="preserve">.</w:t>
      </w:r>
      <w:r>
        <w:rPr>
          <w:b/>
          <w:bCs/>
          <w:i/>
          <w:iCs/>
        </w:rPr>
        <w:t xml:space="preserve"> </w:t>
      </w:r>
      <w:r>
        <w:rPr>
          <w:b/>
          <w:bCs/>
          <w:i/>
          <w:iCs/>
        </w:rPr>
        <w:t xml:space="preserve">AC</w:t>
      </w:r>
      <w:r>
        <w:t xml:space="preserve"> </w:t>
      </w:r>
      <w:r>
        <w:t xml:space="preserve">on sitten määritelty</w:t>
      </w:r>
      <w:r>
        <w:t xml:space="preserve"> </w:t>
      </w:r>
      <w:r>
        <w:rPr>
          <w:i/>
          <w:iCs/>
        </w:rPr>
        <w:t xml:space="preserve">“Actual + Ghost”</w:t>
      </w:r>
      <w:r>
        <w:t xml:space="preserve"> </w:t>
      </w:r>
      <w:r>
        <w:t xml:space="preserve">eli AC</w:t>
      </w:r>
      <w:r>
        <w:t xml:space="preserve"> </w:t>
      </w:r>
      <w:r>
        <w:rPr>
          <w:i/>
          <w:iCs/>
        </w:rPr>
        <w:t xml:space="preserve">= AC + Ghost</w:t>
      </w:r>
      <w:hyperlink r:id="rId53">
        <w:r>
          <w:rPr>
            <w:rStyle w:val="Hyperlink"/>
            <w:i/>
            <w:iCs/>
          </w:rPr>
          <w:t xml:space="preserve">[32]</w:t>
        </w:r>
      </w:hyperlink>
      <w:r>
        <w:rPr>
          <w:i/>
          <w:iCs/>
        </w:rPr>
        <w:t xml:space="preserve">. Tämä luku edustaa</w:t>
      </w:r>
      <w:r>
        <w:t xml:space="preserve"> </w:t>
      </w:r>
      <w:r>
        <w:t xml:space="preserve">toteutuneita kustannuksia + jo tiedossa olevia, accrual-tyyppisiä kuluja</w:t>
      </w:r>
      <w:r>
        <w:rPr>
          <w:i/>
          <w:iCs/>
        </w:rPr>
        <w:t xml:space="preserve">. AC</w:t>
      </w:r>
      <w:r>
        <w:t xml:space="preserve"> </w:t>
      </w:r>
      <w:r>
        <w:t xml:space="preserve">on aina laskettavissa (jos Ghost puuttuu, AC</w:t>
      </w:r>
      <w:r>
        <w:t xml:space="preserve"> </w:t>
      </w:r>
      <w:r>
        <w:rPr>
          <w:i/>
          <w:iCs/>
        </w:rPr>
        <w:t xml:space="preserve">= AC)</w:t>
      </w:r>
      <w:hyperlink r:id="rId53">
        <w:r>
          <w:rPr>
            <w:rStyle w:val="Hyperlink"/>
            <w:i/>
            <w:iCs/>
          </w:rPr>
          <w:t xml:space="preserve">[32]</w:t>
        </w:r>
      </w:hyperlink>
      <w:hyperlink r:id="rId54">
        <w:r>
          <w:rPr>
            <w:rStyle w:val="Hyperlink"/>
            <w:i/>
            <w:iCs/>
          </w:rPr>
          <w:t xml:space="preserve">[33]</w:t>
        </w:r>
      </w:hyperlink>
      <w:r>
        <w:rPr>
          <w:i/>
          <w:iCs/>
        </w:rPr>
        <w:t xml:space="preserve">.</w:t>
      </w:r>
      <w:r>
        <w:t xml:space="preserve"> </w:t>
      </w:r>
      <w:r>
        <w:rPr>
          <w:i/>
          <w:iCs/>
        </w:rPr>
        <w:t xml:space="preserve">CPI (Cost Performance Index)</w:t>
      </w:r>
      <w:r>
        <w:t xml:space="preserve"> </w:t>
      </w:r>
      <w:r>
        <w:rPr>
          <w:i/>
          <w:iCs/>
        </w:rPr>
        <w:t xml:space="preserve">lasketaan kaavalla</w:t>
      </w:r>
      <w:r>
        <w:t xml:space="preserve"> </w:t>
      </w:r>
      <w:r>
        <w:t xml:space="preserve">CPI = EV / AC</w:t>
      </w:r>
      <w:r>
        <w:rPr>
          <w:b/>
          <w:bCs/>
          <w:i/>
          <w:iCs/>
        </w:rPr>
        <w:t xml:space="preserve">, pyöristettynä nelään desimaaliin</w:t>
      </w:r>
      <w:hyperlink r:id="rId55">
        <w:r>
          <w:rPr>
            <w:rStyle w:val="Hyperlink"/>
            <w:b/>
            <w:bCs/>
            <w:i/>
            <w:iCs/>
          </w:rPr>
          <w:t xml:space="preserve">[34]</w:t>
        </w:r>
      </w:hyperlink>
      <w:hyperlink r:id="rId56">
        <w:r>
          <w:rPr>
            <w:rStyle w:val="Hyperlink"/>
            <w:b/>
            <w:bCs/>
            <w:i/>
            <w:iCs/>
          </w:rPr>
          <w:t xml:space="preserve">[35]</w:t>
        </w:r>
      </w:hyperlink>
      <w:r>
        <w:rPr>
          <w:b/>
          <w:bCs/>
          <w:i/>
          <w:iCs/>
        </w:rPr>
        <w:t xml:space="preserve">. CPI:n tulkinta on standardin mukainen:</w:t>
      </w:r>
      <w:r>
        <w:rPr>
          <w:b/>
          <w:bCs/>
        </w:rPr>
        <w:t xml:space="preserve"> </w:t>
      </w:r>
      <w:r>
        <w:rPr>
          <w:b/>
          <w:bCs/>
        </w:rPr>
        <w:t xml:space="preserve">CPI = 1.0* tarkoittaa kustannusten toteutuneen täsmälleen budjetin mukaisesti; yli 1.0 tarkoittaa alitusta (tehokkuutta) ja alle 1.0 ylitystä</w:t>
      </w:r>
      <w:hyperlink r:id="rId55">
        <w:r>
          <w:rPr>
            <w:rStyle w:val="Hyperlink"/>
            <w:b/>
            <w:bCs/>
          </w:rPr>
          <w:t xml:space="preserve">[34]</w:t>
        </w:r>
      </w:hyperlink>
      <w:hyperlink r:id="rId57">
        <w:r>
          <w:rPr>
            <w:rStyle w:val="Hyperlink"/>
            <w:b/>
            <w:bCs/>
          </w:rPr>
          <w:t xml:space="preserve">[36]</w:t>
        </w:r>
      </w:hyperlink>
      <w:r>
        <w:rPr>
          <w:b/>
          <w:bCs/>
        </w:rPr>
        <w:t xml:space="preserve">. Myös CPI:n laskennalle Codex asettaa ehdot: EV:n täytyy olla määritelty (eli baseline lukittu ja PCT annettu)</w:t>
      </w:r>
      <w:r>
        <w:t xml:space="preserve"> </w:t>
      </w:r>
      <w:r>
        <w:t xml:space="preserve">ja** AC &gt; 0, muuten CPI jätetään näyttämättä</w:t>
      </w:r>
      <w:hyperlink r:id="rId58">
        <w:r>
          <w:rPr>
            <w:rStyle w:val="Hyperlink"/>
          </w:rPr>
          <w:t xml:space="preserve">[37]</w:t>
        </w:r>
      </w:hyperlink>
      <w:hyperlink r:id="rId59">
        <w:r>
          <w:rPr>
            <w:rStyle w:val="Hyperlink"/>
          </w:rPr>
          <w:t xml:space="preserve">[38]</w:t>
        </w:r>
      </w:hyperlink>
      <w:r>
        <w:t xml:space="preserve">. Jos AC on 0 (ei kuluja vielä), CPI:lle ei ole mielekästä arvoa, ja jos EV puuttuu, CPI on NULL – tämä estää harhaanjohtavat indeksit alkutilanteessa</w:t>
      </w:r>
      <w:hyperlink r:id="rId58">
        <w:r>
          <w:rPr>
            <w:rStyle w:val="Hyperlink"/>
          </w:rPr>
          <w:t xml:space="preserve">[37]</w:t>
        </w:r>
      </w:hyperlink>
      <w:hyperlink r:id="rId59">
        <w:r>
          <w:rPr>
            <w:rStyle w:val="Hyperlink"/>
          </w:rPr>
          <w:t xml:space="preserve">[38]</w:t>
        </w:r>
      </w:hyperlink>
      <w:r>
        <w:t xml:space="preserve">.</w:t>
      </w:r>
    </w:p>
    <w:p>
      <w:pPr>
        <w:pStyle w:val="BodyText"/>
      </w:pPr>
      <w:r>
        <w:rPr>
          <w:b/>
          <w:bCs/>
        </w:rPr>
        <w:t xml:space="preserve">Standardien vertailu:</w:t>
      </w:r>
      <w:r>
        <w:t xml:space="preserve"> </w:t>
      </w:r>
      <w:r>
        <w:t xml:space="preserve">Codexin EV, AC, BAC ja CPI -määritelmät noudattavat pitkälti kansainvälisiä standardeja ja termistöä. PMI:n PMBOK (7. laitos) sekä ISO 21508 määrittelevät EV-indikaattorit juuri näin:</w:t>
      </w:r>
      <w:r>
        <w:t xml:space="preserve"> </w:t>
      </w:r>
      <w:r>
        <w:rPr>
          <w:b/>
          <w:bCs/>
        </w:rPr>
        <w:t xml:space="preserve">BAC</w:t>
      </w:r>
      <w:r>
        <w:t xml:space="preserve"> </w:t>
      </w:r>
      <w:r>
        <w:t xml:space="preserve">on työn koko budjetti,</w:t>
      </w:r>
      <w:r>
        <w:t xml:space="preserve"> </w:t>
      </w:r>
      <w:r>
        <w:rPr>
          <w:b/>
          <w:bCs/>
        </w:rPr>
        <w:t xml:space="preserve">EV</w:t>
      </w:r>
      <w:r>
        <w:t xml:space="preserve"> </w:t>
      </w:r>
      <w:r>
        <w:t xml:space="preserve">on tehtyjen töiden arvo rahassa,</w:t>
      </w:r>
      <w:r>
        <w:t xml:space="preserve"> </w:t>
      </w:r>
      <w:r>
        <w:rPr>
          <w:b/>
          <w:bCs/>
        </w:rPr>
        <w:t xml:space="preserve">AC</w:t>
      </w:r>
      <w:r>
        <w:t xml:space="preserve"> </w:t>
      </w:r>
      <w:r>
        <w:t xml:space="preserve">on käytetty raha, ja</w:t>
      </w:r>
      <w:r>
        <w:t xml:space="preserve"> </w:t>
      </w:r>
      <w:r>
        <w:rPr>
          <w:b/>
          <w:bCs/>
        </w:rPr>
        <w:t xml:space="preserve">CPI = EV/AC</w:t>
      </w:r>
      <w:r>
        <w:t xml:space="preserve"> </w:t>
      </w:r>
      <w:r>
        <w:t xml:space="preserve">mittaa kustannustehokkuutta. Codex käyttää samaa kaavaa EV:lle ja CPI:lle kuin PMI ja AACE:n suositukset (EV = %valmius * BAC; CPI tulkitaan &gt;1 hyväksi, &lt;1 huonoksi) – nämä ovat täysin standardien mukaisia määritelmiä</w:t>
      </w:r>
      <w:hyperlink r:id="rId39">
        <w:r>
          <w:rPr>
            <w:rStyle w:val="Hyperlink"/>
          </w:rPr>
          <w:t xml:space="preserve">[18]</w:t>
        </w:r>
      </w:hyperlink>
      <w:hyperlink r:id="rId55">
        <w:r>
          <w:rPr>
            <w:rStyle w:val="Hyperlink"/>
          </w:rPr>
          <w:t xml:space="preserve">[34]</w:t>
        </w:r>
      </w:hyperlink>
      <w:r>
        <w:t xml:space="preserve">. Ehto, että EV ja CPI näkyvät vasta kun baseline on vahvistettu ja valmiusaste syötetty, on yhdenmukainen EVM-käytäntöjen kanssa: ilman hyväksyttyä suoritusmittausbaselinea (PMB) ja mitattua edistymää EV-mittarit eivät ole käyttökelpoisia. GAO:n EVM-ohjeistuskin painottaa, että EV-laskenta alkaa vasta kun</w:t>
      </w:r>
      <w:r>
        <w:t xml:space="preserve"> </w:t>
      </w:r>
      <w:r>
        <w:rPr>
          <w:b/>
          <w:bCs/>
        </w:rPr>
        <w:t xml:space="preserve">PMB</w:t>
      </w:r>
      <w:r>
        <w:t xml:space="preserve"> </w:t>
      </w:r>
      <w:r>
        <w:t xml:space="preserve">on asetettu ja suorituskykyä mitataan luotettavasti. Codex varmistaa tämän sääntöteknisesti (</w:t>
      </w:r>
      <w:r>
        <w:rPr>
          <w:i/>
          <w:iCs/>
        </w:rPr>
        <w:t xml:space="preserve">policy A</w:t>
      </w:r>
      <w:r>
        <w:t xml:space="preserve">), mikä on hyvä käytäntö ja poistaa käyttäjältä mahdollisuuden tahattomasti rikkoa EVM-alkuehtoja</w:t>
      </w:r>
      <w:hyperlink r:id="rId23">
        <w:r>
          <w:rPr>
            <w:rStyle w:val="Hyperlink"/>
          </w:rPr>
          <w:t xml:space="preserve">[3]</w:t>
        </w:r>
      </w:hyperlink>
      <w:hyperlink r:id="rId24">
        <w:r>
          <w:rPr>
            <w:rStyle w:val="Hyperlink"/>
          </w:rPr>
          <w:t xml:space="preserve">[4]</w:t>
        </w:r>
      </w:hyperlink>
      <w:r>
        <w:t xml:space="preserve">.</w:t>
      </w:r>
    </w:p>
    <w:p>
      <w:pPr>
        <w:pStyle w:val="BodyText"/>
      </w:pPr>
      <w:r>
        <w:rPr>
          <w:b/>
          <w:bCs/>
        </w:rPr>
        <w:t xml:space="preserve">Erikoisuutena</w:t>
      </w:r>
      <w:r>
        <w:t xml:space="preserve"> </w:t>
      </w:r>
      <w:r>
        <w:t xml:space="preserve">Codex laajentaa AC-käsitettä</w:t>
      </w:r>
      <w:r>
        <w:t xml:space="preserve"> </w:t>
      </w:r>
      <w:r>
        <w:rPr>
          <w:b/>
          <w:bCs/>
        </w:rPr>
        <w:t xml:space="preserve">“AC*”</w:t>
      </w:r>
      <w:r>
        <w:t xml:space="preserve">: perinteinen EVM-standardisto (esim. ISO 21508 ja PMI) käyttää AC:ta sellaisenaan, mutta suosittaa tarvittaessa</w:t>
      </w:r>
      <w:r>
        <w:t xml:space="preserve"> </w:t>
      </w:r>
      <w:r>
        <w:rPr>
          <w:b/>
          <w:bCs/>
        </w:rPr>
        <w:t xml:space="preserve">accrual- eli jaksotuskirjauksia</w:t>
      </w:r>
      <w:r>
        <w:t xml:space="preserve"> </w:t>
      </w:r>
      <w:r>
        <w:t xml:space="preserve">tilanteissa, joissa toteumatieto laahaa. Codexin</w:t>
      </w:r>
      <w:r>
        <w:t xml:space="preserve"> </w:t>
      </w:r>
      <w:r>
        <w:rPr>
          <w:i/>
          <w:iCs/>
        </w:rPr>
        <w:t xml:space="preserve">haamukulu</w:t>
      </w:r>
      <w:r>
        <w:t xml:space="preserve">-konsepti on käytännössä sama kuin accrual: projekti voi kirjata tiedossa olevat kulut etukäteen. Tämä on</w:t>
      </w:r>
      <w:r>
        <w:t xml:space="preserve"> </w:t>
      </w:r>
      <w:r>
        <w:rPr>
          <w:b/>
          <w:bCs/>
        </w:rPr>
        <w:t xml:space="preserve">fiksu, vaikkakaan ei standardin terminologiassa esiintyvä ratkaisu</w:t>
      </w:r>
      <w:r>
        <w:t xml:space="preserve">. Sen etuna on, että</w:t>
      </w:r>
      <w:r>
        <w:t xml:space="preserve"> </w:t>
      </w:r>
      <w:r>
        <w:rPr>
          <w:b/>
          <w:bCs/>
        </w:rPr>
        <w:t xml:space="preserve">CPI heijastaa ajantasaisemmin todellista tilannetta</w:t>
      </w:r>
      <w:r>
        <w:t xml:space="preserve"> </w:t>
      </w:r>
      <w:r>
        <w:t xml:space="preserve">viiveistä huolimatta – ilman Ghost-kuluja CPI saattaisi näyttää liian hyvältä, jos iso kustannus on tulossa mutta ei vielä AC:ssa. Moni EVM-ammattilainen tekee vastaavaa epävirallisesti (esim. kirjaa arviot odottavista kustannuksista sisäiseen seurantaan), mutta Codex formalisoi sen osaksi järjestelmää. Standardien näkökulmasta on tärkeää, että kun varsinainen toteuma kirjautuu, päällekkäisyys poistetaan (Codex asettaa Ghost-arvot oletuksena nollautumaan, ellei päivitetä). Tällainen</w:t>
      </w:r>
      <w:r>
        <w:t xml:space="preserve"> </w:t>
      </w:r>
      <w:r>
        <w:rPr>
          <w:i/>
          <w:iCs/>
        </w:rPr>
        <w:t xml:space="preserve">Actual + Accrual</w:t>
      </w:r>
      <w:r>
        <w:t xml:space="preserve"> </w:t>
      </w:r>
      <w:r>
        <w:t xml:space="preserve">-lähestymistapa on linjassa GAO:n ohjeen kanssa, joka kehottaa varmistamaan että EV- ja AC-tiedot vastaavat samaa ajanjaksoa – tarvittaessa arvioidut kustannukset tulee sisällyttää, jotta mittarit eivät vääristy.</w:t>
      </w:r>
      <w:r>
        <w:t xml:space="preserve"> </w:t>
      </w:r>
      <w:r>
        <w:rPr>
          <w:b/>
          <w:bCs/>
        </w:rPr>
        <w:t xml:space="preserve">Riskinä</w:t>
      </w:r>
      <w:r>
        <w:t xml:space="preserve"> </w:t>
      </w:r>
      <w:r>
        <w:t xml:space="preserve">tässä on se, että jos haamukuluja arvioidaan huolimattomasti, CPI voi väliaikaisesti vääristyä (liian optimistinen tai pessimistinen). Tämä ei kuitenkaan ole standardipoikkeama, vaan yleinen EVM-haaste: Codex antaa työmaalle keinon hallita tätä avoimesti.</w:t>
      </w:r>
    </w:p>
    <w:p>
      <w:pPr>
        <w:pStyle w:val="BodyText"/>
      </w:pPr>
      <w:r>
        <w:t xml:space="preserve">On huomioitava, että Codex ei eksplisiittisesti mainitse</w:t>
      </w:r>
      <w:r>
        <w:t xml:space="preserve"> </w:t>
      </w:r>
      <w:r>
        <w:rPr>
          <w:i/>
          <w:iCs/>
        </w:rPr>
        <w:t xml:space="preserve">PV</w:t>
      </w:r>
      <w:r>
        <w:t xml:space="preserve"> </w:t>
      </w:r>
      <w:r>
        <w:t xml:space="preserve">(</w:t>
      </w:r>
      <w:r>
        <w:rPr>
          <w:b/>
          <w:bCs/>
        </w:rPr>
        <w:t xml:space="preserve">Planned Value</w:t>
      </w:r>
      <w:r>
        <w:t xml:space="preserve">) tai aikataulupoikkeamaa. EV-laskenta perustuu valmiusasteeseen, mutta järjestelmässä ei vaikuta olevan erillistä aikataulupohjaista suunniteltua arvoa kullekin seurantajaksolle. ISO 21508 ja PMI korostavat EV:n kolmea perussuuretta:</w:t>
      </w:r>
      <w:r>
        <w:t xml:space="preserve"> </w:t>
      </w:r>
      <w:r>
        <w:rPr>
          <w:b/>
          <w:bCs/>
        </w:rPr>
        <w:t xml:space="preserve">PV, EV, AC</w:t>
      </w:r>
      <w:r>
        <w:t xml:space="preserve">, joista PV mahdollistaisi aikataulupoikkeaman (SV) ja aikatauluindeksin (SPI) laskennan. Codexin dokumentaatio ei käsittele SV/SPI-mittareita – ehkä siksi, että fokus on kustannusohjauksessa tai että aikataulu seurataan muussa järjestelmässä. Tämä on</w:t>
      </w:r>
      <w:r>
        <w:t xml:space="preserve"> </w:t>
      </w:r>
      <w:r>
        <w:rPr>
          <w:b/>
          <w:bCs/>
        </w:rPr>
        <w:t xml:space="preserve">mahdollinen puute</w:t>
      </w:r>
      <w:r>
        <w:t xml:space="preserve"> </w:t>
      </w:r>
      <w:r>
        <w:t xml:space="preserve">suhteessa täydelliseen EVM-standardiin: todellisessa Earned Value -prosessissa myös aikataulunhallinnan integraatio on tärkeää. Mikäli aikatauluarvojen hallinta puuttuu Codexista, se tarkoittaa, että EV/CPI keskittyy kustannuspuoleen (CPI ja CV), mutta</w:t>
      </w:r>
      <w:r>
        <w:t xml:space="preserve"> </w:t>
      </w:r>
      <w:r>
        <w:rPr>
          <w:i/>
          <w:iCs/>
        </w:rPr>
        <w:t xml:space="preserve">aikatauluperformanssia</w:t>
      </w:r>
      <w:r>
        <w:t xml:space="preserve"> </w:t>
      </w:r>
      <w:r>
        <w:t xml:space="preserve">(SPI, SV) ei suoraan raportoida. Rakennushankkeissa tämä voi olla hyväksyttävää, jos fyysinen edistyminen (PCT) arvioidaan työmaalla suoraan, mutta standardien mukaan EVMS:ssä tulisi kyetä arvioimaan myös aikataulupoikkeamaa. Codex tosin kerää</w:t>
      </w:r>
      <w:r>
        <w:t xml:space="preserve"> </w:t>
      </w:r>
      <w:r>
        <w:rPr>
          <w:b/>
          <w:bCs/>
        </w:rPr>
        <w:t xml:space="preserve">teknisen valmiusasteen</w:t>
      </w:r>
      <w:r>
        <w:t xml:space="preserve"> </w:t>
      </w:r>
      <w:r>
        <w:t xml:space="preserve">(technical_progress) erikseen mahdollisena tietona, joten potentiaali on olemassa – tältä osin dokumentaatio ei vain kerro, miten sitä hyödynnetään.</w:t>
      </w:r>
    </w:p>
    <w:p>
      <w:pPr>
        <w:pStyle w:val="BodyText"/>
      </w:pPr>
      <w:r>
        <w:t xml:space="preserve">Yhteenvetona Codexin EV, AC, BAC, CPI -toteutus on vahvasti standardien mukainen. Pieni innovaatio (AC* ghost-kulun kera) on hyödyllinen käytännössä ja tukee standardien tavoitetta oikea-aikaisesta ja kattavasta kustannusseurannasta, vaikkei terminä esiinny standardeissa. Mahdollinen jatkokehityskohde on PV/SV/SPI-mittariston lisääminen, jos halutaan täysi EVM-käytäntöjen kattaus myös aikataulun suhteen.</w:t>
      </w:r>
    </w:p>
    <w:bookmarkEnd w:id="60"/>
    <w:bookmarkStart w:id="62" w:name="viikkopäivitykset-ja-haamukulut"/>
    <w:p>
      <w:pPr>
        <w:pStyle w:val="Heading2"/>
      </w:pPr>
      <w:r>
        <w:t xml:space="preserve">Viikkopäivitykset ja haamukulut</w:t>
      </w:r>
    </w:p>
    <w:p>
      <w:pPr>
        <w:pStyle w:val="FirstParagraph"/>
      </w:pPr>
      <w:r>
        <w:rPr>
          <w:b/>
          <w:bCs/>
        </w:rPr>
        <w:t xml:space="preserve">Codexin käytäntö:</w:t>
      </w:r>
      <w:r>
        <w:t xml:space="preserve"> </w:t>
      </w:r>
      <w:r>
        <w:t xml:space="preserve">Codexissa</w:t>
      </w:r>
      <w:r>
        <w:t xml:space="preserve"> </w:t>
      </w:r>
      <w:r>
        <w:rPr>
          <w:b/>
          <w:bCs/>
        </w:rPr>
        <w:t xml:space="preserve">viikkopäivitys</w:t>
      </w:r>
      <w:r>
        <w:t xml:space="preserve"> </w:t>
      </w:r>
      <w:r>
        <w:t xml:space="preserve">on keskeinen käyttötoiminto lukitun baseline-työpaketin seurannassa. Käyttöliittymän</w:t>
      </w:r>
      <w:r>
        <w:t xml:space="preserve"> </w:t>
      </w:r>
      <w:r>
        <w:rPr>
          <w:i/>
          <w:iCs/>
        </w:rPr>
        <w:t xml:space="preserve">TRACK</w:t>
      </w:r>
      <w:r>
        <w:t xml:space="preserve">-tilassa (seuranta) työmaahenkilöstö kirjaa</w:t>
      </w:r>
      <w:r>
        <w:t xml:space="preserve"> </w:t>
      </w:r>
      <w:r>
        <w:rPr>
          <w:b/>
          <w:bCs/>
        </w:rPr>
        <w:t xml:space="preserve">joka viikko</w:t>
      </w:r>
      <w:r>
        <w:t xml:space="preserve"> </w:t>
      </w:r>
      <w:r>
        <w:t xml:space="preserve">työpaketin edistymätiedot: prosenttivalmiuden (%) ja mahdolliset haamukulut sekä selittävän muistiinpanon</w:t>
      </w:r>
      <w:hyperlink r:id="rId61">
        <w:r>
          <w:rPr>
            <w:rStyle w:val="Hyperlink"/>
          </w:rPr>
          <w:t xml:space="preserve">[39]</w:t>
        </w:r>
      </w:hyperlink>
      <w:r>
        <w:t xml:space="preserve">. Järjestelmä tukee ennakoivaa seurantaa niin, että käyttäjälle voidaan esitäyttää aiemman tilanteen tiedot (esim. edellisen viikon %complete ja ghost), ja hän päivittää ne ajantasalle.</w:t>
      </w:r>
      <w:r>
        <w:t xml:space="preserve"> </w:t>
      </w:r>
      <w:r>
        <w:rPr>
          <w:b/>
          <w:bCs/>
        </w:rPr>
        <w:t xml:space="preserve">Haamukulu (Ghost)</w:t>
      </w:r>
      <w:r>
        <w:t xml:space="preserve"> </w:t>
      </w:r>
      <w:r>
        <w:t xml:space="preserve">syötetään viikkoraportin yhteydessä aina erikseen, tarvittaessa. Ghost-tieto tallentuu</w:t>
      </w:r>
      <w:r>
        <w:t xml:space="preserve"> </w:t>
      </w:r>
      <w:r>
        <w:rPr>
          <w:rStyle w:val="VerbatimChar"/>
        </w:rPr>
        <w:t xml:space="preserve">forecast_event</w:t>
      </w:r>
      <w:r>
        <w:t xml:space="preserve">-tapahtumaan, joka edustaa yhtä päivitystä tietyllä ajankohdalla</w:t>
      </w:r>
      <w:hyperlink r:id="rId49">
        <w:r>
          <w:rPr>
            <w:rStyle w:val="Hyperlink"/>
          </w:rPr>
          <w:t xml:space="preserve">[28]</w:t>
        </w:r>
      </w:hyperlink>
      <w:hyperlink r:id="rId51">
        <w:r>
          <w:rPr>
            <w:rStyle w:val="Hyperlink"/>
          </w:rPr>
          <w:t xml:space="preserve">[30]</w:t>
        </w:r>
      </w:hyperlink>
      <w:r>
        <w:t xml:space="preserve">. Järjestelmä poimii raportointinäkymiin aina</w:t>
      </w:r>
      <w:r>
        <w:t xml:space="preserve"> </w:t>
      </w:r>
      <w:r>
        <w:rPr>
          <w:b/>
          <w:bCs/>
        </w:rPr>
        <w:t xml:space="preserve">viimeisimmän päivityksen ghost-arvon</w:t>
      </w:r>
      <w:r>
        <w:t xml:space="preserve"> </w:t>
      </w:r>
      <w:r>
        <w:t xml:space="preserve">kutakin työpakettia kohden, ja ellei ghost-kustannusta ole ilmoitettu, arvo oletetaan 0 €</w:t>
      </w:r>
      <w:hyperlink r:id="rId51">
        <w:r>
          <w:rPr>
            <w:rStyle w:val="Hyperlink"/>
          </w:rPr>
          <w:t xml:space="preserve">[30]</w:t>
        </w:r>
      </w:hyperlink>
      <w:hyperlink r:id="rId52">
        <w:r>
          <w:rPr>
            <w:rStyle w:val="Hyperlink"/>
          </w:rPr>
          <w:t xml:space="preserve">[40]</w:t>
        </w:r>
      </w:hyperlink>
      <w:r>
        <w:t xml:space="preserve">.</w:t>
      </w:r>
    </w:p>
    <w:p>
      <w:pPr>
        <w:pStyle w:val="BodyText"/>
      </w:pPr>
      <w:r>
        <w:t xml:space="preserve">Codex on suunniteltu siten, että</w:t>
      </w:r>
      <w:r>
        <w:t xml:space="preserve"> </w:t>
      </w:r>
      <w:r>
        <w:rPr>
          <w:i/>
          <w:iCs/>
        </w:rPr>
        <w:t xml:space="preserve">viikkosyklillä</w:t>
      </w:r>
      <w:r>
        <w:t xml:space="preserve"> </w:t>
      </w:r>
      <w:r>
        <w:t xml:space="preserve">saadaan nopeasti näkyviin EV, AC, CPI muutokset. Jos jokin viikko jää välistä, prosenttivalmius voisi jäädä edellisen tilaan – järjestelmä tällöin jättäisi EV/CPI:n muuttumattomaksi (tai CPI:n laskematta, jos AC tai EV puuttuu). Säännöllisyys on sisäänrakennettu prosessiin: kun baseline on lukittu, oletusarvo on että työpaketti raportoidaan</w:t>
      </w:r>
      <w:r>
        <w:t xml:space="preserve"> </w:t>
      </w:r>
      <w:r>
        <w:rPr>
          <w:i/>
          <w:iCs/>
        </w:rPr>
        <w:t xml:space="preserve">vähintään viikoittain</w:t>
      </w:r>
      <w:r>
        <w:t xml:space="preserve">.</w:t>
      </w:r>
    </w:p>
    <w:p>
      <w:pPr>
        <w:pStyle w:val="BodyText"/>
      </w:pPr>
      <w:r>
        <w:t xml:space="preserve">Haamukulujen käyttö viikkopäivityksissä tarkoittaa, että työkohteella voidaan ilmoittaa esim.</w:t>
      </w:r>
      <w:r>
        <w:t xml:space="preserve"> </w:t>
      </w:r>
      <w:r>
        <w:rPr>
          <w:i/>
          <w:iCs/>
        </w:rPr>
        <w:t xml:space="preserve">“tällä viikolla tehtiin aliurakka X, kustannus-arvio 10 000 €, lasku tulee kuukauden päästä”</w:t>
      </w:r>
      <w:r>
        <w:t xml:space="preserve">. Tämän kirjaaminen ghostina nostaa heti AC</w:t>
      </w:r>
      <w:r>
        <w:rPr>
          <w:i/>
          <w:iCs/>
        </w:rPr>
        <w:t xml:space="preserve">-arvoa ja laskee CPI:tä realistisesti, sen sijaan että CPI pysyisi keinotekoisen korkeana kunnes lasku lopulta kirjautuu. Codex laskee</w:t>
      </w:r>
      <w:r>
        <w:t xml:space="preserve"> </w:t>
      </w:r>
      <w:r>
        <w:t xml:space="preserve">CPI = EV / AC</w:t>
      </w:r>
      <w:r>
        <w:rPr>
          <w:b/>
          <w:bCs/>
          <w:i/>
          <w:iCs/>
        </w:rPr>
        <w:t xml:space="preserve">, missä AC</w:t>
      </w:r>
      <w:r>
        <w:rPr>
          <w:b/>
          <w:bCs/>
        </w:rPr>
        <w:t xml:space="preserve"> </w:t>
      </w:r>
      <w:r>
        <w:rPr>
          <w:b/>
          <w:bCs/>
        </w:rPr>
        <w:t xml:space="preserve">sisältää ghostin</w:t>
      </w:r>
      <w:hyperlink r:id="rId55">
        <w:r>
          <w:rPr>
            <w:rStyle w:val="Hyperlink"/>
            <w:b/>
            <w:bCs/>
          </w:rPr>
          <w:t xml:space="preserve">[34]</w:t>
        </w:r>
      </w:hyperlink>
      <w:hyperlink r:id="rId56">
        <w:r>
          <w:rPr>
            <w:rStyle w:val="Hyperlink"/>
            <w:b/>
            <w:bCs/>
          </w:rPr>
          <w:t xml:space="preserve">[35]</w:t>
        </w:r>
      </w:hyperlink>
      <w:r>
        <w:rPr>
          <w:b/>
          <w:bCs/>
        </w:rPr>
        <w:t xml:space="preserve">, joten viikkopäivityksen jälkeen</w:t>
      </w:r>
      <w:r>
        <w:t xml:space="preserve"> </w:t>
      </w:r>
      <w:r>
        <w:t xml:space="preserve">CPI reagoi** mahdollisiin ylityksiin tai alituksiin heti.</w:t>
      </w:r>
    </w:p>
    <w:p>
      <w:pPr>
        <w:pStyle w:val="BodyText"/>
      </w:pPr>
      <w:r>
        <w:rPr>
          <w:b/>
          <w:bCs/>
        </w:rPr>
        <w:t xml:space="preserve">Standardien vertailu:</w:t>
      </w:r>
      <w:r>
        <w:t xml:space="preserve"> </w:t>
      </w:r>
      <w:r>
        <w:t xml:space="preserve">EVM-standardeissa (GAO, ISO 21508, PMI) ei määrätä päivitystiheyttä kategorisesti, mutta korostetaan</w:t>
      </w:r>
      <w:r>
        <w:t xml:space="preserve"> </w:t>
      </w:r>
      <w:r>
        <w:rPr>
          <w:b/>
          <w:bCs/>
        </w:rPr>
        <w:t xml:space="preserve">säännöllistä ja riittävän tiheää seurantaa</w:t>
      </w:r>
      <w:r>
        <w:t xml:space="preserve">. Tyypillisesti suurissa projekteissa seuranta tehdään kuukausittain, mutta monilla toimialoilla – erityisesti rakentamisessa – viikkotason seuranta on suositeltavaa, jotta ongelmat tunnistetaan ajoissa. PMI:n Construction Extension mainitsee, että työmaaprojektien mittarit kannattaa päivittää projektiryhmän säännöllisissä (viikko)kokouksissa. Codexin viikkopäivitysmalli on näin ollen hyvä käytäntö: se ylittää minimitaajuuden ja edustaa</w:t>
      </w:r>
      <w:r>
        <w:t xml:space="preserve"> </w:t>
      </w:r>
      <w:r>
        <w:rPr>
          <w:i/>
          <w:iCs/>
        </w:rPr>
        <w:t xml:space="preserve">proaktiivista ohjausta</w:t>
      </w:r>
      <w:r>
        <w:t xml:space="preserve">, mikä on linjassa GAO:n suositteleman</w:t>
      </w:r>
      <w:r>
        <w:t xml:space="preserve"> </w:t>
      </w:r>
      <w:r>
        <w:rPr>
          <w:b/>
          <w:bCs/>
        </w:rPr>
        <w:t xml:space="preserve">läpinäkyvän ja jatkuvan EVM-seurannan</w:t>
      </w:r>
      <w:r>
        <w:t xml:space="preserve"> </w:t>
      </w:r>
      <w:r>
        <w:t xml:space="preserve">kanssa.</w:t>
      </w:r>
    </w:p>
    <w:p>
      <w:pPr>
        <w:pStyle w:val="BodyText"/>
      </w:pPr>
      <w:r>
        <w:t xml:space="preserve">Haamukulujen sisällyttäminen viikkopäivitykseen on Codexin oma lisäominaisuus, jolle ei löydy suoraan vastinetta EVM-standardeista terminologian tasolla. Kuitenkin</w:t>
      </w:r>
      <w:r>
        <w:t xml:space="preserve"> </w:t>
      </w:r>
      <w:r>
        <w:rPr>
          <w:b/>
          <w:bCs/>
        </w:rPr>
        <w:t xml:space="preserve">earned value -hallinnan periaatteet tukevat sisällöllisesti tätä ideaa</w:t>
      </w:r>
      <w:r>
        <w:t xml:space="preserve">: standardien mukaan Actual Cost -lukujen tulisi mahdollisimman hyvin heijastaa tehdyn työn kustannusta kyseisellä jaksolla, vaikka kaikki kulut eivät olisikaan vielä laskutettuja. Esimerkiksi ISO 21508 mainitsee, että EV-järjestelmän tuottamien mittareiden on tuettava päätöksentekoa ja oltava ajan tasalla – organisaation on tällöin kehitettävä käytännöt mm. myöhässä tulevien kustannustietojen käsittelyyn. Codex ratkaisee tämän</w:t>
      </w:r>
      <w:r>
        <w:t xml:space="preserve"> </w:t>
      </w:r>
      <w:r>
        <w:rPr>
          <w:b/>
          <w:bCs/>
        </w:rPr>
        <w:t xml:space="preserve">systeemisesti</w:t>
      </w:r>
      <w:r>
        <w:t xml:space="preserve"> </w:t>
      </w:r>
      <w:r>
        <w:t xml:space="preserve">ghost-kirjausten avulla, mikä on standardin hengen mukaista.</w:t>
      </w:r>
    </w:p>
    <w:p>
      <w:pPr>
        <w:pStyle w:val="BodyText"/>
      </w:pPr>
      <w:r>
        <w:rPr>
          <w:b/>
          <w:bCs/>
        </w:rPr>
        <w:t xml:space="preserve">Hyödyt ja mahdolliset riskit:</w:t>
      </w:r>
      <w:r>
        <w:t xml:space="preserve"> </w:t>
      </w:r>
      <w:r>
        <w:t xml:space="preserve">Viikkopäivitykset ghost-tietoineen tekevät EV-raportoinnista dynaamisen ja</w:t>
      </w:r>
      <w:r>
        <w:t xml:space="preserve"> </w:t>
      </w:r>
      <w:r>
        <w:rPr>
          <w:b/>
          <w:bCs/>
        </w:rPr>
        <w:t xml:space="preserve">herkän muutoksille</w:t>
      </w:r>
      <w:r>
        <w:t xml:space="preserve">. Tämä on selvä vahvuus Codexin lähestymisessä – se tarjoaa</w:t>
      </w:r>
      <w:r>
        <w:t xml:space="preserve"> </w:t>
      </w:r>
      <w:r>
        <w:rPr>
          <w:i/>
          <w:iCs/>
        </w:rPr>
        <w:t xml:space="preserve">leading indicator</w:t>
      </w:r>
      <w:r>
        <w:t xml:space="preserve"> </w:t>
      </w:r>
      <w:r>
        <w:t xml:space="preserve">-tyyppistä näkyvyyttä kustannuskehitykseen, mikä on juuri EVM:n tarkoitus. Standardit pitävät tärkeänä trendien havaitsemista varhain, ja Codexin malli tukee sitä paremmin kuin kuukausipäivitys. Toisaalta on huomioitava, että viikkopäivitys vaatii kurinalaisuutta: jos tiimi ei raportoi viikoittain tai ghost-arvioissa lipsutaan, mittarit voivat heilahtaa epäluotettavasti. Standardit painottavat tietojen laatua – myös Codexin käyttäjien tulee ymmärtää, että ghost on</w:t>
      </w:r>
      <w:r>
        <w:t xml:space="preserve"> </w:t>
      </w:r>
      <w:r>
        <w:rPr>
          <w:i/>
          <w:iCs/>
        </w:rPr>
        <w:t xml:space="preserve">arvio</w:t>
      </w:r>
      <w:r>
        <w:t xml:space="preserve"> </w:t>
      </w:r>
      <w:r>
        <w:t xml:space="preserve">tai</w:t>
      </w:r>
      <w:r>
        <w:t xml:space="preserve"> </w:t>
      </w:r>
      <w:r>
        <w:rPr>
          <w:i/>
          <w:iCs/>
        </w:rPr>
        <w:t xml:space="preserve">ennakkomerkintä</w:t>
      </w:r>
      <w:r>
        <w:t xml:space="preserve">, jonka tarkkuus vaikuttaa suoraan CPI:hin. Tämä on hallittavissa: ghost-tiedon syöttö on käyttäjän päätösvallassa, ja se voidaan pitää konservatiivisena arviona.</w:t>
      </w:r>
    </w:p>
    <w:p>
      <w:pPr>
        <w:pStyle w:val="BodyText"/>
      </w:pPr>
      <w:r>
        <w:t xml:space="preserve">Yhteenvetona viikkopäivitys &amp; ghost-käytäntö on</w:t>
      </w:r>
      <w:r>
        <w:t xml:space="preserve"> </w:t>
      </w:r>
      <w:r>
        <w:rPr>
          <w:b/>
          <w:bCs/>
        </w:rPr>
        <w:t xml:space="preserve">yhteensopiva</w:t>
      </w:r>
      <w:r>
        <w:t xml:space="preserve"> </w:t>
      </w:r>
      <w:r>
        <w:t xml:space="preserve">EVM-viitekehysten kanssa ja edustaa modernia, ketterää otetta kustannusseurantaan. Se on hieman tavanomaisesta poikkeava (moni valmis EVMS-ohjelmisto ei tarjoa erillistä ghost-kenttää), mutta se ratkaisee tunnetun käytännön ongelman ja on näin</w:t>
      </w:r>
      <w:r>
        <w:t xml:space="preserve"> </w:t>
      </w:r>
      <w:r>
        <w:rPr>
          <w:b/>
          <w:bCs/>
        </w:rPr>
        <w:t xml:space="preserve">perusteltu laajennus</w:t>
      </w:r>
      <w:r>
        <w:t xml:space="preserve"> </w:t>
      </w:r>
      <w:r>
        <w:t xml:space="preserve">EVM-käytäntöihin.</w:t>
      </w:r>
    </w:p>
    <w:bookmarkEnd w:id="62"/>
    <w:bookmarkStart w:id="68" w:name="X595c228cb47b0b92f034402c3a5893d3aa4d110"/>
    <w:p>
      <w:pPr>
        <w:pStyle w:val="Heading2"/>
      </w:pPr>
      <w:r>
        <w:t xml:space="preserve">“Selvitettävät” kustannukset (mappaamattomat toteumat)</w:t>
      </w:r>
    </w:p>
    <w:p>
      <w:pPr>
        <w:pStyle w:val="FirstParagraph"/>
      </w:pPr>
      <w:r>
        <w:rPr>
          <w:b/>
          <w:bCs/>
        </w:rPr>
        <w:t xml:space="preserve">Codexin käytäntö:</w:t>
      </w:r>
      <w:r>
        <w:t xml:space="preserve"> </w:t>
      </w:r>
      <w:r>
        <w:rPr>
          <w:i/>
          <w:iCs/>
        </w:rPr>
        <w:t xml:space="preserve">Selvitettävät kustannukset</w:t>
      </w:r>
      <w:r>
        <w:t xml:space="preserve"> </w:t>
      </w:r>
      <w:r>
        <w:t xml:space="preserve">viittaavat toteutuneisiin kustannuksiin, joita</w:t>
      </w:r>
      <w:r>
        <w:t xml:space="preserve"> </w:t>
      </w:r>
      <w:r>
        <w:rPr>
          <w:b/>
          <w:bCs/>
        </w:rPr>
        <w:t xml:space="preserve">ei ole vielä kohdistettu mihinkään työpakettiin</w:t>
      </w:r>
      <w:r>
        <w:t xml:space="preserve">. Tämä tilanne voi syntyä, kun kirjanpidosta tuodaan kuluja projektille, mutta kyseisille kustannuskoodeille (litteroille) ei löydy voimassaolevaa kartoitusta mihinkään työpaketin sisältöön. Codex tunnistaa nämä</w:t>
      </w:r>
      <w:r>
        <w:t xml:space="preserve"> </w:t>
      </w:r>
      <w:r>
        <w:rPr>
          <w:i/>
          <w:iCs/>
        </w:rPr>
        <w:t xml:space="preserve">“löysät”</w:t>
      </w:r>
      <w:r>
        <w:t xml:space="preserve"> </w:t>
      </w:r>
      <w:r>
        <w:t xml:space="preserve">kulut erillisiksi ja tuo ne esiin käyttöliittymässä. Projektin koontinäkymässä on oma rivinsä</w:t>
      </w:r>
      <w:r>
        <w:t xml:space="preserve"> </w:t>
      </w:r>
      <w:r>
        <w:rPr>
          <w:b/>
          <w:bCs/>
        </w:rPr>
        <w:t xml:space="preserve">Selvitettävät kustannukset</w:t>
      </w:r>
      <w:r>
        <w:t xml:space="preserve">, joka näyttää summan kaikista toistaiseksi kartoittamattomista toteumista</w:t>
      </w:r>
      <w:hyperlink r:id="rId43">
        <w:r>
          <w:rPr>
            <w:rStyle w:val="Hyperlink"/>
          </w:rPr>
          <w:t xml:space="preserve">[22]</w:t>
        </w:r>
      </w:hyperlink>
      <w:hyperlink r:id="rId63">
        <w:r>
          <w:rPr>
            <w:rStyle w:val="Hyperlink"/>
          </w:rPr>
          <w:t xml:space="preserve">[41]</w:t>
        </w:r>
      </w:hyperlink>
      <w:r>
        <w:t xml:space="preserve">. Tällä korostuksella varmistetaan, että johdon huomio kiinnittyy kattavuusongelmaan – järjestelmä ikään kuin sanoo: “Tässä on kustannuksia, joita ei ole vielä suunnitelmassa mukana”</w:t>
      </w:r>
      <w:hyperlink r:id="rId43">
        <w:r>
          <w:rPr>
            <w:rStyle w:val="Hyperlink"/>
          </w:rPr>
          <w:t xml:space="preserve">[22]</w:t>
        </w:r>
      </w:hyperlink>
      <w:hyperlink r:id="rId63">
        <w:r>
          <w:rPr>
            <w:rStyle w:val="Hyperlink"/>
          </w:rPr>
          <w:t xml:space="preserve">[41]</w:t>
        </w:r>
      </w:hyperlink>
      <w:r>
        <w:t xml:space="preserve">.</w:t>
      </w:r>
    </w:p>
    <w:p>
      <w:pPr>
        <w:pStyle w:val="BodyText"/>
      </w:pPr>
      <w:r>
        <w:t xml:space="preserve">Käyttöliittymän</w:t>
      </w:r>
      <w:r>
        <w:t xml:space="preserve"> </w:t>
      </w:r>
      <w:r>
        <w:rPr>
          <w:i/>
          <w:iCs/>
        </w:rPr>
        <w:t xml:space="preserve">TRACK</w:t>
      </w:r>
      <w:r>
        <w:t xml:space="preserve">-tilassa on myös</w:t>
      </w:r>
      <w:r>
        <w:t xml:space="preserve"> </w:t>
      </w:r>
      <w:r>
        <w:rPr>
          <w:i/>
          <w:iCs/>
        </w:rPr>
        <w:t xml:space="preserve">“Selvitettävät: inbox”</w:t>
      </w:r>
      <w:r>
        <w:t xml:space="preserve"> </w:t>
      </w:r>
      <w:r>
        <w:t xml:space="preserve">-osio, jossa käyttäjä näkee listan näistä mappaamattomista kuluista</w:t>
      </w:r>
      <w:hyperlink r:id="rId61">
        <w:r>
          <w:rPr>
            <w:rStyle w:val="Hyperlink"/>
          </w:rPr>
          <w:t xml:space="preserve">[42]</w:t>
        </w:r>
      </w:hyperlink>
      <w:hyperlink r:id="rId64">
        <w:r>
          <w:rPr>
            <w:rStyle w:val="Hyperlink"/>
          </w:rPr>
          <w:t xml:space="preserve">[43]</w:t>
        </w:r>
      </w:hyperlink>
      <w:r>
        <w:t xml:space="preserve">. Järjestelmä tarjoaa toimintona mahdollisuuden</w:t>
      </w:r>
      <w:r>
        <w:t xml:space="preserve"> </w:t>
      </w:r>
      <w:r>
        <w:rPr>
          <w:b/>
          <w:bCs/>
        </w:rPr>
        <w:t xml:space="preserve">liittää kustannus olemassa olevaan työpakettiin</w:t>
      </w:r>
      <w:r>
        <w:t xml:space="preserve"> </w:t>
      </w:r>
      <w:r>
        <w:t xml:space="preserve">tai</w:t>
      </w:r>
      <w:r>
        <w:t xml:space="preserve"> </w:t>
      </w:r>
      <w:r>
        <w:rPr>
          <w:b/>
          <w:bCs/>
        </w:rPr>
        <w:t xml:space="preserve">luoda uusi työpaketti</w:t>
      </w:r>
      <w:r>
        <w:t xml:space="preserve"> </w:t>
      </w:r>
      <w:r>
        <w:t xml:space="preserve">sitä varten suoraan tästä näkymästä</w:t>
      </w:r>
      <w:hyperlink r:id="rId61">
        <w:r>
          <w:rPr>
            <w:rStyle w:val="Hyperlink"/>
          </w:rPr>
          <w:t xml:space="preserve">[42]</w:t>
        </w:r>
      </w:hyperlink>
      <w:hyperlink r:id="rId64">
        <w:r>
          <w:rPr>
            <w:rStyle w:val="Hyperlink"/>
          </w:rPr>
          <w:t xml:space="preserve">[43]</w:t>
        </w:r>
      </w:hyperlink>
      <w:r>
        <w:t xml:space="preserve">. Tämä tukee prosessia, jossa projektitiimi selvittää mihin kustannus kuuluu – oliko se ehkä unohdettu lisätä baselineen, vai onko kyse uudesta lisätöstä, joka vaatii oman työpaketin? Kun päätös on tehty, käyttäjä voi kartottaa kustannuksen kuuluvaksi ja näin</w:t>
      </w:r>
      <w:r>
        <w:t xml:space="preserve"> </w:t>
      </w:r>
      <w:r>
        <w:rPr>
          <w:i/>
          <w:iCs/>
        </w:rPr>
        <w:t xml:space="preserve">selvittää</w:t>
      </w:r>
      <w:r>
        <w:t xml:space="preserve"> </w:t>
      </w:r>
      <w:r>
        <w:t xml:space="preserve">sen. Teknisesti tämä tapahtuu luomalla/päivittämällä kartoitustauluun (mapping) rivi, joka kohdistaa kyseisen litteran johonkin työpakettiin, ja mahdollisesti päivittämällä baselinea (jos tarvitaan uusi työpaketti).</w:t>
      </w:r>
    </w:p>
    <w:p>
      <w:pPr>
        <w:pStyle w:val="BodyText"/>
      </w:pPr>
      <w:r>
        <w:t xml:space="preserve">Raportoinnissa</w:t>
      </w:r>
      <w:r>
        <w:t xml:space="preserve"> </w:t>
      </w:r>
      <w:r>
        <w:rPr>
          <w:i/>
          <w:iCs/>
        </w:rPr>
        <w:t xml:space="preserve">selvitettävät</w:t>
      </w:r>
      <w:r>
        <w:t xml:space="preserve"> </w:t>
      </w:r>
      <w:r>
        <w:t xml:space="preserve">pidetään erillään niin kauan kuin ne ovat auki. Esimerkiksi</w:t>
      </w:r>
      <w:r>
        <w:t xml:space="preserve"> </w:t>
      </w:r>
      <w:r>
        <w:rPr>
          <w:rStyle w:val="VerbatimChar"/>
        </w:rPr>
        <w:t xml:space="preserve">v_report_unmapped_actuals_total</w:t>
      </w:r>
      <w:r>
        <w:t xml:space="preserve"> </w:t>
      </w:r>
      <w:r>
        <w:t xml:space="preserve">-näkymä laskee projektitasolla summan kaikista unmapped-toteumista</w:t>
      </w:r>
      <w:hyperlink r:id="rId65">
        <w:r>
          <w:rPr>
            <w:rStyle w:val="Hyperlink"/>
          </w:rPr>
          <w:t xml:space="preserve">[44]</w:t>
        </w:r>
      </w:hyperlink>
      <w:hyperlink r:id="rId66">
        <w:r>
          <w:rPr>
            <w:rStyle w:val="Hyperlink"/>
          </w:rPr>
          <w:t xml:space="preserve">[45]</w:t>
        </w:r>
      </w:hyperlink>
      <w:r>
        <w:t xml:space="preserve">. Näin projektin kustannusraportti pystyy näyttämään</w:t>
      </w:r>
      <w:r>
        <w:t xml:space="preserve"> </w:t>
      </w:r>
      <w:r>
        <w:rPr>
          <w:i/>
          <w:iCs/>
        </w:rPr>
        <w:t xml:space="preserve">kokonaiskustannukset</w:t>
      </w:r>
      <w:r>
        <w:t xml:space="preserve"> </w:t>
      </w:r>
      <w:r>
        <w:t xml:space="preserve">=</w:t>
      </w:r>
      <w:r>
        <w:t xml:space="preserve"> </w:t>
      </w:r>
      <w:r>
        <w:rPr>
          <w:i/>
          <w:iCs/>
        </w:rPr>
        <w:t xml:space="preserve">kohdistetut kustannukset + selvitettävät kustannukset</w:t>
      </w:r>
      <w:r>
        <w:t xml:space="preserve">, mikä antaa realistisen kuvan ilman että mikään kulu jäisi piiloon.</w:t>
      </w:r>
    </w:p>
    <w:p>
      <w:pPr>
        <w:pStyle w:val="BodyText"/>
      </w:pPr>
      <w:r>
        <w:rPr>
          <w:b/>
          <w:bCs/>
        </w:rPr>
        <w:t xml:space="preserve">Standardien vertailu:</w:t>
      </w:r>
      <w:r>
        <w:t xml:space="preserve"> </w:t>
      </w:r>
      <w:r>
        <w:t xml:space="preserve">Earned Value -menetelmä edellyttää, että kaikki projektiin kuuluvat työt ja kustannukset ovat mukana</w:t>
      </w:r>
      <w:r>
        <w:t xml:space="preserve"> </w:t>
      </w:r>
      <w:r>
        <w:rPr>
          <w:b/>
          <w:bCs/>
        </w:rPr>
        <w:t xml:space="preserve">suoritusmittausbaselineissa (PMB)</w:t>
      </w:r>
      <w:r>
        <w:t xml:space="preserve">. Standardien, kuten EIA-748 (johon GAO ja ISO 21508 pitkälti pohjaavat), mukaan projektin budjetti ja toteumat tulee jakaa</w:t>
      </w:r>
      <w:r>
        <w:t xml:space="preserve"> </w:t>
      </w:r>
      <w:r>
        <w:rPr>
          <w:b/>
          <w:bCs/>
        </w:rPr>
        <w:t xml:space="preserve">WBS/Control Account</w:t>
      </w:r>
      <w:r>
        <w:t xml:space="preserve"> </w:t>
      </w:r>
      <w:r>
        <w:t xml:space="preserve">-tasolle, eikä “ylimääräisiä” kustannuksia tulisi roikkua irrallaan. Käytännössä kuitenkin on tunnustettu ilmiö, että projekteissa voi ilmaantua kustannuksia, joille ei heti ole selkeää paikkaa – esimerkiksi uusi kustannuslaji tai virhe lähtötiedoissa. Hyvien käytäntöjen mukaan nämä tulisi käsitellä</w:t>
      </w:r>
      <w:r>
        <w:t xml:space="preserve"> </w:t>
      </w:r>
      <w:r>
        <w:rPr>
          <w:b/>
          <w:bCs/>
        </w:rPr>
        <w:t xml:space="preserve">muutoshallinnan kautta</w:t>
      </w:r>
      <w:r>
        <w:t xml:space="preserve">: joko kohdistaa ne sopivaan control accountiin tai lisätä uusi control account (työpaketti) ja siirtää budjettia tarvittaessa. Codexin</w:t>
      </w:r>
      <w:r>
        <w:t xml:space="preserve"> </w:t>
      </w:r>
      <w:r>
        <w:rPr>
          <w:i/>
          <w:iCs/>
        </w:rPr>
        <w:t xml:space="preserve">selvitettävät kustannukset</w:t>
      </w:r>
      <w:r>
        <w:t xml:space="preserve"> </w:t>
      </w:r>
      <w:r>
        <w:t xml:space="preserve">-ominaisuus on</w:t>
      </w:r>
      <w:r>
        <w:t xml:space="preserve"> </w:t>
      </w:r>
      <w:r>
        <w:rPr>
          <w:b/>
          <w:bCs/>
        </w:rPr>
        <w:t xml:space="preserve">täysin linjassa tämän ajattelun kanssa</w:t>
      </w:r>
      <w:r>
        <w:t xml:space="preserve">, tarjoten sille konkreettisen työkalun. Sen sijaan, että mappaamattomat kulut hävitettäisiin yleiskustannuksiin tai ignoroitaisiin, ne nostetaan näkyville ja pakotetaan projekti ryhtymään toimiin. Tämä tukee ISO 21508 periaatetta, jonka mukaan EVM-järjestelmän tulee varmistaa, että</w:t>
      </w:r>
      <w:r>
        <w:t xml:space="preserve"> </w:t>
      </w:r>
      <w:r>
        <w:rPr>
          <w:i/>
          <w:iCs/>
        </w:rPr>
        <w:t xml:space="preserve">“scope of work has been accounted for, quantified in terms of cost”</w:t>
      </w:r>
      <w:hyperlink r:id="rId67">
        <w:r>
          <w:rPr>
            <w:rStyle w:val="Hyperlink"/>
          </w:rPr>
          <w:t xml:space="preserve">[46]</w:t>
        </w:r>
      </w:hyperlink>
      <w:hyperlink r:id="rId29">
        <w:r>
          <w:rPr>
            <w:rStyle w:val="Hyperlink"/>
          </w:rPr>
          <w:t xml:space="preserve">[9]</w:t>
        </w:r>
      </w:hyperlink>
      <w:r>
        <w:t xml:space="preserve"> </w:t>
      </w:r>
      <w:r>
        <w:t xml:space="preserve">– eli että kaikki hankkeen työt (ja kulut) on huomioitu ja kohdistettu. Jos jotain löytyy ulkopuolelta, järjestelmän pitää sallia</w:t>
      </w:r>
      <w:r>
        <w:t xml:space="preserve"> </w:t>
      </w:r>
      <w:r>
        <w:rPr>
          <w:i/>
          <w:iCs/>
        </w:rPr>
        <w:t xml:space="preserve">baseline-muutokset</w:t>
      </w:r>
      <w:r>
        <w:t xml:space="preserve"> </w:t>
      </w:r>
      <w:r>
        <w:t xml:space="preserve">sen sisällyttämiseksi,</w:t>
      </w:r>
      <w:r>
        <w:t xml:space="preserve"> </w:t>
      </w:r>
      <w:r>
        <w:rPr>
          <w:i/>
          <w:iCs/>
        </w:rPr>
        <w:t xml:space="preserve">controlled manner</w:t>
      </w:r>
      <w:r>
        <w:t xml:space="preserve">. Codex tarjoaa juuri tämän: kontrolloidun polun tuoda löysä kulu sisään baseline-suunnitelmaan.</w:t>
      </w:r>
    </w:p>
    <w:p>
      <w:pPr>
        <w:pStyle w:val="BodyText"/>
      </w:pPr>
      <w:r>
        <w:rPr>
          <w:b/>
          <w:bCs/>
        </w:rPr>
        <w:t xml:space="preserve">Eroja ja arviointia:</w:t>
      </w:r>
      <w:r>
        <w:t xml:space="preserve"> </w:t>
      </w:r>
      <w:r>
        <w:t xml:space="preserve">Perinteiset EV-raportit eivät välttämättä suoraan näytä “mappaamatonta” kustannusta, koska ihannetapauksessa sellaista ei ole – kaikki kuuluu johonkin WBS-elementtiin tai sitten se on projektin ulkopuolinen kustannus. Codex tunnistaa realismin, että tiedot eivät aina alussa ole täydelliset. Tämä on</w:t>
      </w:r>
      <w:r>
        <w:t xml:space="preserve"> </w:t>
      </w:r>
      <w:r>
        <w:rPr>
          <w:b/>
          <w:bCs/>
        </w:rPr>
        <w:t xml:space="preserve">käyttäjää auttava ja laadunvarmistava piirre</w:t>
      </w:r>
      <w:r>
        <w:t xml:space="preserve">: se estää tilannetta, jossa budjetin ja toteuman summat näyttävät sopivan yhteen vaikka osa kuluista puuttuisi vertailusta. Johdolle esitetty erillinen rivi selvitettäville on myös hyvä viestinnällinen keino; se antaa signaalin, että</w:t>
      </w:r>
      <w:r>
        <w:t xml:space="preserve"> </w:t>
      </w:r>
      <w:r>
        <w:rPr>
          <w:i/>
          <w:iCs/>
        </w:rPr>
        <w:t xml:space="preserve">“kaikkia kuluja ei vielä ole sidottu suunnitelmaan”</w:t>
      </w:r>
      <w:r>
        <w:t xml:space="preserve">. Standardeissa vastaava käsite voisi olla</w:t>
      </w:r>
      <w:r>
        <w:t xml:space="preserve"> </w:t>
      </w:r>
      <w:r>
        <w:rPr>
          <w:b/>
          <w:bCs/>
        </w:rPr>
        <w:t xml:space="preserve">Undistributed Budget/Undistributed Actuals</w:t>
      </w:r>
      <w:r>
        <w:t xml:space="preserve"> </w:t>
      </w:r>
      <w:r>
        <w:t xml:space="preserve">– esim. suuremmissa EVM-järjestelmissä puuttuva kohdistus voidaan tilapäisesti kirjata</w:t>
      </w:r>
      <w:r>
        <w:t xml:space="preserve"> </w:t>
      </w:r>
      <w:r>
        <w:rPr>
          <w:i/>
          <w:iCs/>
        </w:rPr>
        <w:t xml:space="preserve">Undistributed Budget</w:t>
      </w:r>
      <w:r>
        <w:t xml:space="preserve"> </w:t>
      </w:r>
      <w:r>
        <w:t xml:space="preserve">-pooliin ennen allokointia. Codexin ratkaisu vastaa tätä, joskin terminologia on eri.</w:t>
      </w:r>
    </w:p>
    <w:p>
      <w:pPr>
        <w:pStyle w:val="BodyText"/>
      </w:pPr>
      <w:r>
        <w:t xml:space="preserve">Mahdolliset riskit liittyvät siihen, jos selvitettäviä kuluja jää roikkumaan pitkäksi aikaa. Standardien näkökulmasta se olisi merkki heikosta scope managementista. Codex kuitenkin tekee tästä näkyvän ongelman, mikä painostaa ratkaisemaan asian. On myös hyvä, että selvitettävien käsittely on integroitu käyttöliittymään (inbox-tyyppinen työnkulku) – se lisää varmuutta, että tiimi todella</w:t>
      </w:r>
      <w:r>
        <w:t xml:space="preserve"> </w:t>
      </w:r>
      <w:r>
        <w:rPr>
          <w:i/>
          <w:iCs/>
        </w:rPr>
        <w:t xml:space="preserve">huomaa</w:t>
      </w:r>
      <w:r>
        <w:t xml:space="preserve"> </w:t>
      </w:r>
      <w:r>
        <w:t xml:space="preserve">asian ja reagoi. Yhteenvetona</w:t>
      </w:r>
      <w:r>
        <w:t xml:space="preserve"> </w:t>
      </w:r>
      <w:r>
        <w:rPr>
          <w:i/>
          <w:iCs/>
        </w:rPr>
        <w:t xml:space="preserve">selvitettävät kustannukset</w:t>
      </w:r>
      <w:r>
        <w:t xml:space="preserve"> </w:t>
      </w:r>
      <w:r>
        <w:t xml:space="preserve">-ominaisuus on</w:t>
      </w:r>
      <w:r>
        <w:t xml:space="preserve"> </w:t>
      </w:r>
      <w:r>
        <w:rPr>
          <w:b/>
          <w:bCs/>
        </w:rPr>
        <w:t xml:space="preserve">erinomainen käytäntö</w:t>
      </w:r>
      <w:r>
        <w:t xml:space="preserve">, joka tukee standardien periaatetta kattavasta kustannusvalvonnasta. Se ei sinällään esiinny standardeissa omana kohtanaan, koska standardit olettavat ideaalitilanteessa täydellisen baseline-kattavuuden, mutta käytännössä se täydentää EVM-järjestelmää merkittävästi.</w:t>
      </w:r>
    </w:p>
    <w:bookmarkEnd w:id="68"/>
    <w:bookmarkStart w:id="79" w:name="X268dd1b4f9704e5588cd38516847222887fc1ca"/>
    <w:p>
      <w:pPr>
        <w:pStyle w:val="Heading2"/>
      </w:pPr>
      <w:r>
        <w:t xml:space="preserve">Budjettirivien kartoitus työpaketteihin (Mapping)</w:t>
      </w:r>
    </w:p>
    <w:p>
      <w:pPr>
        <w:pStyle w:val="FirstParagraph"/>
      </w:pPr>
      <w:r>
        <w:rPr>
          <w:b/>
          <w:bCs/>
        </w:rPr>
        <w:t xml:space="preserve">Codexin käytäntö:</w:t>
      </w:r>
      <w:r>
        <w:t xml:space="preserve"> </w:t>
      </w:r>
      <w:r>
        <w:t xml:space="preserve">Codex erottaa</w:t>
      </w:r>
      <w:r>
        <w:t xml:space="preserve"> </w:t>
      </w:r>
      <w:r>
        <w:rPr>
          <w:b/>
          <w:bCs/>
        </w:rPr>
        <w:t xml:space="preserve">kustannusrakenteen</w:t>
      </w:r>
      <w:r>
        <w:t xml:space="preserve"> </w:t>
      </w:r>
      <w:r>
        <w:t xml:space="preserve">(budjetin litterat) ja</w:t>
      </w:r>
      <w:r>
        <w:t xml:space="preserve"> </w:t>
      </w:r>
      <w:r>
        <w:rPr>
          <w:b/>
          <w:bCs/>
        </w:rPr>
        <w:t xml:space="preserve">työpakettirakenteen</w:t>
      </w:r>
      <w:r>
        <w:t xml:space="preserve"> </w:t>
      </w:r>
      <w:r>
        <w:t xml:space="preserve">toisistaan, ja yhdistää ne</w:t>
      </w:r>
      <w:r>
        <w:t xml:space="preserve"> </w:t>
      </w:r>
      <w:r>
        <w:rPr>
          <w:b/>
          <w:bCs/>
        </w:rPr>
        <w:t xml:space="preserve">kartoitustaulun</w:t>
      </w:r>
      <w:r>
        <w:t xml:space="preserve"> </w:t>
      </w:r>
      <w:r>
        <w:t xml:space="preserve">(mapping) avulla. Rakennusalalla on usein käytössä standardoitu kustannuslajirakenne (Suomessa esim. Talo 80 -nimikkeistö), jota käytetään budjetoinnissa ja kustannusseurannassa. Työpaketit (tuotannon ohjausyksiköt) puolestaan muodostetaan projekteissa joustavasti esimerkiksi vastuualueen, sijainnin tai työn vaiheen mukaan – nämä eivät välttämättä suoraan vastaa budjetin nimikkeitä yksi-yhteen. Codex ratkaisee tämän luomalla erillisen</w:t>
      </w:r>
      <w:r>
        <w:t xml:space="preserve"> </w:t>
      </w:r>
      <w:r>
        <w:rPr>
          <w:b/>
          <w:bCs/>
        </w:rPr>
        <w:t xml:space="preserve">mapping-version</w:t>
      </w:r>
      <w:r>
        <w:t xml:space="preserve">, jossa määritellään mitkä budjettirivit kuuluvat mihinkin työpakettiin ja millä säännöillä. Käytössä on jopa mahdollisuus</w:t>
      </w:r>
      <w:r>
        <w:t xml:space="preserve"> </w:t>
      </w:r>
      <w:r>
        <w:rPr>
          <w:b/>
          <w:bCs/>
        </w:rPr>
        <w:t xml:space="preserve">jakaa yksi budjettirivi usealle työpaketille prosenttiosuuksin</w:t>
      </w:r>
      <w:r>
        <w:t xml:space="preserve"> </w:t>
      </w:r>
      <w:r>
        <w:t xml:space="preserve">(allocation_rule PERCENT, allocation_value kenttä)</w:t>
      </w:r>
      <w:hyperlink r:id="rId69">
        <w:r>
          <w:rPr>
            <w:rStyle w:val="Hyperlink"/>
          </w:rPr>
          <w:t xml:space="preserve">[47]</w:t>
        </w:r>
      </w:hyperlink>
      <w:hyperlink r:id="rId70">
        <w:r>
          <w:rPr>
            <w:rStyle w:val="Hyperlink"/>
          </w:rPr>
          <w:t xml:space="preserve">[48]</w:t>
        </w:r>
      </w:hyperlink>
      <w:r>
        <w:t xml:space="preserve">. Tämä mahdollistaa monimutkaistenkin “split”-tilanteiden hallinnan: esimerkiksi jos budjetissa on yksi iso kustannuskohta, joka oikeasti jaetaan kahden työmaan osan kesken, se voidaan jakaa 50/50 kahteen työpakettiin ilman budjettirivin pilkkomista kahdeksi erilliseksi riviksi.</w:t>
      </w:r>
    </w:p>
    <w:p>
      <w:pPr>
        <w:pStyle w:val="BodyText"/>
      </w:pPr>
      <w:r>
        <w:rPr>
          <w:b/>
          <w:bCs/>
        </w:rPr>
        <w:t xml:space="preserve">Mapping-versioiden hallinta:</w:t>
      </w:r>
      <w:r>
        <w:t xml:space="preserve"> </w:t>
      </w:r>
      <w:r>
        <w:t xml:space="preserve">Järjestelmässä on taulu</w:t>
      </w:r>
      <w:r>
        <w:t xml:space="preserve"> </w:t>
      </w:r>
      <w:r>
        <w:rPr>
          <w:rStyle w:val="VerbatimChar"/>
        </w:rPr>
        <w:t xml:space="preserve">mapping_versions</w:t>
      </w:r>
      <w:r>
        <w:t xml:space="preserve"> </w:t>
      </w:r>
      <w:r>
        <w:t xml:space="preserve">versiotietojen tallentamiseen</w:t>
      </w:r>
      <w:hyperlink r:id="rId71">
        <w:r>
          <w:rPr>
            <w:rStyle w:val="Hyperlink"/>
          </w:rPr>
          <w:t xml:space="preserve">[49]</w:t>
        </w:r>
      </w:hyperlink>
      <w:r>
        <w:t xml:space="preserve">. Kullakin versiolla on tila (DRAFT, ACTIVE, RETIRED) ja voimassaoloaika (date range)</w:t>
      </w:r>
      <w:hyperlink r:id="rId72">
        <w:r>
          <w:rPr>
            <w:rStyle w:val="Hyperlink"/>
          </w:rPr>
          <w:t xml:space="preserve">[50]</w:t>
        </w:r>
      </w:hyperlink>
      <w:r>
        <w:t xml:space="preserve">. Vain yksi</w:t>
      </w:r>
      <w:r>
        <w:t xml:space="preserve"> </w:t>
      </w:r>
      <w:r>
        <w:rPr>
          <w:b/>
          <w:bCs/>
        </w:rPr>
        <w:t xml:space="preserve">ACTIVE</w:t>
      </w:r>
      <w:r>
        <w:t xml:space="preserve">-kartoitusversio voi olla voimassa kerrallaan päällekkäin samalle ajanjaksolle per projekti</w:t>
      </w:r>
      <w:hyperlink r:id="rId73">
        <w:r>
          <w:rPr>
            <w:rStyle w:val="Hyperlink"/>
          </w:rPr>
          <w:t xml:space="preserve">[51]</w:t>
        </w:r>
      </w:hyperlink>
      <w:r>
        <w:t xml:space="preserve">. Uusia versioita luodaan tarvittaessa – esim. jos baselineen tulee muutos, voidaan julkaista uusi kartoitusversio, joka sisältää päivityksen. Kun uusi versio aktivoidaan, edellinen merkitään RETIRED ja saa</w:t>
      </w:r>
      <w:r>
        <w:t xml:space="preserve"> </w:t>
      </w:r>
      <w:r>
        <w:rPr>
          <w:rStyle w:val="VerbatimChar"/>
        </w:rPr>
        <w:t xml:space="preserve">valid_to</w:t>
      </w:r>
      <w:r>
        <w:t xml:space="preserve">-päivän.</w:t>
      </w:r>
      <w:r>
        <w:t xml:space="preserve"> </w:t>
      </w:r>
      <w:r>
        <w:rPr>
          <w:b/>
          <w:bCs/>
        </w:rPr>
        <w:t xml:space="preserve">Audit trail</w:t>
      </w:r>
      <w:r>
        <w:t xml:space="preserve"> </w:t>
      </w:r>
      <w:r>
        <w:t xml:space="preserve">on toteutettu myös tässä:</w:t>
      </w:r>
      <w:r>
        <w:t xml:space="preserve"> </w:t>
      </w:r>
      <w:r>
        <w:rPr>
          <w:rStyle w:val="VerbatimChar"/>
        </w:rPr>
        <w:t xml:space="preserve">mapping_event_log</w:t>
      </w:r>
      <w:r>
        <w:t xml:space="preserve"> </w:t>
      </w:r>
      <w:r>
        <w:t xml:space="preserve">kirjaa jokaisen kartoitukseen kohdistuvan tapahtuman (luonti, muokkaus, aktivointi, jne) payload-tietoineen</w:t>
      </w:r>
      <w:hyperlink r:id="rId34">
        <w:r>
          <w:rPr>
            <w:rStyle w:val="Hyperlink"/>
          </w:rPr>
          <w:t xml:space="preserve">[14]</w:t>
        </w:r>
      </w:hyperlink>
      <w:r>
        <w:t xml:space="preserve">. Lisäksi itse</w:t>
      </w:r>
      <w:r>
        <w:t xml:space="preserve"> </w:t>
      </w:r>
      <w:r>
        <w:rPr>
          <w:rStyle w:val="VerbatimChar"/>
        </w:rPr>
        <w:t xml:space="preserve">mapping_lines</w:t>
      </w:r>
      <w:r>
        <w:t xml:space="preserve">-taulussa on append-only-periaate (trigger estää update/delete) samaan tapaan kuin muissa keskeisissä tapahtumissa. Tämä varmistaa, että kartoituksen muutoksista jää aina jälki ja aiemmat allokaatiot voidaan tarvittaessa toistaa historiasta.</w:t>
      </w:r>
    </w:p>
    <w:p>
      <w:pPr>
        <w:pStyle w:val="BodyText"/>
      </w:pPr>
      <w:r>
        <w:rPr>
          <w:b/>
          <w:bCs/>
        </w:rPr>
        <w:t xml:space="preserve">Käyttäjän näkökulmasta</w:t>
      </w:r>
      <w:r>
        <w:t xml:space="preserve"> </w:t>
      </w:r>
      <w:r>
        <w:t xml:space="preserve">mappingin ylläpito tapahtuu pääasiassa projektin alussa baseline-asetuksen yhteydessä (</w:t>
      </w:r>
      <w:r>
        <w:rPr>
          <w:i/>
          <w:iCs/>
        </w:rPr>
        <w:t xml:space="preserve">SETUP</w:t>
      </w:r>
      <w:r>
        <w:t xml:space="preserve">-tila UI:ssa) ja myöhemmin, jos tarvitsee päivittää. Työpaketin</w:t>
      </w:r>
      <w:r>
        <w:t xml:space="preserve"> </w:t>
      </w:r>
      <w:r>
        <w:rPr>
          <w:i/>
          <w:iCs/>
        </w:rPr>
        <w:t xml:space="preserve">SETUP</w:t>
      </w:r>
      <w:r>
        <w:t xml:space="preserve">-näkymässä näkyy</w:t>
      </w:r>
      <w:r>
        <w:t xml:space="preserve"> </w:t>
      </w:r>
      <w:r>
        <w:rPr>
          <w:b/>
          <w:bCs/>
        </w:rPr>
        <w:t xml:space="preserve">koostumus</w:t>
      </w:r>
      <w:r>
        <w:t xml:space="preserve">: eli mitkä litterat (kustannusrivit) työpakettiin kuuluvat</w:t>
      </w:r>
      <w:hyperlink r:id="rId74">
        <w:r>
          <w:rPr>
            <w:rStyle w:val="Hyperlink"/>
          </w:rPr>
          <w:t xml:space="preserve">[52]</w:t>
        </w:r>
      </w:hyperlink>
      <w:hyperlink r:id="rId22">
        <w:r>
          <w:rPr>
            <w:rStyle w:val="Hyperlink"/>
          </w:rPr>
          <w:t xml:space="preserve">[53]</w:t>
        </w:r>
      </w:hyperlink>
      <w:r>
        <w:t xml:space="preserve">. Käyttäjä voi lisätä tai poistaa litteroita työpaketin sisältöön DRAFT-tilassa. Erityistapauksena on</w:t>
      </w:r>
      <w:r>
        <w:t xml:space="preserve"> </w:t>
      </w:r>
      <w:r>
        <w:rPr>
          <w:b/>
          <w:bCs/>
        </w:rPr>
        <w:t xml:space="preserve">“lisää item-koodista”</w:t>
      </w:r>
      <w:r>
        <w:t xml:space="preserve"> </w:t>
      </w:r>
      <w:r>
        <w:t xml:space="preserve">-toiminto, jolla baselineen kuuluva budjettirivi voidaan tuoda mukaan työpakettiin, jos se alun perin unohtui (tämä käynnistää aiemmin mainitun 2-portaisen korjausprosessin Phase 17)</w:t>
      </w:r>
      <w:hyperlink r:id="rId74">
        <w:r>
          <w:rPr>
            <w:rStyle w:val="Hyperlink"/>
          </w:rPr>
          <w:t xml:space="preserve">[52]</w:t>
        </w:r>
      </w:hyperlink>
      <w:hyperlink r:id="rId22">
        <w:r>
          <w:rPr>
            <w:rStyle w:val="Hyperlink"/>
          </w:rPr>
          <w:t xml:space="preserve">[53]</w:t>
        </w:r>
      </w:hyperlink>
      <w:r>
        <w:t xml:space="preserve">. Työpaketin</w:t>
      </w:r>
      <w:r>
        <w:t xml:space="preserve"> </w:t>
      </w:r>
      <w:r>
        <w:rPr>
          <w:i/>
          <w:iCs/>
        </w:rPr>
        <w:t xml:space="preserve">Financial plan</w:t>
      </w:r>
      <w:r>
        <w:t xml:space="preserve"> </w:t>
      </w:r>
      <w:r>
        <w:t xml:space="preserve">-osuudessa käyttäjä voi myös antaa toteutustapaa koskevia lisätietoja, mutta varsinainen eurojen liittäminen perustuu juuri näihin litteroihin. Codexin päätös on ollut</w:t>
      </w:r>
      <w:r>
        <w:t xml:space="preserve"> </w:t>
      </w:r>
      <w:r>
        <w:rPr>
          <w:b/>
          <w:bCs/>
        </w:rPr>
        <w:t xml:space="preserve">vaihtoehto 2: manuaalinen kartoitustaulu</w:t>
      </w:r>
      <w:r>
        <w:t xml:space="preserve">, syynä että jokaisella työmaalla on oma tapansa paketoida, eikä yhtä kaikenkattavaa sääntöä voitu kovakoodata</w:t>
      </w:r>
      <w:hyperlink r:id="rId75">
        <w:r>
          <w:rPr>
            <w:rStyle w:val="Hyperlink"/>
          </w:rPr>
          <w:t xml:space="preserve">[54]</w:t>
        </w:r>
      </w:hyperlink>
      <w:hyperlink r:id="rId75">
        <w:r>
          <w:rPr>
            <w:rStyle w:val="Hyperlink"/>
          </w:rPr>
          <w:t xml:space="preserve">[55]</w:t>
        </w:r>
      </w:hyperlink>
      <w:r>
        <w:t xml:space="preserve">. Ratkaisu jättää ihmiselle päätösvallan (AI voi korkeintaan ehdottaa automaattisesti, mutta ihminen hyväksyy ja tallentaa, jolloin audit trail syntyy)</w:t>
      </w:r>
      <w:hyperlink r:id="rId76">
        <w:r>
          <w:rPr>
            <w:rStyle w:val="Hyperlink"/>
          </w:rPr>
          <w:t xml:space="preserve">[56]</w:t>
        </w:r>
      </w:hyperlink>
      <w:hyperlink r:id="rId75">
        <w:r>
          <w:rPr>
            <w:rStyle w:val="Hyperlink"/>
          </w:rPr>
          <w:t xml:space="preserve">[55]</w:t>
        </w:r>
      </w:hyperlink>
      <w:r>
        <w:t xml:space="preserve">.</w:t>
      </w:r>
    </w:p>
    <w:p>
      <w:pPr>
        <w:pStyle w:val="BodyText"/>
      </w:pPr>
      <w:r>
        <w:rPr>
          <w:b/>
          <w:bCs/>
        </w:rPr>
        <w:t xml:space="preserve">Standardien vertailu:</w:t>
      </w:r>
      <w:r>
        <w:t xml:space="preserve"> </w:t>
      </w:r>
      <w:r>
        <w:t xml:space="preserve">WBS:n ja kustannuslajien välinen yhteys on olennainen osa EVM-järjestelmiä. PMI PMBOK ja GAO:n ohjeet vaativat, että projektille laaditaan</w:t>
      </w:r>
      <w:r>
        <w:t xml:space="preserve"> </w:t>
      </w:r>
      <w:r>
        <w:rPr>
          <w:b/>
          <w:bCs/>
        </w:rPr>
        <w:t xml:space="preserve">työnjako (WBS)</w:t>
      </w:r>
      <w:r>
        <w:t xml:space="preserve"> </w:t>
      </w:r>
      <w:r>
        <w:t xml:space="preserve">ja</w:t>
      </w:r>
      <w:r>
        <w:t xml:space="preserve"> </w:t>
      </w:r>
      <w:r>
        <w:rPr>
          <w:b/>
          <w:bCs/>
        </w:rPr>
        <w:t xml:space="preserve">kustannus/budjettirakenne</w:t>
      </w:r>
      <w:r>
        <w:t xml:space="preserve">, ja että jokaiselle WBS-elementille (tai control accountille) on määritetty budjetti. AACE:n suositukset korostavat, että</w:t>
      </w:r>
      <w:r>
        <w:t xml:space="preserve"> </w:t>
      </w:r>
      <w:r>
        <w:rPr>
          <w:b/>
          <w:bCs/>
        </w:rPr>
        <w:t xml:space="preserve">selkeä mapping</w:t>
      </w:r>
      <w:r>
        <w:t xml:space="preserve"> </w:t>
      </w:r>
      <w:r>
        <w:t xml:space="preserve">WBS:n, budjetin ja toteuman välillä on edellytys luotettaville EV-laskelmille. Codexin mapping-taulu täyttää juuri tämän tarpeen tarjoamalla joustavan tavan linkittää budjetti (Talo 80 -litterat) ja työpaketit (WBS:n kaltaiset tuotantoyksiköt). Tämä on täysin standardien mukaista periaatetasolla:</w:t>
      </w:r>
      <w:r>
        <w:t xml:space="preserve"> </w:t>
      </w:r>
      <w:r>
        <w:rPr>
          <w:i/>
          <w:iCs/>
        </w:rPr>
        <w:t xml:space="preserve">kaikilla EV- ja AC-tiedoilla tulee olla juurensa projektin rakenteessa.</w:t>
      </w:r>
    </w:p>
    <w:p>
      <w:pPr>
        <w:pStyle w:val="BodyText"/>
      </w:pPr>
      <w:r>
        <w:t xml:space="preserve">Codexin toteutus on jopa granulariteetiltaan</w:t>
      </w:r>
      <w:r>
        <w:t xml:space="preserve"> </w:t>
      </w:r>
      <w:r>
        <w:rPr>
          <w:b/>
          <w:bCs/>
        </w:rPr>
        <w:t xml:space="preserve">yksityiskohtaisempi</w:t>
      </w:r>
      <w:r>
        <w:t xml:space="preserve"> </w:t>
      </w:r>
      <w:r>
        <w:t xml:space="preserve">kuin monet perinteiset lähestymistavat. Normaalisti WBS ja kustannusrakenne tehdään yhteensopiviksi etukäteen (esim. budjetointivaiheessa kohdistetaan jokainen budjettirivi johonkin WBS-elementtiin ja siitä ei kovin jousteta). Codex sen sijaan mahdollistaa, että budjetointikoodi voi kuulua useaan työpakettiin tai vaihtaa työpakettia kesken projektin hallitusti. Tämä monimany-yhteys (m:n mapping) ei ole ihan tavanomainen – yleensä EVM-järjestelmissä oletetaan hierarkkinen suhde, jossa yksi kustannuskohta kuuluu vain yhteen control accountiin kerrallaan. Codex rikkoo tätä oletusta tarjoamalla jouston, mutta tekee sen kontrolloidusti (versionhallinta &amp; prosenttijaot). Tämä on</w:t>
      </w:r>
      <w:r>
        <w:t xml:space="preserve"> </w:t>
      </w:r>
      <w:r>
        <w:rPr>
          <w:b/>
          <w:bCs/>
        </w:rPr>
        <w:t xml:space="preserve">poikkeava mutta perusteltu ratkaisu</w:t>
      </w:r>
      <w:r>
        <w:t xml:space="preserve"> </w:t>
      </w:r>
      <w:r>
        <w:t xml:space="preserve">tilanteessa, jossa organisaation kustannuslaskennan koodisto on staattinen ja halutaan projektikohtaisesti ryhmitellä niitä eri tavalla. Standardit itsessään eivät käsittele tällaista monimutkaista kartoitusta, mutta eivät toisaalta kielläkään – ne vaativat vain, että</w:t>
      </w:r>
      <w:r>
        <w:t xml:space="preserve"> </w:t>
      </w:r>
      <w:r>
        <w:rPr>
          <w:b/>
          <w:bCs/>
        </w:rPr>
        <w:t xml:space="preserve">summatasolla</w:t>
      </w:r>
      <w:r>
        <w:t xml:space="preserve"> </w:t>
      </w:r>
      <w:r>
        <w:t xml:space="preserve">pystytään kertomaan, mikä on kunkin WBS-elementin BAC, EV, AC jne. Codex hoitaa tämän taustalla näkymien avulla:</w:t>
      </w:r>
      <w:r>
        <w:t xml:space="preserve"> </w:t>
      </w:r>
      <w:r>
        <w:rPr>
          <w:rStyle w:val="VerbatimChar"/>
        </w:rPr>
        <w:t xml:space="preserve">v_report_work_phase_current</w:t>
      </w:r>
      <w:r>
        <w:t xml:space="preserve"> </w:t>
      </w:r>
      <w:r>
        <w:t xml:space="preserve">summaa kartoitussääntöjen perusteella kustannukset työpakettitasolle</w:t>
      </w:r>
      <w:hyperlink r:id="rId77">
        <w:r>
          <w:rPr>
            <w:rStyle w:val="Hyperlink"/>
          </w:rPr>
          <w:t xml:space="preserve">[57]</w:t>
        </w:r>
      </w:hyperlink>
      <w:hyperlink r:id="rId78">
        <w:r>
          <w:rPr>
            <w:rStyle w:val="Hyperlink"/>
          </w:rPr>
          <w:t xml:space="preserve">[58]</w:t>
        </w:r>
      </w:hyperlink>
      <w:r>
        <w:t xml:space="preserve">. Näin jokaiselle työpaketille saadaan</w:t>
      </w:r>
      <w:r>
        <w:t xml:space="preserve"> </w:t>
      </w:r>
      <w:r>
        <w:rPr>
          <w:b/>
          <w:bCs/>
        </w:rPr>
        <w:t xml:space="preserve">oikea BAC</w:t>
      </w:r>
      <w:r>
        <w:t xml:space="preserve"> </w:t>
      </w:r>
      <w:r>
        <w:t xml:space="preserve">(summa sen alle kartoitettuja budjettirivejä) ja</w:t>
      </w:r>
      <w:r>
        <w:t xml:space="preserve"> </w:t>
      </w:r>
      <w:r>
        <w:rPr>
          <w:b/>
          <w:bCs/>
        </w:rPr>
        <w:t xml:space="preserve">AC</w:t>
      </w:r>
      <w:r>
        <w:t xml:space="preserve"> </w:t>
      </w:r>
      <w:r>
        <w:t xml:space="preserve">(summa sen alle kartoitettuja toteumarivejä), vaikka yksittäiset rivit saattaisivat palvella kahta työpakettia – järjestelmä allokoi prosenttien mukaan ne molemmille. Tämä on kehittynyt piirre, jota standardit eivät käsikirjoita, mutta lopputulos (täydet luvut per työpaketti) on EVM-vaatimusten mukainen.</w:t>
      </w:r>
    </w:p>
    <w:p>
      <w:pPr>
        <w:pStyle w:val="BodyText"/>
      </w:pPr>
      <w:r>
        <w:rPr>
          <w:b/>
          <w:bCs/>
        </w:rPr>
        <w:t xml:space="preserve">Audit trail</w:t>
      </w:r>
      <w:r>
        <w:t xml:space="preserve"> </w:t>
      </w:r>
      <w:r>
        <w:t xml:space="preserve">kartoituksen muutoksille on iso plussa Codexissa. AACE:n EV-käytäntöjen (esim. RP-36R: Cost Estimate Plans) hengessä baseline-allokaatioiden muutokset tulisi dokumentoida. Codex kirjaa mm. milloin jokin budjettirivi on liitetty työpakettiin tai siirretty toisaalle, ja kuka sen teki. Tämä on</w:t>
      </w:r>
      <w:r>
        <w:t xml:space="preserve"> </w:t>
      </w:r>
      <w:r>
        <w:rPr>
          <w:b/>
          <w:bCs/>
        </w:rPr>
        <w:t xml:space="preserve">erinomainen laadunvarmistus</w:t>
      </w:r>
      <w:r>
        <w:t xml:space="preserve">, joka ylittää perusstandardin vaatimukset – monessa organisaatiossa tällaiset muutokset voisivat tapahtua epämuodollisemmin Excelissä, mikä heikentää jäljitettävyyttä. GAO Guide suosittaa baseline-muutoksille audit trailia, ja mapping-muutokset ovat käytännössä baseline-kohdistusten muutoksia, joten Codex on tässäkin linjassa suositusten kanssa</w:t>
      </w:r>
      <w:hyperlink r:id="rId31">
        <w:r>
          <w:rPr>
            <w:rStyle w:val="Hyperlink"/>
          </w:rPr>
          <w:t xml:space="preserve">[11]</w:t>
        </w:r>
      </w:hyperlink>
      <w:r>
        <w:t xml:space="preserve">.</w:t>
      </w:r>
    </w:p>
    <w:p>
      <w:pPr>
        <w:pStyle w:val="BodyText"/>
      </w:pPr>
      <w:r>
        <w:rPr>
          <w:b/>
          <w:bCs/>
        </w:rPr>
        <w:t xml:space="preserve">Mahdolliset haasteet:</w:t>
      </w:r>
      <w:r>
        <w:t xml:space="preserve"> </w:t>
      </w:r>
      <w:r>
        <w:t xml:space="preserve">Codexin lähestymistavan riskinä voisi olla monimutkaisuus: monen monimutkaisen kartoitusversion hallinta voi tuoda ylläpitokuormaa. Standardien kannalta tärkeintä on, että</w:t>
      </w:r>
      <w:r>
        <w:t xml:space="preserve"> </w:t>
      </w:r>
      <w:r>
        <w:rPr>
          <w:b/>
          <w:bCs/>
        </w:rPr>
        <w:t xml:space="preserve">“Single Source of Truth”</w:t>
      </w:r>
      <w:r>
        <w:t xml:space="preserve"> </w:t>
      </w:r>
      <w:r>
        <w:t xml:space="preserve">säilyy – eli että yhdessäkin monimutkaisten allokaatioiden kanssa järjestelmästä löytyy yksiselitteisesti vastaus, mikä on kunkin paketin BAC, AC jne. Codex ratkaisee tämän tietokannan tasolla, mutta käyttäjän on ymmärrettävä kartoituslogiikka. Tähän Codex onneksi tarjoaa apuja: mm. jokaisessa raportissa luvut lasketaan kattavasti ja virheettömästi sääntöjen pohjalta, ja mapping-versiot ovat selkeästi eroteltu (vain yksi aktiivinen kerrallaan).</w:t>
      </w:r>
      <w:r>
        <w:t xml:space="preserve"> </w:t>
      </w:r>
      <w:r>
        <w:rPr>
          <w:b/>
          <w:bCs/>
        </w:rPr>
        <w:t xml:space="preserve">Standardin näkökulmasta</w:t>
      </w:r>
      <w:r>
        <w:t xml:space="preserve"> </w:t>
      </w:r>
      <w:r>
        <w:t xml:space="preserve">mitään kriittistä ei puutu – kunhan projektiorganisaatio hallitsee prosessin. On suositeltavaa dokumentoida kartoitusperiaatteet myös käyttäjille (esim. sanastossa kerrotaan mitä mapping tarkoittaa ja miksi). Terminologisesti Codex käyttää “work package” ja “littera” käsitteitä; tämä on paikallinen ero, mutta standardin WBS/Control Account -konseptit vastaavat näitä rooleja.</w:t>
      </w:r>
    </w:p>
    <w:p>
      <w:pPr>
        <w:pStyle w:val="BodyText"/>
      </w:pPr>
      <w:r>
        <w:t xml:space="preserve">Kaiken kaikkiaan Codexin budjetti-työpaketti -kartoitusmekanismi on</w:t>
      </w:r>
      <w:r>
        <w:t xml:space="preserve"> </w:t>
      </w:r>
      <w:r>
        <w:rPr>
          <w:b/>
          <w:bCs/>
        </w:rPr>
        <w:t xml:space="preserve">vahva toteutus</w:t>
      </w:r>
      <w:r>
        <w:t xml:space="preserve"> </w:t>
      </w:r>
      <w:r>
        <w:t xml:space="preserve">standardien vaatimasta kustannusten kohdistettavuudesta. Se poikkeaa tavanomaisesta yhden hierarkian mallista tarjoamalla joustavuutta, mutta säilyttää kontrollin ja läpinäkyvyyden, mikä on keskeistä EVM:ssä.</w:t>
      </w:r>
    </w:p>
    <w:bookmarkEnd w:id="79"/>
    <w:bookmarkStart w:id="89" w:name="raportointi-trendit-ja-diagnostiikka"/>
    <w:p>
      <w:pPr>
        <w:pStyle w:val="Heading2"/>
      </w:pPr>
      <w:r>
        <w:t xml:space="preserve">Raportointi, trendit ja diagnostiikka</w:t>
      </w:r>
    </w:p>
    <w:p>
      <w:pPr>
        <w:pStyle w:val="FirstParagraph"/>
      </w:pPr>
      <w:r>
        <w:rPr>
          <w:b/>
          <w:bCs/>
        </w:rPr>
        <w:t xml:space="preserve">Codexin käytäntö:</w:t>
      </w:r>
      <w:r>
        <w:t xml:space="preserve"> </w:t>
      </w:r>
      <w:r>
        <w:t xml:space="preserve">Codex sisältää valmiita raportointinäkymiä ja tietokantaviewejä, jotka kokoavat EVM-tunnusluvut eri tasoilla. Tärkeimmät ovat</w:t>
      </w:r>
      <w:r>
        <w:t xml:space="preserve"> </w:t>
      </w:r>
      <w:r>
        <w:rPr>
          <w:b/>
          <w:bCs/>
        </w:rPr>
        <w:t xml:space="preserve">työpakettinäkymä</w:t>
      </w:r>
      <w:r>
        <w:t xml:space="preserve"> </w:t>
      </w:r>
      <w:r>
        <w:t xml:space="preserve">ja</w:t>
      </w:r>
      <w:r>
        <w:t xml:space="preserve"> </w:t>
      </w:r>
      <w:r>
        <w:rPr>
          <w:b/>
          <w:bCs/>
        </w:rPr>
        <w:t xml:space="preserve">projektille aggregoiva näkymä</w:t>
      </w:r>
      <w:r>
        <w:t xml:space="preserve">. Esimerkiksi</w:t>
      </w:r>
      <w:r>
        <w:t xml:space="preserve"> </w:t>
      </w:r>
      <w:r>
        <w:rPr>
          <w:rStyle w:val="VerbatimChar"/>
        </w:rPr>
        <w:t xml:space="preserve">v_report_work_phase_current</w:t>
      </w:r>
      <w:r>
        <w:t xml:space="preserve"> </w:t>
      </w:r>
      <w:r>
        <w:t xml:space="preserve">ja</w:t>
      </w:r>
      <w:r>
        <w:t xml:space="preserve"> </w:t>
      </w:r>
      <w:r>
        <w:rPr>
          <w:rStyle w:val="VerbatimChar"/>
        </w:rPr>
        <w:t xml:space="preserve">v_report_project_current</w:t>
      </w:r>
      <w:r>
        <w:t xml:space="preserve"> </w:t>
      </w:r>
      <w:r>
        <w:t xml:space="preserve">-näkymät laskevat yhdellä kyselyllä jokaiselle työpaketille (ja edelleen yhteenvedon koko projektille) keskeiset arvot: budjetit (BAC), toteumat (AC), haamukulut, Earned Value, AC</w:t>
      </w:r>
      <w:r>
        <w:t xml:space="preserve"> </w:t>
      </w:r>
      <w:r>
        <w:rPr>
          <w:i/>
          <w:iCs/>
        </w:rPr>
        <w:t xml:space="preserve">sekä johdetut mittarit kuten CPI ja mahdollinen kustannuspoikkeama (CV)</w:t>
      </w:r>
      <w:hyperlink r:id="rId80">
        <w:r>
          <w:rPr>
            <w:rStyle w:val="Hyperlink"/>
            <w:i/>
            <w:iCs/>
          </w:rPr>
          <w:t xml:space="preserve">[59]</w:t>
        </w:r>
      </w:hyperlink>
      <w:hyperlink r:id="rId81">
        <w:r>
          <w:rPr>
            <w:rStyle w:val="Hyperlink"/>
            <w:i/>
            <w:iCs/>
          </w:rPr>
          <w:t xml:space="preserve">[60]</w:t>
        </w:r>
      </w:hyperlink>
      <w:r>
        <w:rPr>
          <w:i/>
          <w:iCs/>
        </w:rPr>
        <w:t xml:space="preserve">. Nämä näkymät hyödyntävät kaikkia tietomalliin tallennettuja tietoja ja laskentasääntöjä, jotta ne olisivat aina ajan tasalla</w:t>
      </w:r>
      <w:hyperlink r:id="rId77">
        <w:r>
          <w:rPr>
            <w:rStyle w:val="Hyperlink"/>
            <w:i/>
            <w:iCs/>
          </w:rPr>
          <w:t xml:space="preserve">[57]</w:t>
        </w:r>
      </w:hyperlink>
      <w:hyperlink r:id="rId78">
        <w:r>
          <w:rPr>
            <w:rStyle w:val="Hyperlink"/>
            <w:i/>
            <w:iCs/>
          </w:rPr>
          <w:t xml:space="preserve">[58]</w:t>
        </w:r>
      </w:hyperlink>
      <w:r>
        <w:rPr>
          <w:i/>
          <w:iCs/>
        </w:rPr>
        <w:t xml:space="preserve">. Käytännössä Codexin raportit on toteutettu</w:t>
      </w:r>
      <w:r>
        <w:t xml:space="preserve"> </w:t>
      </w:r>
      <w:r>
        <w:rPr>
          <w:i/>
          <w:iCs/>
        </w:rPr>
        <w:t xml:space="preserve">SQL-näkymillä</w:t>
      </w:r>
      <w:r>
        <w:t xml:space="preserve">*, mikä varmistaa yhdenmukaisuuden: kun data päivittyy, näkymät antavat tuoreet luvut. Tämä on tärkeää, koska manuaalisessa Excel-raportoinnissa voisi tulla inhimillisiä virheitä – Codex automatisoi koontiluvut.</w:t>
      </w:r>
    </w:p>
    <w:p>
      <w:pPr>
        <w:pStyle w:val="BodyText"/>
      </w:pPr>
      <w:r>
        <w:rPr>
          <w:b/>
          <w:bCs/>
        </w:rPr>
        <w:t xml:space="preserve">Projektitason raportointi</w:t>
      </w:r>
      <w:r>
        <w:t xml:space="preserve"> </w:t>
      </w:r>
      <w:r>
        <w:t xml:space="preserve">näyttää mm. koko projektin BAC-yhteenvedon, toteumat yhteensä, EV ja CPI projektitasolla (aggregoituna kaikista työpaketeista) sekä edellä mainitun</w:t>
      </w:r>
      <w:r>
        <w:t xml:space="preserve"> </w:t>
      </w:r>
      <w:r>
        <w:rPr>
          <w:i/>
          <w:iCs/>
        </w:rPr>
        <w:t xml:space="preserve">selvitettävien</w:t>
      </w:r>
      <w:r>
        <w:t xml:space="preserve"> </w:t>
      </w:r>
      <w:r>
        <w:t xml:space="preserve">kokonaissumman erillisenä rivinä</w:t>
      </w:r>
      <w:hyperlink r:id="rId43">
        <w:r>
          <w:rPr>
            <w:rStyle w:val="Hyperlink"/>
          </w:rPr>
          <w:t xml:space="preserve">[22]</w:t>
        </w:r>
      </w:hyperlink>
      <w:hyperlink r:id="rId63">
        <w:r>
          <w:rPr>
            <w:rStyle w:val="Hyperlink"/>
          </w:rPr>
          <w:t xml:space="preserve">[61]</w:t>
        </w:r>
      </w:hyperlink>
      <w:r>
        <w:t xml:space="preserve">. Näin ylin johto näkee yhdellä silmäyksellä, onko projekti budjetissa (CPI), paljonko rahaa on käytetty ja mitä on vielä tulossa (ghost) sekä onko piilokuluja.</w:t>
      </w:r>
      <w:r>
        <w:t xml:space="preserve"> </w:t>
      </w:r>
      <w:r>
        <w:rPr>
          <w:b/>
          <w:bCs/>
        </w:rPr>
        <w:t xml:space="preserve">Työpakettitasolla</w:t>
      </w:r>
      <w:r>
        <w:t xml:space="preserve"> </w:t>
      </w:r>
      <w:r>
        <w:t xml:space="preserve">raportointi tarjoaa tarkemmat luvut per työpaketti, mahdollistaen</w:t>
      </w:r>
      <w:r>
        <w:t xml:space="preserve"> </w:t>
      </w:r>
      <w:r>
        <w:rPr>
          <w:i/>
          <w:iCs/>
        </w:rPr>
        <w:t xml:space="preserve">vertical traceability</w:t>
      </w:r>
      <w:r>
        <w:t xml:space="preserve"> </w:t>
      </w:r>
      <w:r>
        <w:t xml:space="preserve">– eli luvut täsmäävät projektin summiin.</w:t>
      </w:r>
    </w:p>
    <w:p>
      <w:pPr>
        <w:pStyle w:val="BodyText"/>
      </w:pPr>
      <w:r>
        <w:rPr>
          <w:b/>
          <w:bCs/>
        </w:rPr>
        <w:t xml:space="preserve">Trendeistä</w:t>
      </w:r>
      <w:r>
        <w:t xml:space="preserve"> </w:t>
      </w:r>
      <w:r>
        <w:t xml:space="preserve">Codex huolehtii tallentamalla päivitystapahtumat historian. Jokainen viikkopäivitys (forecast_event) merkitään ajankohdalla;</w:t>
      </w:r>
      <w:r>
        <w:t xml:space="preserve"> </w:t>
      </w:r>
      <w:r>
        <w:rPr>
          <w:rStyle w:val="VerbatimChar"/>
        </w:rPr>
        <w:t xml:space="preserve">v_work_phase_summary_v16_kpi</w:t>
      </w:r>
      <w:r>
        <w:t xml:space="preserve"> </w:t>
      </w:r>
      <w:r>
        <w:t xml:space="preserve">esimerkiksi näyttää työpakettikohtaisesti nykyhetken KPI:t, ja niiden historiallista kehitystä voidaan seurata hakemalla vanhempia forecast-eventtejä</w:t>
      </w:r>
      <w:hyperlink r:id="rId82">
        <w:r>
          <w:rPr>
            <w:rStyle w:val="Hyperlink"/>
          </w:rPr>
          <w:t xml:space="preserve">[62]</w:t>
        </w:r>
      </w:hyperlink>
      <w:hyperlink r:id="rId83">
        <w:r>
          <w:rPr>
            <w:rStyle w:val="Hyperlink"/>
          </w:rPr>
          <w:t xml:space="preserve">[63]</w:t>
        </w:r>
      </w:hyperlink>
      <w:r>
        <w:t xml:space="preserve">. Phase 18 -migraatio laajensi raportointia lisäämällä</w:t>
      </w:r>
      <w:r>
        <w:t xml:space="preserve"> </w:t>
      </w:r>
      <w:r>
        <w:rPr>
          <w:b/>
          <w:bCs/>
        </w:rPr>
        <w:t xml:space="preserve">viikko- ja kuukausitrendi</w:t>
      </w:r>
      <w:r>
        <w:t xml:space="preserve">näkymiä sekä</w:t>
      </w:r>
      <w:r>
        <w:t xml:space="preserve"> </w:t>
      </w:r>
      <w:r>
        <w:rPr>
          <w:b/>
          <w:bCs/>
        </w:rPr>
        <w:t xml:space="preserve">“top variances”</w:t>
      </w:r>
      <w:r>
        <w:t xml:space="preserve"> </w:t>
      </w:r>
      <w:r>
        <w:t xml:space="preserve">-listauksia</w:t>
      </w:r>
      <w:hyperlink r:id="rId84">
        <w:r>
          <w:rPr>
            <w:rStyle w:val="Hyperlink"/>
          </w:rPr>
          <w:t xml:space="preserve">[64]</w:t>
        </w:r>
      </w:hyperlink>
      <w:hyperlink r:id="rId84">
        <w:r>
          <w:rPr>
            <w:rStyle w:val="Hyperlink"/>
          </w:rPr>
          <w:t xml:space="preserve">[65]</w:t>
        </w:r>
      </w:hyperlink>
      <w:r>
        <w:t xml:space="preserve">. Tämä tarkoittaa, että järjestelmä voi tuottaa esim. graafin tai taulukon, joka näyttää CPI:n tai kustannuspoikkeaman kehittymisen viikko viikolta, sekä nostaa esiin suurimmat poikkeamat (työpaketit joilla suurin yli/ali- suoritus). Tiedot ovat todennäköisesti saatavilla esim.</w:t>
      </w:r>
      <w:r>
        <w:t xml:space="preserve"> </w:t>
      </w:r>
      <w:r>
        <w:rPr>
          <w:rStyle w:val="VerbatimChar"/>
        </w:rPr>
        <w:t xml:space="preserve">v_report_project_trend</w:t>
      </w:r>
      <w:r>
        <w:t xml:space="preserve">-tyyppisestä näkymästä Phase 18:n jälkeen, missä kutakin viikkoa kohden on tallennettu KPI-arvot.</w:t>
      </w:r>
    </w:p>
    <w:p>
      <w:pPr>
        <w:pStyle w:val="BodyText"/>
      </w:pPr>
      <w:r>
        <w:rPr>
          <w:b/>
          <w:bCs/>
        </w:rPr>
        <w:t xml:space="preserve">Diagnostiikka</w:t>
      </w:r>
      <w:r>
        <w:t xml:space="preserve"> </w:t>
      </w:r>
      <w:r>
        <w:t xml:space="preserve">Codexissa näkyy mm. selvitettävien korostamisena (kuten edellä), sekä mahdollisesti</w:t>
      </w:r>
      <w:r>
        <w:t xml:space="preserve"> </w:t>
      </w:r>
      <w:r>
        <w:rPr>
          <w:i/>
          <w:iCs/>
        </w:rPr>
        <w:t xml:space="preserve">poikkeamahälytyksinä</w:t>
      </w:r>
      <w:r>
        <w:t xml:space="preserve"> </w:t>
      </w:r>
      <w:r>
        <w:t xml:space="preserve">käyttöliittymässä. Dokumentista ilmenee, että</w:t>
      </w:r>
      <w:r>
        <w:t xml:space="preserve"> </w:t>
      </w:r>
      <w:r>
        <w:rPr>
          <w:b/>
          <w:bCs/>
        </w:rPr>
        <w:t xml:space="preserve">“top variances”</w:t>
      </w:r>
      <w:r>
        <w:t xml:space="preserve"> </w:t>
      </w:r>
      <w:r>
        <w:t xml:space="preserve">on toteutettu – eli järjestelmä tunnistaa isoimmat budjettiylitykset ja listaa ne. Tällainen diagnostiikka auttaa kohdistamaan huomion ongelmakohteisiin. Myös se, että EV/CPI jäävät tyhjiksi ellei valmiusastetta ole (käyttäjä näkee selvästi että data puuttuu), on eräänlaista sisäänrakennettua diagnostiikkaa: se pakottaa täydentämään tiedon eikä näytä laskelmia epäkelvolla datalla</w:t>
      </w:r>
      <w:hyperlink r:id="rId85">
        <w:r>
          <w:rPr>
            <w:rStyle w:val="Hyperlink"/>
          </w:rPr>
          <w:t xml:space="preserve">[66]</w:t>
        </w:r>
      </w:hyperlink>
      <w:hyperlink r:id="rId41">
        <w:r>
          <w:rPr>
            <w:rStyle w:val="Hyperlink"/>
          </w:rPr>
          <w:t xml:space="preserve">[20]</w:t>
        </w:r>
      </w:hyperlink>
      <w:r>
        <w:t xml:space="preserve">.</w:t>
      </w:r>
    </w:p>
    <w:p>
      <w:pPr>
        <w:pStyle w:val="BodyText"/>
      </w:pPr>
      <w:r>
        <w:t xml:space="preserve">Raporttinäkymät kattavat lisäksi eritasoisia koonteja: Codex mainitsee</w:t>
      </w:r>
      <w:r>
        <w:t xml:space="preserve"> </w:t>
      </w:r>
      <w:r>
        <w:rPr>
          <w:i/>
          <w:iCs/>
        </w:rPr>
        <w:t xml:space="preserve">“work phase / main group / project”</w:t>
      </w:r>
      <w:r>
        <w:t xml:space="preserve"> </w:t>
      </w:r>
      <w:r>
        <w:t xml:space="preserve">raportit</w:t>
      </w:r>
      <w:hyperlink r:id="rId84">
        <w:r>
          <w:rPr>
            <w:rStyle w:val="Hyperlink"/>
          </w:rPr>
          <w:t xml:space="preserve">[64]</w:t>
        </w:r>
      </w:hyperlink>
      <w:r>
        <w:t xml:space="preserve">, mikä viittaa siihen, että työpakettien ohella voidaan raportoida vaikkapa pääryhmittäin (esim. Talo 80 -pääkategoria, jos halutaan nähdä kustannukset rakennusosa-alueittain). Tämä on joustava ominaisuus, joka mahdollisesti hyödyntää budjettirivien koodien hierarkiaa (mainittiin Group_code). Diagnostiikan kannalta voisi myös olla näkymiä, jotka tarkistavat tietojen eheyttä (esim. “onko jollain työpaketilla baseline lukitsematta vaikka toteumaa on?”) – dokumentissa on viitteitä, että Phase 16/17 -testauksessa huomattiin EV/CPI jäävän nulliksi jos baseline puuttuu, ja tätä pidettiin</w:t>
      </w:r>
      <w:r>
        <w:t xml:space="preserve"> </w:t>
      </w:r>
      <w:r>
        <w:rPr>
          <w:i/>
          <w:iCs/>
        </w:rPr>
        <w:t xml:space="preserve">“policy A:n mukaisena haluttuna toimintana”</w:t>
      </w:r>
      <w:hyperlink r:id="rId41">
        <w:r>
          <w:rPr>
            <w:rStyle w:val="Hyperlink"/>
          </w:rPr>
          <w:t xml:space="preserve">[20]</w:t>
        </w:r>
      </w:hyperlink>
      <w:hyperlink r:id="rId85">
        <w:r>
          <w:rPr>
            <w:rStyle w:val="Hyperlink"/>
          </w:rPr>
          <w:t xml:space="preserve">[66]</w:t>
        </w:r>
      </w:hyperlink>
      <w:r>
        <w:t xml:space="preserve">. Eli järjestelmä itsessään jo varmistaa liiketoimintasäännöillä, ettei virhetilanteita pääse syntymään, jolloin raporttien ei tarvitse esittää erikseen virhevaroituksia.</w:t>
      </w:r>
    </w:p>
    <w:p>
      <w:pPr>
        <w:pStyle w:val="BodyText"/>
      </w:pPr>
      <w:r>
        <w:rPr>
          <w:b/>
          <w:bCs/>
        </w:rPr>
        <w:t xml:space="preserve">Standardien vertailu:</w:t>
      </w:r>
      <w:r>
        <w:t xml:space="preserve"> </w:t>
      </w:r>
      <w:r>
        <w:t xml:space="preserve">EVM-standardit korostavat raportoinnin merkitystä: pelkkä EV-datan kerääminen ei riitä, vaan siitä on tehtävä ymmärrettäviä raportteja päätöksenteon tueksi. GAO:n Cost Estimating &amp; Assessment Guide sisältää useita parhaita käytäntöjä EVM-datan analysointiin: trendikaavioiden tarkastelua, poikkeamien syiden erittelyä ja ennusteen päivittämistä jatkuvasti. Codexin raportit toteuttavat näitä: trendinäkymät vastaavat suositusta seurata CPI:n kehityssuuntaa, ja</w:t>
      </w:r>
      <w:r>
        <w:t xml:space="preserve"> </w:t>
      </w:r>
      <w:r>
        <w:rPr>
          <w:i/>
          <w:iCs/>
        </w:rPr>
        <w:t xml:space="preserve">top variances</w:t>
      </w:r>
      <w:r>
        <w:t xml:space="preserve"> </w:t>
      </w:r>
      <w:r>
        <w:t xml:space="preserve">-lista noudattaa periaatetta, että suurimpiin poikkeamiin tulee kiinnittää huomiota (PMBOKin mukaan esim.</w:t>
      </w:r>
      <w:r>
        <w:t xml:space="preserve"> </w:t>
      </w:r>
      <w:r>
        <w:rPr>
          <w:i/>
          <w:iCs/>
        </w:rPr>
        <w:t xml:space="preserve">“manage by exception”</w:t>
      </w:r>
      <w:r>
        <w:t xml:space="preserve"> </w:t>
      </w:r>
      <w:r>
        <w:t xml:space="preserve">eli keskity isoimpiin heittoihin).</w:t>
      </w:r>
    </w:p>
    <w:p>
      <w:pPr>
        <w:pStyle w:val="BodyText"/>
      </w:pPr>
      <w:r>
        <w:t xml:space="preserve">Myös</w:t>
      </w:r>
      <w:r>
        <w:t xml:space="preserve"> </w:t>
      </w:r>
      <w:r>
        <w:rPr>
          <w:b/>
          <w:bCs/>
        </w:rPr>
        <w:t xml:space="preserve">ennustaminen (forecast/EAC)</w:t>
      </w:r>
      <w:r>
        <w:t xml:space="preserve"> </w:t>
      </w:r>
      <w:r>
        <w:t xml:space="preserve">näkyy Codexin prosessissa: kuukausiennuste, johon sisältyy muutos + perustelu + hyväksynnät</w:t>
      </w:r>
      <w:hyperlink r:id="rId61">
        <w:r>
          <w:rPr>
            <w:rStyle w:val="Hyperlink"/>
          </w:rPr>
          <w:t xml:space="preserve">[42]</w:t>
        </w:r>
      </w:hyperlink>
      <w:hyperlink r:id="rId86">
        <w:r>
          <w:rPr>
            <w:rStyle w:val="Hyperlink"/>
          </w:rPr>
          <w:t xml:space="preserve">[67]</w:t>
        </w:r>
      </w:hyperlink>
      <w:r>
        <w:t xml:space="preserve">, viittaa siihen, että kuukausittain projektipäällikkö tarkastelee EAC:ia (Estimate at Completion) ja tarvittaessa päivittää ennustetta. PMI Construction Extension painottaa, että</w:t>
      </w:r>
      <w:r>
        <w:t xml:space="preserve"> </w:t>
      </w:r>
      <w:r>
        <w:rPr>
          <w:b/>
          <w:bCs/>
        </w:rPr>
        <w:t xml:space="preserve">EAC-arvon säännöllinen tarkistus</w:t>
      </w:r>
      <w:r>
        <w:t xml:space="preserve"> </w:t>
      </w:r>
      <w:r>
        <w:t xml:space="preserve">on tärkeää projektin loppukustannusten arvioimiseksi ja riskien hallitsemiseksi. Codex toteuttaa tämän formalismin: jos ennuste muuttuu (esim. huomataan budjettiylitys tulossa), tehdään muutosennuste, annetaan perustelut ja hyväksytään ne. Se on käytännössä sisäänrakennettu</w:t>
      </w:r>
      <w:r>
        <w:t xml:space="preserve"> </w:t>
      </w:r>
      <w:r>
        <w:rPr>
          <w:b/>
          <w:bCs/>
        </w:rPr>
        <w:t xml:space="preserve">change control</w:t>
      </w:r>
      <w:r>
        <w:t xml:space="preserve"> </w:t>
      </w:r>
      <w:r>
        <w:t xml:space="preserve">EAC:lle. Standardinmukaisesti EVM edellyttääkin EAC:n ylläpitoa – monet organisaatiot laskevat sen mekaanisesti (esim. BAC/CPI), mutta suositus on, että</w:t>
      </w:r>
      <w:r>
        <w:t xml:space="preserve"> </w:t>
      </w:r>
      <w:r>
        <w:rPr>
          <w:i/>
          <w:iCs/>
        </w:rPr>
        <w:t xml:space="preserve">projektitiimin arvio (EAC)</w:t>
      </w:r>
      <w:r>
        <w:t xml:space="preserve"> </w:t>
      </w:r>
      <w:r>
        <w:t xml:space="preserve">on arvokkaampi. Codexin UI kannustaa juuri tähän: käyttäjä syöttää uuden ennusteen ja perustelut, jonka johto hyväksyy. Tämä on</w:t>
      </w:r>
      <w:r>
        <w:t xml:space="preserve"> </w:t>
      </w:r>
      <w:r>
        <w:rPr>
          <w:b/>
          <w:bCs/>
        </w:rPr>
        <w:t xml:space="preserve">vahvasti standardien mukaista</w:t>
      </w:r>
      <w:r>
        <w:t xml:space="preserve"> </w:t>
      </w:r>
      <w:r>
        <w:t xml:space="preserve">ennustehallintaa.</w:t>
      </w:r>
    </w:p>
    <w:p>
      <w:pPr>
        <w:pStyle w:val="BodyText"/>
      </w:pPr>
      <w:r>
        <w:rPr>
          <w:b/>
          <w:bCs/>
        </w:rPr>
        <w:t xml:space="preserve">Vertailun arviointi:</w:t>
      </w:r>
      <w:r>
        <w:t xml:space="preserve"> </w:t>
      </w:r>
      <w:r>
        <w:t xml:space="preserve">Codexin raportointiominaisuudet näyttävät kattavilta ja hyvin linjassa standardien analyysivaatimusten kanssa. Erityistä kiitosta voi antaa siitä, että järjestelmä on</w:t>
      </w:r>
      <w:r>
        <w:t xml:space="preserve"> </w:t>
      </w:r>
      <w:r>
        <w:rPr>
          <w:b/>
          <w:bCs/>
        </w:rPr>
        <w:t xml:space="preserve">datakeskeinen</w:t>
      </w:r>
      <w:r>
        <w:t xml:space="preserve"> </w:t>
      </w:r>
      <w:r>
        <w:t xml:space="preserve">– raportit ovat suoraan tietokantatasolla määritelty, mikä takaa yhtenäisyyden ja ajantasaisuuden</w:t>
      </w:r>
      <w:hyperlink r:id="rId77">
        <w:r>
          <w:rPr>
            <w:rStyle w:val="Hyperlink"/>
          </w:rPr>
          <w:t xml:space="preserve">[57]</w:t>
        </w:r>
      </w:hyperlink>
      <w:hyperlink r:id="rId78">
        <w:r>
          <w:rPr>
            <w:rStyle w:val="Hyperlink"/>
          </w:rPr>
          <w:t xml:space="preserve">[58]</w:t>
        </w:r>
      </w:hyperlink>
      <w:r>
        <w:t xml:space="preserve">. Monet EVM-standardit (kuten ISO 21508) painottavat</w:t>
      </w:r>
      <w:r>
        <w:t xml:space="preserve"> </w:t>
      </w:r>
      <w:r>
        <w:rPr>
          <w:i/>
          <w:iCs/>
        </w:rPr>
        <w:t xml:space="preserve">“common framework and vocabulary, consistent view of performance metrics”</w:t>
      </w:r>
      <w:hyperlink r:id="rId67">
        <w:r>
          <w:rPr>
            <w:rStyle w:val="Hyperlink"/>
          </w:rPr>
          <w:t xml:space="preserve">[46]</w:t>
        </w:r>
      </w:hyperlink>
      <w:hyperlink r:id="rId29">
        <w:r>
          <w:rPr>
            <w:rStyle w:val="Hyperlink"/>
          </w:rPr>
          <w:t xml:space="preserve">[9]</w:t>
        </w:r>
      </w:hyperlink>
      <w:r>
        <w:t xml:space="preserve">. Codex vastaa tähän tarjoamalla kaikille samaa näkymää samoin laskentakaavoin.</w:t>
      </w:r>
    </w:p>
    <w:p>
      <w:pPr>
        <w:pStyle w:val="BodyText"/>
      </w:pPr>
      <w:r>
        <w:t xml:space="preserve">Mahdollinen ero tavanomaiseen on, että Codex ei mainitse</w:t>
      </w:r>
      <w:r>
        <w:t xml:space="preserve"> </w:t>
      </w:r>
      <w:r>
        <w:rPr>
          <w:b/>
          <w:bCs/>
        </w:rPr>
        <w:t xml:space="preserve">s-curve</w:t>
      </w:r>
      <w:r>
        <w:t xml:space="preserve"> </w:t>
      </w:r>
      <w:r>
        <w:t xml:space="preserve">tai graafisia raportteja erikseen – tosin trenditiedoilla sellaiset on luotavissa. AACE RPs ja PMI suosittelevat usein graafista esitystä EV, AC, PV käyrille, jotta projektin suorituskyky ja ennuste näkyvät visuaalisesti. Codexin dokumentti on tekstimuotoinen, joten emme tiedä UI:n graafeista. Mutta koska trendinäkymät ovat olemassa, on hyvin mahdollista, että käyttöliittymä visualisoi ne (esim. CPI-trendikaavio, budjetin kulumakäyrä). Jos graafinen esitys puuttuisi, se olisi pieni puute käyttäjäkokemuksessa standardin suosituksiin nähden – mutta todennäköisesti se on ainakin suunnitteilla.</w:t>
      </w:r>
    </w:p>
    <w:p>
      <w:pPr>
        <w:pStyle w:val="BodyText"/>
      </w:pPr>
      <w:r>
        <w:rPr>
          <w:b/>
          <w:bCs/>
        </w:rPr>
        <w:t xml:space="preserve">Diagnostiikan osalta</w:t>
      </w:r>
      <w:r>
        <w:t xml:space="preserve"> </w:t>
      </w:r>
      <w:r>
        <w:t xml:space="preserve">Codexin lähestymistapa on proaktiivinen: se rakentaa liiketoimintasäännöt niin, ettei virheellisiä tilanteita synny (esim. baseline-lukitusvaatimus) ja tuo datapoikkeamat (kuten unmapped actuals) näkyviin. Standardit, kuten GAO, korostavat EVM-tietojen analysoinnissa myös laatuauditointeja – varmista, että data on ehjää (EV ei ylitä BAC:ia, negatiivisia arvoja ei ole, yms.). Codexin tietomalli asettaa monia</w:t>
      </w:r>
      <w:r>
        <w:t xml:space="preserve"> </w:t>
      </w:r>
      <w:r>
        <w:rPr>
          <w:b/>
          <w:bCs/>
        </w:rPr>
        <w:t xml:space="preserve">eheysrajoitteita</w:t>
      </w:r>
      <w:r>
        <w:t xml:space="preserve"> </w:t>
      </w:r>
      <w:r>
        <w:t xml:space="preserve">(CHECK-konstraintit, NOT NULL -vaatimukset, jne.), jotka todennäköisesti estävät esimerkiksi EV:n laskemisen väärin (jos %complete yli 100% syötettäisiin, se rajoitetaan 0–1 välillä)</w:t>
      </w:r>
      <w:hyperlink r:id="rId87">
        <w:r>
          <w:rPr>
            <w:rStyle w:val="Hyperlink"/>
          </w:rPr>
          <w:t xml:space="preserve">[68]</w:t>
        </w:r>
      </w:hyperlink>
      <w:hyperlink r:id="rId88">
        <w:r>
          <w:rPr>
            <w:rStyle w:val="Hyperlink"/>
          </w:rPr>
          <w:t xml:space="preserve">[69]</w:t>
        </w:r>
      </w:hyperlink>
      <w:r>
        <w:t xml:space="preserve">. Nämä tekniset kontrollit toteuttavat standardin mukaista “virheiden ehkäisyä” sisäänrakennetusti.</w:t>
      </w:r>
    </w:p>
    <w:p>
      <w:pPr>
        <w:pStyle w:val="BodyText"/>
      </w:pPr>
      <w:r>
        <w:t xml:space="preserve">Kokonaisuutena Codex raportoi ja analysoi tietoja tavoin, jotka ovat</w:t>
      </w:r>
      <w:r>
        <w:t xml:space="preserve"> </w:t>
      </w:r>
      <w:r>
        <w:rPr>
          <w:b/>
          <w:bCs/>
        </w:rPr>
        <w:t xml:space="preserve">erittäin yhteneviä kansainvälisten hyvien käytäntöjen kanssa</w:t>
      </w:r>
      <w:r>
        <w:t xml:space="preserve">. Seuraamalla trendejä, korostamalla poikkeamia ja pakottamalla säännöllisen EAC-päivityksen se tukee päätöksentekoa juuri kuten GAO/PMI opastavat. Mitään merkittävää puutetta ei nouse esiin, paitsi mahdollinen graafisen raportoinnin mainitsematta jättäminen (mikä voi olla dokumentaation rajaus).</w:t>
      </w:r>
      <w:r>
        <w:t xml:space="preserve"> </w:t>
      </w:r>
      <w:r>
        <w:rPr>
          <w:b/>
          <w:bCs/>
        </w:rPr>
        <w:t xml:space="preserve">Päinvastoin</w:t>
      </w:r>
      <w:r>
        <w:t xml:space="preserve">, joiltain osin (esim. unmapped-costs-nostot, reaaliaikaiset näkymät) Codex menee jopa pidemmälle käytettävyyden saralla kuin pelkät standardit edellyttäisivät.</w:t>
      </w:r>
    </w:p>
    <w:bookmarkEnd w:id="89"/>
    <w:bookmarkStart w:id="104" w:name="Xecde14fd607546495fea2c037262a07e00ae244"/>
    <w:p>
      <w:pPr>
        <w:pStyle w:val="Heading2"/>
      </w:pPr>
      <w:r>
        <w:t xml:space="preserve">RBAC-käyttöoikeudet ja hyväksyntäprosessit</w:t>
      </w:r>
    </w:p>
    <w:p>
      <w:pPr>
        <w:pStyle w:val="FirstParagraph"/>
      </w:pPr>
      <w:r>
        <w:rPr>
          <w:b/>
          <w:bCs/>
        </w:rPr>
        <w:t xml:space="preserve">Codexin käytäntö:</w:t>
      </w:r>
      <w:r>
        <w:t xml:space="preserve"> </w:t>
      </w:r>
      <w:r>
        <w:t xml:space="preserve">Codex SaaS on monen organisaation tukeva järjestelmä, jossa on toteutettu</w:t>
      </w:r>
      <w:r>
        <w:t xml:space="preserve"> </w:t>
      </w:r>
      <w:r>
        <w:rPr>
          <w:b/>
          <w:bCs/>
        </w:rPr>
        <w:t xml:space="preserve">roolipohjainen käyttöoikeusmalli (RBAC)</w:t>
      </w:r>
      <w:r>
        <w:t xml:space="preserve">. Käyttäjät kuuluvat organisaatioihin, ja heille voidaan antaa rooleja sekä organisaatiotasolla että projektitasolla</w:t>
      </w:r>
      <w:hyperlink r:id="rId90">
        <w:r>
          <w:rPr>
            <w:rStyle w:val="Hyperlink"/>
          </w:rPr>
          <w:t xml:space="preserve">[70]</w:t>
        </w:r>
      </w:hyperlink>
      <w:hyperlink r:id="rId91">
        <w:r>
          <w:rPr>
            <w:rStyle w:val="Hyperlink"/>
          </w:rPr>
          <w:t xml:space="preserve">[71]</w:t>
        </w:r>
      </w:hyperlink>
      <w:r>
        <w:t xml:space="preserve">. Roolit (esim.</w:t>
      </w:r>
      <w:r>
        <w:t xml:space="preserve"> </w:t>
      </w:r>
      <w:r>
        <w:rPr>
          <w:i/>
          <w:iCs/>
        </w:rPr>
        <w:t xml:space="preserve">Työnjohtaja</w:t>
      </w:r>
      <w:r>
        <w:t xml:space="preserve">,</w:t>
      </w:r>
      <w:r>
        <w:t xml:space="preserve"> </w:t>
      </w:r>
      <w:r>
        <w:rPr>
          <w:i/>
          <w:iCs/>
        </w:rPr>
        <w:t xml:space="preserve">Työpäällikkö, Tuotantojohtaja</w:t>
      </w:r>
      <w:r>
        <w:t xml:space="preserve">) on määritelty erillisessä</w:t>
      </w:r>
      <w:r>
        <w:t xml:space="preserve"> </w:t>
      </w:r>
      <w:r>
        <w:rPr>
          <w:rStyle w:val="VerbatimChar"/>
        </w:rPr>
        <w:t xml:space="preserve">roles</w:t>
      </w:r>
      <w:r>
        <w:t xml:space="preserve">-taulussa, ja kullekin roolille on liitetty tietyt oikeudet</w:t>
      </w:r>
      <w:r>
        <w:t xml:space="preserve"> </w:t>
      </w:r>
      <w:r>
        <w:rPr>
          <w:rStyle w:val="VerbatimChar"/>
        </w:rPr>
        <w:t xml:space="preserve">permissions</w:t>
      </w:r>
      <w:r>
        <w:t xml:space="preserve">-taulun kautta</w:t>
      </w:r>
      <w:hyperlink r:id="rId92">
        <w:r>
          <w:rPr>
            <w:rStyle w:val="Hyperlink"/>
          </w:rPr>
          <w:t xml:space="preserve">[72]</w:t>
        </w:r>
      </w:hyperlink>
      <w:hyperlink r:id="rId93">
        <w:r>
          <w:rPr>
            <w:rStyle w:val="Hyperlink"/>
          </w:rPr>
          <w:t xml:space="preserve">[73]</w:t>
        </w:r>
      </w:hyperlink>
      <w:r>
        <w:t xml:space="preserve">. Phase 19 -migraatio kuvaa, että järjestelmään luotiin</w:t>
      </w:r>
      <w:r>
        <w:t xml:space="preserve"> </w:t>
      </w:r>
      <w:r>
        <w:rPr>
          <w:b/>
          <w:bCs/>
        </w:rPr>
        <w:t xml:space="preserve">perusroolit ja oikeudet</w:t>
      </w:r>
      <w:r>
        <w:t xml:space="preserve">: esim.</w:t>
      </w:r>
      <w:r>
        <w:t xml:space="preserve"> </w:t>
      </w:r>
      <w:r>
        <w:rPr>
          <w:i/>
          <w:iCs/>
        </w:rPr>
        <w:t xml:space="preserve">SITE_FOREMAN (Työnjohtaja)</w:t>
      </w:r>
      <w:r>
        <w:t xml:space="preserve"> </w:t>
      </w:r>
      <w:r>
        <w:t xml:space="preserve">jolla on oikeus kirjata viikkopäivityksiä ja ghosteja,</w:t>
      </w:r>
      <w:r>
        <w:t xml:space="preserve"> </w:t>
      </w:r>
      <w:r>
        <w:rPr>
          <w:i/>
          <w:iCs/>
        </w:rPr>
        <w:t xml:space="preserve">PROJECT_MANAGER (Työpäällikkö)</w:t>
      </w:r>
      <w:r>
        <w:t xml:space="preserve"> </w:t>
      </w:r>
      <w:r>
        <w:t xml:space="preserve">ja</w:t>
      </w:r>
      <w:r>
        <w:t xml:space="preserve"> </w:t>
      </w:r>
      <w:r>
        <w:rPr>
          <w:i/>
          <w:iCs/>
        </w:rPr>
        <w:t xml:space="preserve">PRODUCTION_DIRECTOR (Tuotantojohtaja)</w:t>
      </w:r>
      <w:r>
        <w:t xml:space="preserve"> </w:t>
      </w:r>
      <w:r>
        <w:t xml:space="preserve">joilla on hyväksymisoikeuksia jne.</w:t>
      </w:r>
      <w:hyperlink r:id="rId94">
        <w:r>
          <w:rPr>
            <w:rStyle w:val="Hyperlink"/>
          </w:rPr>
          <w:t xml:space="preserve">[74]</w:t>
        </w:r>
      </w:hyperlink>
      <w:r>
        <w:t xml:space="preserve">.</w:t>
      </w:r>
    </w:p>
    <w:p>
      <w:pPr>
        <w:pStyle w:val="BodyText"/>
      </w:pPr>
      <w:r>
        <w:t xml:space="preserve">Erityisesti Codex on huomioinut</w:t>
      </w:r>
      <w:r>
        <w:t xml:space="preserve"> </w:t>
      </w:r>
      <w:r>
        <w:rPr>
          <w:b/>
          <w:bCs/>
        </w:rPr>
        <w:t xml:space="preserve">hyväksyntätoiminnot</w:t>
      </w:r>
      <w:r>
        <w:t xml:space="preserve"> </w:t>
      </w:r>
      <w:r>
        <w:t xml:space="preserve">(kuten baseline-lukituksen hyväksyminen tai kartoitusmuutoksen hyväksyminen) rakentamalla niille</w:t>
      </w:r>
      <w:r>
        <w:t xml:space="preserve"> </w:t>
      </w:r>
      <w:r>
        <w:rPr>
          <w:b/>
          <w:bCs/>
        </w:rPr>
        <w:t xml:space="preserve">secure wrapper</w:t>
      </w:r>
      <w:r>
        <w:t xml:space="preserve"> </w:t>
      </w:r>
      <w:r>
        <w:t xml:space="preserve">-funktiot tietokantaan</w:t>
      </w:r>
      <w:hyperlink r:id="rId95">
        <w:r>
          <w:rPr>
            <w:rStyle w:val="Hyperlink"/>
          </w:rPr>
          <w:t xml:space="preserve">[75]</w:t>
        </w:r>
      </w:hyperlink>
      <w:r>
        <w:t xml:space="preserve">. Näissä tietokantafunktioissa on sisäänrakennettu käyttöoikeustarkistus: ne käyttävät</w:t>
      </w:r>
      <w:r>
        <w:t xml:space="preserve"> </w:t>
      </w:r>
      <w:r>
        <w:rPr>
          <w:rStyle w:val="VerbatimChar"/>
        </w:rPr>
        <w:t xml:space="preserve">rbac_user_has_permission</w:t>
      </w:r>
      <w:r>
        <w:t xml:space="preserve">-funktiota varmistamaan, että kutsuvalla käyttäjällä on vaadittu rooli</w:t>
      </w:r>
      <w:hyperlink r:id="rId95">
        <w:r>
          <w:rPr>
            <w:rStyle w:val="Hyperlink"/>
          </w:rPr>
          <w:t xml:space="preserve">[75]</w:t>
        </w:r>
      </w:hyperlink>
      <w:r>
        <w:t xml:space="preserve">. Lisäksi nämä funktiot saatetaan luoda SECURITY DEFINER -asetuksella siten, että tavallinen käyttäjä voi suorittaa ne vain jos tarkistus menee läpi. Näin vaikka API-kutsu tulisi, varsinainen tietokantaoperaatio baseline-lukon asettamiseksi ei onnistu, ellei käyttäjällä ole oikeutta (esim.</w:t>
      </w:r>
      <w:r>
        <w:t xml:space="preserve"> </w:t>
      </w:r>
      <w:r>
        <w:rPr>
          <w:i/>
          <w:iCs/>
        </w:rPr>
        <w:t xml:space="preserve">approve_baseline</w:t>
      </w:r>
      <w:r>
        <w:t xml:space="preserve"> </w:t>
      </w:r>
      <w:r>
        <w:t xml:space="preserve">-permission). Dokumentissa mainitaan, että UI/API-tasolla hoidetaan pääosin käyttöoikeuksien valvonta, mutta tietokantaan on tehty varmistusmekanismeja kriittisiin kohtiin (</w:t>
      </w:r>
      <w:r>
        <w:rPr>
          <w:i/>
          <w:iCs/>
        </w:rPr>
        <w:t xml:space="preserve">“secure wrapperit (esim. Phase 17 approve) sovellusta varten”</w:t>
      </w:r>
      <w:r>
        <w:t xml:space="preserve">)</w:t>
      </w:r>
      <w:hyperlink r:id="rId21">
        <w:r>
          <w:rPr>
            <w:rStyle w:val="Hyperlink"/>
          </w:rPr>
          <w:t xml:space="preserve">[76]</w:t>
        </w:r>
      </w:hyperlink>
      <w:r>
        <w:t xml:space="preserve">. Tämä kaksinkertainen suoja on tärkeä pilviympäristössä, jossa tietokantaa suojataan monilta vuokralaisorganisaatioilta: vaikka käyttöliittymässä ei olisikaan tietovuotoa, tietokanta itse takaa eristystä.</w:t>
      </w:r>
    </w:p>
    <w:p>
      <w:pPr>
        <w:pStyle w:val="BodyText"/>
      </w:pPr>
      <w:r>
        <w:t xml:space="preserve">Hyväksyntäprosessit Codexissa hyödyntävät RBAC-rooleja: esim. baseline-lukituspyyntö lähtee työmaapäälliköltä (site foreman) ja menee projektipäällikölle hyväksyttäväksi (role: Project Manager), sitten lopulta tuotantojohtajalle (Production Director) lopulliseen lukitukseen</w:t>
      </w:r>
      <w:hyperlink r:id="rId32">
        <w:r>
          <w:rPr>
            <w:rStyle w:val="Hyperlink"/>
          </w:rPr>
          <w:t xml:space="preserve">[12]</w:t>
        </w:r>
      </w:hyperlink>
      <w:r>
        <w:t xml:space="preserve">. Järjestelmä tietää roolien perusteella, kenelle ilmoitukset tai tehtävät kuuluu ohjata. Samoin Phase 17 -korjausprosessissa roolit on selvästi määritelty kullekin vaiheelle</w:t>
      </w:r>
      <w:hyperlink r:id="rId32">
        <w:r>
          <w:rPr>
            <w:rStyle w:val="Hyperlink"/>
          </w:rPr>
          <w:t xml:space="preserve">[12]</w:t>
        </w:r>
      </w:hyperlink>
      <w:r>
        <w:t xml:space="preserve">.</w:t>
      </w:r>
    </w:p>
    <w:p>
      <w:pPr>
        <w:pStyle w:val="BodyText"/>
      </w:pPr>
      <w:r>
        <w:t xml:space="preserve">Codex toteuttaa myös</w:t>
      </w:r>
      <w:r>
        <w:t xml:space="preserve"> </w:t>
      </w:r>
      <w:r>
        <w:rPr>
          <w:b/>
          <w:bCs/>
        </w:rPr>
        <w:t xml:space="preserve">organisaatioeristyksen</w:t>
      </w:r>
      <w:r>
        <w:t xml:space="preserve">: kunkin projektin tiedot on sidottu organisaatioon (tenant), ja käyttäjä näkee vain oman organisaationsa projektit. Tämä on varmistettu lisäämällä projekti-tauluun</w:t>
      </w:r>
      <w:r>
        <w:t xml:space="preserve"> </w:t>
      </w:r>
      <w:r>
        <w:rPr>
          <w:rStyle w:val="VerbatimChar"/>
        </w:rPr>
        <w:t xml:space="preserve">organization_id</w:t>
      </w:r>
      <w:r>
        <w:t xml:space="preserve"> </w:t>
      </w:r>
      <w:r>
        <w:t xml:space="preserve">ja huolehtimalla, että kaikilla kyselyillä rajataan data tuon perusteella</w:t>
      </w:r>
      <w:hyperlink r:id="rId96">
        <w:r>
          <w:rPr>
            <w:rStyle w:val="Hyperlink"/>
          </w:rPr>
          <w:t xml:space="preserve">[77]</w:t>
        </w:r>
      </w:hyperlink>
      <w:hyperlink r:id="rId97">
        <w:r>
          <w:rPr>
            <w:rStyle w:val="Hyperlink"/>
          </w:rPr>
          <w:t xml:space="preserve">[78]</w:t>
        </w:r>
      </w:hyperlink>
      <w:r>
        <w:t xml:space="preserve">. RBAC-malli kattaa sekä organisaatiotason roolit (yleiset oikeudet) että projektikohtaiset roolit (vain tietyssä projektissa annettu vastuu)</w:t>
      </w:r>
      <w:hyperlink r:id="rId98">
        <w:r>
          <w:rPr>
            <w:rStyle w:val="Hyperlink"/>
          </w:rPr>
          <w:t xml:space="preserve">[79]</w:t>
        </w:r>
      </w:hyperlink>
      <w:hyperlink r:id="rId99">
        <w:r>
          <w:rPr>
            <w:rStyle w:val="Hyperlink"/>
          </w:rPr>
          <w:t xml:space="preserve">[80]</w:t>
        </w:r>
      </w:hyperlink>
      <w:r>
        <w:t xml:space="preserve">.</w:t>
      </w:r>
    </w:p>
    <w:p>
      <w:pPr>
        <w:pStyle w:val="BodyText"/>
      </w:pPr>
      <w:r>
        <w:rPr>
          <w:b/>
          <w:bCs/>
        </w:rPr>
        <w:t xml:space="preserve">Standardien vertailu:</w:t>
      </w:r>
      <w:r>
        <w:t xml:space="preserve"> </w:t>
      </w:r>
      <w:r>
        <w:t xml:space="preserve">Projektinhallintastandardit kuten PMI PMBOK eivät mene tekniseen RBAC-toteutukseen, mutta ne korostavat selkeiden roolien ja vastuiden määrittelyä. EVM-standardeissa (EIA-748) yksi kriteeri on mm. että</w:t>
      </w:r>
      <w:r>
        <w:t xml:space="preserve"> </w:t>
      </w:r>
      <w:r>
        <w:rPr>
          <w:b/>
          <w:bCs/>
        </w:rPr>
        <w:t xml:space="preserve">organisaation vastuut</w:t>
      </w:r>
      <w:r>
        <w:t xml:space="preserve"> </w:t>
      </w:r>
      <w:r>
        <w:t xml:space="preserve">EVMS-prosessissa on kuvattu: kuka vastaa kustakin control accountista, kenellä on valtuudet hyväksyä budjettimuutokset, jne. Codexin roolimalli vastaa tähän suoraan. Siinä on nimetty roolit projektiorganisaation avainhenkilöille ja kytketty heihin järjestelmätason oikeudet toimenpiteisiin. Esimerkiksi baseline-muutosten hyväksyntä on standardien mukaan tyypillisesti projektipäällikön tai johtoryhmän tehtävä – Codex varmistaa, että vain</w:t>
      </w:r>
      <w:r>
        <w:t xml:space="preserve"> </w:t>
      </w:r>
      <w:r>
        <w:rPr>
          <w:i/>
          <w:iCs/>
        </w:rPr>
        <w:t xml:space="preserve">Project Manager</w:t>
      </w:r>
      <w:r>
        <w:t xml:space="preserve"> </w:t>
      </w:r>
      <w:r>
        <w:t xml:space="preserve">tai</w:t>
      </w:r>
      <w:r>
        <w:t xml:space="preserve"> </w:t>
      </w:r>
      <w:r>
        <w:rPr>
          <w:i/>
          <w:iCs/>
        </w:rPr>
        <w:t xml:space="preserve">Production Director</w:t>
      </w:r>
      <w:r>
        <w:t xml:space="preserve"> </w:t>
      </w:r>
      <w:r>
        <w:t xml:space="preserve">roolissa oleva voi suorittaa lopullisen lukituksen</w:t>
      </w:r>
      <w:hyperlink r:id="rId32">
        <w:r>
          <w:rPr>
            <w:rStyle w:val="Hyperlink"/>
          </w:rPr>
          <w:t xml:space="preserve">[12]</w:t>
        </w:r>
      </w:hyperlink>
      <w:r>
        <w:t xml:space="preserve">.</w:t>
      </w:r>
    </w:p>
    <w:p>
      <w:pPr>
        <w:pStyle w:val="BodyText"/>
      </w:pPr>
      <w:r>
        <w:t xml:space="preserve">Turvallisuus (secure wrappers) ei ole perinteisten EV-standardien aihepiiriä sinänsä, mutta se on olennainen osa</w:t>
      </w:r>
      <w:r>
        <w:t xml:space="preserve"> </w:t>
      </w:r>
      <w:r>
        <w:rPr>
          <w:b/>
          <w:bCs/>
        </w:rPr>
        <w:t xml:space="preserve">hyviä ohjelmistokäytäntöjä</w:t>
      </w:r>
      <w:r>
        <w:t xml:space="preserve">. AACE tai PMI eivät määrää, miten ohjelmiston tietoturva toteutetaan, mutta Codexin ratkaisu on moderni ja asianmukainen: se noudattaa</w:t>
      </w:r>
      <w:r>
        <w:t xml:space="preserve"> </w:t>
      </w:r>
      <w:r>
        <w:rPr>
          <w:b/>
          <w:bCs/>
        </w:rPr>
        <w:t xml:space="preserve">least privilege</w:t>
      </w:r>
      <w:r>
        <w:t xml:space="preserve"> </w:t>
      </w:r>
      <w:r>
        <w:t xml:space="preserve">-periaatetta ja varmistaa, että talousdatan muokkaus on rajattu. Tämä on erityisen tärkeää SaaS-ympäristössä, ja vastaa esimerkiksi ISO 27001 -tyyppisiä yleisiä tietoturvastandardeja, vaikkei liity suoraan EV-menettelyyn.</w:t>
      </w:r>
    </w:p>
    <w:p>
      <w:pPr>
        <w:pStyle w:val="BodyText"/>
      </w:pPr>
      <w:r>
        <w:t xml:space="preserve">Hyväksyntäketjujen osalta Codexin kahden portaan prosessi on linjassa rakennusalan käytäntöjen kanssa. ISO 21508 tai GAO eivät sano “pitää olla kaksi porrasta”, mutta edellyttävät että baseline- ja budjettimuutokset käyvät läpi</w:t>
      </w:r>
      <w:r>
        <w:t xml:space="preserve"> </w:t>
      </w:r>
      <w:r>
        <w:rPr>
          <w:b/>
          <w:bCs/>
        </w:rPr>
        <w:t xml:space="preserve">formaalin hyväksynnän</w:t>
      </w:r>
      <w:r>
        <w:t xml:space="preserve">. Codex täyttää tämän vaatimuksen selkeästi. Lisäksi RBAC tuo audit trailiin myös tiedon</w:t>
      </w:r>
      <w:r>
        <w:t xml:space="preserve"> </w:t>
      </w:r>
      <w:r>
        <w:rPr>
          <w:i/>
          <w:iCs/>
        </w:rPr>
        <w:t xml:space="preserve">kuka hyväksyi</w:t>
      </w:r>
      <w:r>
        <w:t xml:space="preserve"> </w:t>
      </w:r>
      <w:r>
        <w:t xml:space="preserve">(esim. mapping_versions-taulussa</w:t>
      </w:r>
      <w:r>
        <w:t xml:space="preserve"> </w:t>
      </w:r>
      <w:r>
        <w:rPr>
          <w:rStyle w:val="VerbatimChar"/>
        </w:rPr>
        <w:t xml:space="preserve">approved_by</w:t>
      </w:r>
      <w:r>
        <w:t xml:space="preserve">-kenttä)</w:t>
      </w:r>
      <w:hyperlink r:id="rId100">
        <w:r>
          <w:rPr>
            <w:rStyle w:val="Hyperlink"/>
          </w:rPr>
          <w:t xml:space="preserve">[81]</w:t>
        </w:r>
      </w:hyperlink>
      <w:hyperlink r:id="rId101">
        <w:r>
          <w:rPr>
            <w:rStyle w:val="Hyperlink"/>
          </w:rPr>
          <w:t xml:space="preserve">[82]</w:t>
        </w:r>
      </w:hyperlink>
      <w:r>
        <w:t xml:space="preserve">, mikä on tärkeä osa EVM-järjestelmän läpinäkyvyyttä: tiedetään, kuka kantaa vastuun muutoksesta.</w:t>
      </w:r>
    </w:p>
    <w:p>
      <w:pPr>
        <w:pStyle w:val="BodyText"/>
      </w:pPr>
      <w:r>
        <w:rPr>
          <w:b/>
          <w:bCs/>
        </w:rPr>
        <w:t xml:space="preserve">Mahdolliset poikkeamat:</w:t>
      </w:r>
      <w:r>
        <w:t xml:space="preserve"> </w:t>
      </w:r>
      <w:r>
        <w:t xml:space="preserve">Yleisesti Codexin RBAC ei poikkea standardeista, koska standardit eivät spefisoi teknistä toteutusta. Se on enemmänkin</w:t>
      </w:r>
      <w:r>
        <w:t xml:space="preserve"> </w:t>
      </w:r>
      <w:r>
        <w:rPr>
          <w:b/>
          <w:bCs/>
        </w:rPr>
        <w:t xml:space="preserve">ylimääräinen hyvä käytäntö</w:t>
      </w:r>
      <w:r>
        <w:t xml:space="preserve">. Yksi seikka on, että Codexin malli määrittelee tietyt roolit (Työnjohtaja, Työpäällikkö, Tuotantojohtaja) jotka heijastelevat suomalaisen rakennusprojektin organisaatiota. Kansainvälisissä standardeissa roolit voisi nimetä eri tavoin (esim.</w:t>
      </w:r>
      <w:r>
        <w:t xml:space="preserve"> </w:t>
      </w:r>
      <w:r>
        <w:rPr>
          <w:i/>
          <w:iCs/>
        </w:rPr>
        <w:t xml:space="preserve">Site Manager, Project Manager, Sponsor</w:t>
      </w:r>
      <w:r>
        <w:t xml:space="preserve"> </w:t>
      </w:r>
      <w:r>
        <w:t xml:space="preserve">tms.), mutta periaate on sama. Organisaatioiden on sovitettava EVMS-prosessin vastuut omaan organisaatiokaavioonsa, ja Codex antaa muokata roolinimiäkin (roolitaulussa on nimet erikseen, mm. suomeksi)</w:t>
      </w:r>
      <w:hyperlink r:id="rId102">
        <w:r>
          <w:rPr>
            <w:rStyle w:val="Hyperlink"/>
          </w:rPr>
          <w:t xml:space="preserve">[83]</w:t>
        </w:r>
      </w:hyperlink>
      <w:hyperlink r:id="rId94">
        <w:r>
          <w:rPr>
            <w:rStyle w:val="Hyperlink"/>
          </w:rPr>
          <w:t xml:space="preserve">[74]</w:t>
        </w:r>
      </w:hyperlink>
      <w:r>
        <w:t xml:space="preserve">.</w:t>
      </w:r>
    </w:p>
    <w:p>
      <w:pPr>
        <w:pStyle w:val="BodyText"/>
      </w:pPr>
      <w:r>
        <w:rPr>
          <w:b/>
          <w:bCs/>
        </w:rPr>
        <w:t xml:space="preserve">RBAC:n hyödyntäminen hyväksynnissä</w:t>
      </w:r>
      <w:r>
        <w:t xml:space="preserve"> </w:t>
      </w:r>
      <w:r>
        <w:t xml:space="preserve">on Codexissa erittäin näkyvä, mikä on hyvä asia. Standardit edellyttävät usein</w:t>
      </w:r>
      <w:r>
        <w:t xml:space="preserve"> </w:t>
      </w:r>
      <w:r>
        <w:rPr>
          <w:i/>
          <w:iCs/>
        </w:rPr>
        <w:t xml:space="preserve">segregation of duties</w:t>
      </w:r>
      <w:r>
        <w:t xml:space="preserve"> </w:t>
      </w:r>
      <w:r>
        <w:t xml:space="preserve">-periaatetta: se, joka ehdottaa muutosta, ei yksin voi sitä hyväksyä. Codex toteuttaa tämän: Työnjohto ehdottaa, mutta tarvitsee esimiehen hyväksynnän. Tämä on</w:t>
      </w:r>
      <w:r>
        <w:t xml:space="preserve"> </w:t>
      </w:r>
      <w:r>
        <w:rPr>
          <w:b/>
          <w:bCs/>
        </w:rPr>
        <w:t xml:space="preserve">fiksu toteutus standardihengessä</w:t>
      </w:r>
      <w:r>
        <w:t xml:space="preserve">. Jos jotain riskiä hakee, niin teknisesti järjestelmä on monipuolinen – varmistettava on, että roolien hallinta on selkeää ylläpidolle (että ei myönnetä vahingossa vääriä rooleja käyttäjille). Toisaalta, dokumentaatiossa mainitaan että Codexissa käyttäjä voi kuulua useaan organisaatioon ja roolit myönnetään organisaatiokohtaisesti</w:t>
      </w:r>
      <w:hyperlink r:id="rId103">
        <w:r>
          <w:rPr>
            <w:rStyle w:val="Hyperlink"/>
          </w:rPr>
          <w:t xml:space="preserve">[84]</w:t>
        </w:r>
      </w:hyperlink>
      <w:hyperlink r:id="rId21">
        <w:r>
          <w:rPr>
            <w:rStyle w:val="Hyperlink"/>
          </w:rPr>
          <w:t xml:space="preserve">[1]</w:t>
        </w:r>
      </w:hyperlink>
      <w:r>
        <w:t xml:space="preserve">, mikä on joustava ja nykyaikainen toteutus, mutta vaatii tarkkuutta hallinnassa. Standardit eivät ota kantaa moniorganisaatioisuuteen, mutta Codexin design mahdollistaa skaalautuvuuden SaaS-palveluna.</w:t>
      </w:r>
    </w:p>
    <w:p>
      <w:pPr>
        <w:pStyle w:val="BodyText"/>
      </w:pPr>
      <w:r>
        <w:t xml:space="preserve">Kaiken kaikkiaan Codexin RBAC ja hyväksyntämallit vastaavat</w:t>
      </w:r>
      <w:r>
        <w:t xml:space="preserve"> </w:t>
      </w:r>
      <w:r>
        <w:rPr>
          <w:b/>
          <w:bCs/>
        </w:rPr>
        <w:t xml:space="preserve">parhaita käytäntöjä</w:t>
      </w:r>
      <w:r>
        <w:t xml:space="preserve"> </w:t>
      </w:r>
      <w:r>
        <w:t xml:space="preserve">ja mahdollistavat sen, että EVM-prosessin valvonta on sisäänrakennettu työkaluun. Tämä lisää luotettavuutta – mikä tahansa EVM-standardi edellyttää, että luvut joita raportoidaan ovat valideja ja hyväksyttyjä, ja Codex varmistaa teknisesti että näin on (esim. ettei kukaan lukitse baselinea vahingossa ilman asianmukaista mandaattia).</w:t>
      </w:r>
    </w:p>
    <w:bookmarkEnd w:id="104"/>
    <w:bookmarkStart w:id="112" w:name="terminologia-ja-monikielisyys"/>
    <w:p>
      <w:pPr>
        <w:pStyle w:val="Heading2"/>
      </w:pPr>
      <w:r>
        <w:t xml:space="preserve">Terminologia ja monikielisyys</w:t>
      </w:r>
    </w:p>
    <w:p>
      <w:pPr>
        <w:pStyle w:val="FirstParagraph"/>
      </w:pPr>
      <w:r>
        <w:rPr>
          <w:b/>
          <w:bCs/>
        </w:rPr>
        <w:t xml:space="preserve">Codexin käytäntö:</w:t>
      </w:r>
      <w:r>
        <w:t xml:space="preserve"> </w:t>
      </w:r>
      <w:r>
        <w:t xml:space="preserve">Järjestelmä on rakennettu</w:t>
      </w:r>
      <w:r>
        <w:t xml:space="preserve"> </w:t>
      </w:r>
      <w:r>
        <w:rPr>
          <w:b/>
          <w:bCs/>
        </w:rPr>
        <w:t xml:space="preserve">monikieliseksi</w:t>
      </w:r>
      <w:r>
        <w:t xml:space="preserve"> </w:t>
      </w:r>
      <w:r>
        <w:t xml:space="preserve">siten, että kaikki keskeiset termit ja käyttöliittymätekstit haetaan sanastotietokannasta koodiarvojen perusteella. Phase 20 -migraatio loi</w:t>
      </w:r>
      <w:r>
        <w:t xml:space="preserve"> </w:t>
      </w:r>
      <w:r>
        <w:rPr>
          <w:rStyle w:val="VerbatimChar"/>
        </w:rPr>
        <w:t xml:space="preserve">terminology</w:t>
      </w:r>
      <w:r>
        <w:t xml:space="preserve">-taulun, johon on tallennettu eri käsitteiden käännökset eri kielillä, sekä</w:t>
      </w:r>
      <w:r>
        <w:t xml:space="preserve"> </w:t>
      </w:r>
      <w:r>
        <w:rPr>
          <w:rStyle w:val="VerbatimChar"/>
        </w:rPr>
        <w:t xml:space="preserve">terminology_get_dictionary(org, locale)</w:t>
      </w:r>
      <w:r>
        <w:t xml:space="preserve">-funktiot, joilla UI hakee halutun kieliset tekstit</w:t>
      </w:r>
      <w:hyperlink r:id="rId105">
        <w:r>
          <w:rPr>
            <w:rStyle w:val="Hyperlink"/>
          </w:rPr>
          <w:t xml:space="preserve">[85]</w:t>
        </w:r>
      </w:hyperlink>
      <w:r>
        <w:t xml:space="preserve">. Tärkeää on, että</w:t>
      </w:r>
      <w:r>
        <w:t xml:space="preserve"> </w:t>
      </w:r>
      <w:r>
        <w:rPr>
          <w:i/>
          <w:iCs/>
        </w:rPr>
        <w:t xml:space="preserve">käsitteiden merkitys pysyy vakiona koodeina</w:t>
      </w:r>
      <w:r>
        <w:t xml:space="preserve"> </w:t>
      </w:r>
      <w:r>
        <w:t xml:space="preserve">– esimerkiksi järjestelmässä EV on aina koodina “EV” ja BAC on “BAC”, mutta suomenkielisessä käyttöliittymässä voidaan näyttää niiden selitteinä vaikkapa</w:t>
      </w:r>
      <w:r>
        <w:t xml:space="preserve"> </w:t>
      </w:r>
      <w:r>
        <w:rPr>
          <w:i/>
          <w:iCs/>
        </w:rPr>
        <w:t xml:space="preserve">“Ansaittu arvo”</w:t>
      </w:r>
      <w:r>
        <w:t xml:space="preserve"> </w:t>
      </w:r>
      <w:r>
        <w:t xml:space="preserve">ja</w:t>
      </w:r>
      <w:r>
        <w:t xml:space="preserve"> </w:t>
      </w:r>
      <w:r>
        <w:rPr>
          <w:i/>
          <w:iCs/>
        </w:rPr>
        <w:t xml:space="preserve">“Tavoitebudjetti”</w:t>
      </w:r>
      <w:hyperlink r:id="rId105">
        <w:r>
          <w:rPr>
            <w:rStyle w:val="Hyperlink"/>
          </w:rPr>
          <w:t xml:space="preserve">[85]</w:t>
        </w:r>
      </w:hyperlink>
      <w:hyperlink r:id="rId106">
        <w:r>
          <w:rPr>
            <w:rStyle w:val="Hyperlink"/>
          </w:rPr>
          <w:t xml:space="preserve">[86]</w:t>
        </w:r>
      </w:hyperlink>
      <w:r>
        <w:t xml:space="preserve">. Jokainen organisaatio voi jopa mukauttaa joitakin termejä: sanastotaulu mahdollistaa label-arvojen määrittelyn organisaatiokohtaisesti. Esimerkkinä mainitaan, että</w:t>
      </w:r>
      <w:r>
        <w:t xml:space="preserve"> </w:t>
      </w:r>
      <w:r>
        <w:rPr>
          <w:b/>
          <w:bCs/>
        </w:rPr>
        <w:t xml:space="preserve">terminologia-avain</w:t>
      </w:r>
      <w:r>
        <w:t xml:space="preserve"> </w:t>
      </w:r>
      <w:r>
        <w:rPr>
          <w:rStyle w:val="VerbatimChar"/>
        </w:rPr>
        <w:t xml:space="preserve">metric.bac</w:t>
      </w:r>
      <w:r>
        <w:t xml:space="preserve"> </w:t>
      </w:r>
      <w:r>
        <w:t xml:space="preserve">tuottaa tietyn organisaation suomen kielelle halutun tekstin (dokumentissa viitataan, että esim. suomeksi voitaisiin näyttää</w:t>
      </w:r>
      <w:r>
        <w:t xml:space="preserve"> </w:t>
      </w:r>
      <w:r>
        <w:rPr>
          <w:i/>
          <w:iCs/>
        </w:rPr>
        <w:t xml:space="preserve">“TAV”</w:t>
      </w:r>
      <w:r>
        <w:t xml:space="preserve"> </w:t>
      </w:r>
      <w:r>
        <w:t xml:space="preserve">tms. jos niin haluttaisiin)</w:t>
      </w:r>
      <w:hyperlink r:id="rId107">
        <w:r>
          <w:rPr>
            <w:rStyle w:val="Hyperlink"/>
          </w:rPr>
          <w:t xml:space="preserve">[87]</w:t>
        </w:r>
      </w:hyperlink>
      <w:hyperlink r:id="rId108">
        <w:r>
          <w:rPr>
            <w:rStyle w:val="Hyperlink"/>
          </w:rPr>
          <w:t xml:space="preserve">[88]</w:t>
        </w:r>
      </w:hyperlink>
      <w:r>
        <w:t xml:space="preserve">.</w:t>
      </w:r>
    </w:p>
    <w:p>
      <w:pPr>
        <w:pStyle w:val="BodyText"/>
      </w:pPr>
      <w:r>
        <w:t xml:space="preserve">Codex siis</w:t>
      </w:r>
      <w:r>
        <w:t xml:space="preserve"> </w:t>
      </w:r>
      <w:r>
        <w:rPr>
          <w:i/>
          <w:iCs/>
        </w:rPr>
        <w:t xml:space="preserve">ei kovakoodaa suomenkielisiä tekstejä</w:t>
      </w:r>
      <w:r>
        <w:t xml:space="preserve"> </w:t>
      </w:r>
      <w:r>
        <w:t xml:space="preserve">suoraan käyttöliittymään, vaan kaikki on kauttaaltaan viitekoodien varassa. Tämä koskee myös staattisempia termejä: esim. työpaketin tilat (SETUP, TRACK) lienevät myös käännettävissä, samoin roolien nimet on tallennettu role-tauluun missä on ainakin suomenkielinen nimi (</w:t>
      </w:r>
      <w:r>
        <w:rPr>
          <w:rStyle w:val="VerbatimChar"/>
        </w:rPr>
        <w:t xml:space="preserve">role_name_fi</w:t>
      </w:r>
      <w:r>
        <w:t xml:space="preserve">) ja mahdollisesti myöhemmin lisätään muita kieliä</w:t>
      </w:r>
      <w:hyperlink r:id="rId102">
        <w:r>
          <w:rPr>
            <w:rStyle w:val="Hyperlink"/>
          </w:rPr>
          <w:t xml:space="preserve">[83]</w:t>
        </w:r>
      </w:hyperlink>
      <w:r>
        <w:t xml:space="preserve">. Käyttöliittymän kehityksessä Codex-tiimi on ohjeistanut välttämään tekstin kirjoittamista suoraan – UI:n tulee kutsua sanastofunktiota avaimella ja näyttää sen palauttama teksti</w:t>
      </w:r>
      <w:hyperlink r:id="rId109">
        <w:r>
          <w:rPr>
            <w:rStyle w:val="Hyperlink"/>
          </w:rPr>
          <w:t xml:space="preserve">[89]</w:t>
        </w:r>
      </w:hyperlink>
      <w:hyperlink r:id="rId110">
        <w:r>
          <w:rPr>
            <w:rStyle w:val="Hyperlink"/>
          </w:rPr>
          <w:t xml:space="preserve">[90]</w:t>
        </w:r>
      </w:hyperlink>
      <w:r>
        <w:t xml:space="preserve">.</w:t>
      </w:r>
    </w:p>
    <w:p>
      <w:pPr>
        <w:pStyle w:val="BodyText"/>
      </w:pPr>
      <w:r>
        <w:rPr>
          <w:b/>
          <w:bCs/>
        </w:rPr>
        <w:t xml:space="preserve">Standardien vertailu:</w:t>
      </w:r>
      <w:r>
        <w:t xml:space="preserve"> </w:t>
      </w:r>
      <w:r>
        <w:t xml:space="preserve">PMI PMBOK ja muut projektijohtamisen standardit pitävät tärkeänä yhteistä terminologiaa projektissa, mutta ne eivät tarjoa teknistä ratkaisua siihen – se on organisaation vastuulla. Codexin lähestyminen edustaa</w:t>
      </w:r>
      <w:r>
        <w:t xml:space="preserve"> </w:t>
      </w:r>
      <w:r>
        <w:rPr>
          <w:b/>
          <w:bCs/>
        </w:rPr>
        <w:t xml:space="preserve">erinomaista käytäntöä terminologian hallinnassa</w:t>
      </w:r>
      <w:r>
        <w:t xml:space="preserve">, etenkin monikielisessä ympäristössä. ISO 21508 tarjoaa sanaston Earned Value -termeistä englanniksi, ja esim. GAO:n ohjeet käyttävät vakiintuneita lyhenteitä (BAC, EAC, CV jne.). Suomessa monesti näiden termien käännökset vaihtelevat (EV = ansaittu arvo, Earned Value käännetty eri tavoin). Codex ratkaisee tämän tarjoamalla yhden paikan, josta termit käännetään. Se tukee standardien tavoitetta</w:t>
      </w:r>
      <w:r>
        <w:t xml:space="preserve"> </w:t>
      </w:r>
      <w:r>
        <w:rPr>
          <w:i/>
          <w:iCs/>
        </w:rPr>
        <w:t xml:space="preserve">“common vocabulary”</w:t>
      </w:r>
      <w:r>
        <w:t xml:space="preserve"> </w:t>
      </w:r>
      <w:r>
        <w:t xml:space="preserve">EVM:n ympärillä</w:t>
      </w:r>
      <w:hyperlink r:id="rId67">
        <w:r>
          <w:rPr>
            <w:rStyle w:val="Hyperlink"/>
          </w:rPr>
          <w:t xml:space="preserve">[46]</w:t>
        </w:r>
      </w:hyperlink>
      <w:hyperlink r:id="rId30">
        <w:r>
          <w:rPr>
            <w:rStyle w:val="Hyperlink"/>
          </w:rPr>
          <w:t xml:space="preserve">[10]</w:t>
        </w:r>
      </w:hyperlink>
      <w:r>
        <w:t xml:space="preserve">.</w:t>
      </w:r>
    </w:p>
    <w:p>
      <w:pPr>
        <w:pStyle w:val="BodyText"/>
      </w:pPr>
      <w:r>
        <w:rPr>
          <w:b/>
          <w:bCs/>
        </w:rPr>
        <w:t xml:space="preserve">Koodipohjainen sanasto</w:t>
      </w:r>
      <w:r>
        <w:t xml:space="preserve"> </w:t>
      </w:r>
      <w:r>
        <w:t xml:space="preserve">varmistaa, että kaikki käyttäjät eri kielillä ymmärtävät mistä on kyse – tämä on kriittistä monikansallisissa projekteissa. ISO 19650 (rakennusalan tiedonhallinnan standardi) ei suoraan liity EVM-lyhenteisiin, mutta se painottaa yhtenäisiä tiedonrakenteita ja nimeämiskäytäntöjä projektin osapuolten kesken. Codexin tapa pitää käsitteet koodeina ja erottaa ne esityksestä on hyvin linjassa tämän filosofian kanssa: se vähentää väärinymmärryksiä ja tekee järjestelmästä joustavan eri standardien ja kielten suhteen. Esimerkiksi jos organisaatio haluaisi käyttää omaa termiään BAC:lle (vaikkapa “Baseline Budget”), se onnistuisi ilman että logiikkaan tarvitsee koskea.</w:t>
      </w:r>
    </w:p>
    <w:p>
      <w:pPr>
        <w:pStyle w:val="BodyText"/>
      </w:pPr>
      <w:r>
        <w:rPr>
          <w:b/>
          <w:bCs/>
        </w:rPr>
        <w:t xml:space="preserve">Yhteensopivuus:</w:t>
      </w:r>
      <w:r>
        <w:t xml:space="preserve"> </w:t>
      </w:r>
      <w:r>
        <w:t xml:space="preserve">Standardit eivät sinänsä vaadi monikielisyyttä, mutta Codexin toteutus on selvästi yli minimivaatimusten. Tämä parantaa järjestelmän käyttöönottoa – PMI:n mukaan projektinhallinnassa on tärkeää, että tiimi ymmärtää mittarit ja työkalut. Jos termit voidaan esittää käyttäjän äidinkielellä, se edistää ymmärrystä. Myös kustomoitavuus organisaatiokohtaisesti on hyvä, tosin standardi-EVM-termit on syytä pitää tunnistettavina jotta vertailtavuus säilyy. Codex säilyttää alkuperäiset lyhenteet kooditasolla, mikä on hyvä kompromissi.</w:t>
      </w:r>
    </w:p>
    <w:p>
      <w:pPr>
        <w:pStyle w:val="BodyText"/>
      </w:pPr>
      <w:r>
        <w:t xml:space="preserve">Voidaan sanoa, että Codex tekee tässä</w:t>
      </w:r>
      <w:r>
        <w:t xml:space="preserve"> </w:t>
      </w:r>
      <w:r>
        <w:rPr>
          <w:b/>
          <w:bCs/>
        </w:rPr>
        <w:t xml:space="preserve">fiksun ratkaisun</w:t>
      </w:r>
      <w:r>
        <w:t xml:space="preserve">, joka ei ole EV-standardeissa suoraan esillä, mutta tukee niiden perimmäistä tarkoitusta: selkeä kommunikointi ja yhteinen käsitys. Terminologia-taulu myös dokumentoi projektin sanaston, mikä on hyvä dokumentaation periaate (PMBOK suosittelee projektikohtaista sanastoa isojen hankkeiden tukimateriaalina). Codex on sisällyttänyt sen suoraan järjestelmään.</w:t>
      </w:r>
    </w:p>
    <w:p>
      <w:pPr>
        <w:pStyle w:val="BodyText"/>
      </w:pPr>
      <w:r>
        <w:rPr>
          <w:b/>
          <w:bCs/>
        </w:rPr>
        <w:t xml:space="preserve">Mahdolliset riskit:</w:t>
      </w:r>
      <w:r>
        <w:t xml:space="preserve"> </w:t>
      </w:r>
      <w:r>
        <w:t xml:space="preserve">Pieni riski piilee siinä, että monikielisyys tuo lisää hallittavaa – varmistettava on, että termikäännökset ovat oikein ja että kaikki uudet lisättävät tekstit menevät sanaston kautta. Codexin päätöslokissa onkin mainittu, että AI-koodigeneraatiota käytettäessä kehittäjää muistutetaan</w:t>
      </w:r>
      <w:r>
        <w:t xml:space="preserve"> </w:t>
      </w:r>
      <w:r>
        <w:rPr>
          <w:i/>
          <w:iCs/>
        </w:rPr>
        <w:t xml:space="preserve">“älä kovakoodaa suomenkielisiä tekstejä”</w:t>
      </w:r>
      <w:r>
        <w:t xml:space="preserve"> </w:t>
      </w:r>
      <w:r>
        <w:t xml:space="preserve">vaan käytä sanastohakua</w:t>
      </w:r>
      <w:hyperlink r:id="rId111">
        <w:r>
          <w:rPr>
            <w:rStyle w:val="Hyperlink"/>
          </w:rPr>
          <w:t xml:space="preserve">[91]</w:t>
        </w:r>
      </w:hyperlink>
      <w:hyperlink r:id="rId110">
        <w:r>
          <w:rPr>
            <w:rStyle w:val="Hyperlink"/>
          </w:rPr>
          <w:t xml:space="preserve">[90]</w:t>
        </w:r>
      </w:hyperlink>
      <w:r>
        <w:t xml:space="preserve">. Tämä osoittaa, että tiimi tunnistaa haasteen ja on sitoutunut pitämään käytännöstä kiinni. Standardit eivät ota tällaiseen kantaa, mutta se on osa laadukasta ohjelmistoprosessia.</w:t>
      </w:r>
    </w:p>
    <w:p>
      <w:pPr>
        <w:pStyle w:val="BodyText"/>
      </w:pPr>
      <w:r>
        <w:t xml:space="preserve">Yhteenvetona Codexin terminologian ja monikielisyyden hallinta on</w:t>
      </w:r>
      <w:r>
        <w:t xml:space="preserve"> </w:t>
      </w:r>
      <w:r>
        <w:rPr>
          <w:b/>
          <w:bCs/>
        </w:rPr>
        <w:t xml:space="preserve">yhteensopiva standardien kanssa</w:t>
      </w:r>
      <w:r>
        <w:t xml:space="preserve"> </w:t>
      </w:r>
      <w:r>
        <w:t xml:space="preserve">ja tukee niiden tavoitteita projektin yhteisestä ymmärryksestä. Se on yksi niistä osa-alueista, joilla Codex menee standardien “yli ja ohi” positiivisessa mielessä – monessa kaupallisessa EV-työkalussa monikielisyys on puutteellisemmin toteutettu tai puuttuu kokonaan.</w:t>
      </w:r>
    </w:p>
    <w:bookmarkEnd w:id="112"/>
    <w:bookmarkStart w:id="119" w:name="Xeb0ed2f9766c49c5a421e9d9a995d4c33c159dc"/>
    <w:p>
      <w:pPr>
        <w:pStyle w:val="Heading2"/>
      </w:pPr>
      <w:r>
        <w:t xml:space="preserve">Käyttöliittymän rakenne (One-screen-malli ja tilat)</w:t>
      </w:r>
    </w:p>
    <w:p>
      <w:pPr>
        <w:pStyle w:val="FirstParagraph"/>
      </w:pPr>
      <w:r>
        <w:rPr>
          <w:b/>
          <w:bCs/>
        </w:rPr>
        <w:t xml:space="preserve">Codexin käytäntö:</w:t>
      </w:r>
      <w:r>
        <w:t xml:space="preserve"> </w:t>
      </w:r>
      <w:r>
        <w:t xml:space="preserve">Codex on suunnitellut käyttöliittymänsä</w:t>
      </w:r>
      <w:r>
        <w:t xml:space="preserve"> </w:t>
      </w:r>
      <w:r>
        <w:rPr>
          <w:i/>
          <w:iCs/>
        </w:rPr>
        <w:t xml:space="preserve">“one-screen”</w:t>
      </w:r>
      <w:r>
        <w:t xml:space="preserve"> </w:t>
      </w:r>
      <w:r>
        <w:t xml:space="preserve">periaatteella, eli keskeiset toiminnot on yhdistetty yhteen näkymään, jossa käyttäjä voi tilannekohtaisesti tehdä tarvittavat toimet ilman hyppelyä erillisiin moduuleihin. Työpaketilla on UI:ssa kaksi tilaa:</w:t>
      </w:r>
      <w:r>
        <w:t xml:space="preserve"> </w:t>
      </w:r>
      <w:r>
        <w:rPr>
          <w:b/>
          <w:bCs/>
        </w:rPr>
        <w:t xml:space="preserve">SETUP</w:t>
      </w:r>
      <w:r>
        <w:t xml:space="preserve"> </w:t>
      </w:r>
      <w:r>
        <w:t xml:space="preserve">ja</w:t>
      </w:r>
      <w:r>
        <w:t xml:space="preserve"> </w:t>
      </w:r>
      <w:r>
        <w:rPr>
          <w:b/>
          <w:bCs/>
        </w:rPr>
        <w:t xml:space="preserve">TRACK</w:t>
      </w:r>
      <w:hyperlink r:id="rId113">
        <w:r>
          <w:rPr>
            <w:rStyle w:val="Hyperlink"/>
          </w:rPr>
          <w:t xml:space="preserve">[92]</w:t>
        </w:r>
      </w:hyperlink>
      <w:hyperlink r:id="rId114">
        <w:r>
          <w:rPr>
            <w:rStyle w:val="Hyperlink"/>
          </w:rPr>
          <w:t xml:space="preserve">[93]</w:t>
        </w:r>
      </w:hyperlink>
      <w:r>
        <w:t xml:space="preserve">.</w:t>
      </w:r>
    </w:p>
    <w:p>
      <w:pPr>
        <w:numPr>
          <w:ilvl w:val="0"/>
          <w:numId w:val="1001"/>
        </w:numPr>
      </w:pPr>
      <w:r>
        <w:rPr>
          <w:b/>
          <w:bCs/>
        </w:rPr>
        <w:t xml:space="preserve">SETUP-tila</w:t>
      </w:r>
      <w:r>
        <w:t xml:space="preserve"> </w:t>
      </w:r>
      <w:r>
        <w:t xml:space="preserve">on käytössä, kun työpaketin baselinea ei ole vielä lukittu. Tässä tilassa UI esittää työpaketin perustiedot (nimi, kuvaus, vastuuhenkilö tms.) sekä</w:t>
      </w:r>
      <w:r>
        <w:t xml:space="preserve"> </w:t>
      </w:r>
      <w:r>
        <w:rPr>
          <w:i/>
          <w:iCs/>
        </w:rPr>
        <w:t xml:space="preserve">koostumuksen</w:t>
      </w:r>
      <w:r>
        <w:t xml:space="preserve"> </w:t>
      </w:r>
      <w:r>
        <w:t xml:space="preserve">(liitetyt budjettilitterat)</w:t>
      </w:r>
      <w:hyperlink r:id="rId74">
        <w:r>
          <w:rPr>
            <w:rStyle w:val="Hyperlink"/>
          </w:rPr>
          <w:t xml:space="preserve">[52]</w:t>
        </w:r>
      </w:hyperlink>
      <w:hyperlink r:id="rId22">
        <w:r>
          <w:rPr>
            <w:rStyle w:val="Hyperlink"/>
          </w:rPr>
          <w:t xml:space="preserve">[53]</w:t>
        </w:r>
      </w:hyperlink>
      <w:r>
        <w:t xml:space="preserve">. Käyttäjä voi lisätä/poistaa litteroita ja tehdä tarvittavat baseline-suunnitelman muokkaukset. Lisäksi SETUP-tilassa käsitellään</w:t>
      </w:r>
      <w:r>
        <w:t xml:space="preserve"> </w:t>
      </w:r>
      <w:r>
        <w:rPr>
          <w:i/>
          <w:iCs/>
        </w:rPr>
        <w:t xml:space="preserve">taloudellinen suunnitelma</w:t>
      </w:r>
      <w:r>
        <w:t xml:space="preserve"> </w:t>
      </w:r>
      <w:r>
        <w:t xml:space="preserve">eli miten työ aiotaan toteuttaa (pääpiirteittäin) ja mahdolliset hankinta- tai riskikommentit. Tämän jälkeen ruudulla on</w:t>
      </w:r>
      <w:r>
        <w:t xml:space="preserve"> </w:t>
      </w:r>
      <w:r>
        <w:rPr>
          <w:b/>
          <w:bCs/>
        </w:rPr>
        <w:t xml:space="preserve">Baseline-esikatselu</w:t>
      </w:r>
      <w:r>
        <w:t xml:space="preserve"> </w:t>
      </w:r>
      <w:r>
        <w:t xml:space="preserve">ja painike lukituspyynnön lähettämiseen</w:t>
      </w:r>
      <w:hyperlink r:id="rId74">
        <w:r>
          <w:rPr>
            <w:rStyle w:val="Hyperlink"/>
          </w:rPr>
          <w:t xml:space="preserve">[52]</w:t>
        </w:r>
      </w:hyperlink>
      <w:hyperlink r:id="rId115">
        <w:r>
          <w:rPr>
            <w:rStyle w:val="Hyperlink"/>
          </w:rPr>
          <w:t xml:space="preserve">[94]</w:t>
        </w:r>
      </w:hyperlink>
      <w:r>
        <w:t xml:space="preserve">. Lukituspyynnön yhteydessä järjestelmä käynnistää hyväksyntäprosessin: PM hyväksyy (1/2) ja tuotantojohtaja lukitsee lopullisesti (2/2)</w:t>
      </w:r>
      <w:hyperlink r:id="rId74">
        <w:r>
          <w:rPr>
            <w:rStyle w:val="Hyperlink"/>
          </w:rPr>
          <w:t xml:space="preserve">[52]</w:t>
        </w:r>
      </w:hyperlink>
      <w:hyperlink r:id="rId115">
        <w:r>
          <w:rPr>
            <w:rStyle w:val="Hyperlink"/>
          </w:rPr>
          <w:t xml:space="preserve">[94]</w:t>
        </w:r>
      </w:hyperlink>
      <w:r>
        <w:t xml:space="preserve">. UI ohjaa käyttäjää tässä – esim. Työnjohtajan roolilla käyttöliittymässä näkyy “pyydä lukitusta” -nappi, kun taas projektipäällikölle sama näkymä näyttäisi “hyväksy baseline” -toiminnon odottavan.</w:t>
      </w:r>
    </w:p>
    <w:p>
      <w:pPr>
        <w:numPr>
          <w:ilvl w:val="0"/>
          <w:numId w:val="1001"/>
        </w:numPr>
      </w:pPr>
      <w:r>
        <w:rPr>
          <w:b/>
          <w:bCs/>
        </w:rPr>
        <w:t xml:space="preserve">TRACK-tila</w:t>
      </w:r>
      <w:r>
        <w:t xml:space="preserve"> </w:t>
      </w:r>
      <w:r>
        <w:t xml:space="preserve">astuu voimaan, kun baseline on lukittu. Samassa yhden ruudun näkymässä sisältö muuttuu seurannan elementteihin: ylhäällä edelleen työpaketin perustiedot (nimi, BAC jne.) lukittuina, ja alla</w:t>
      </w:r>
      <w:r>
        <w:t xml:space="preserve"> </w:t>
      </w:r>
      <w:r>
        <w:rPr>
          <w:b/>
          <w:bCs/>
        </w:rPr>
        <w:t xml:space="preserve">viikkopäivityslomake</w:t>
      </w:r>
      <w:r>
        <w:t xml:space="preserve"> </w:t>
      </w:r>
      <w:r>
        <w:t xml:space="preserve">prosentteineen, ghost-kenttineen ja muistiinpanoineen</w:t>
      </w:r>
      <w:hyperlink r:id="rId61">
        <w:r>
          <w:rPr>
            <w:rStyle w:val="Hyperlink"/>
          </w:rPr>
          <w:t xml:space="preserve">[42]</w:t>
        </w:r>
      </w:hyperlink>
      <w:hyperlink r:id="rId86">
        <w:r>
          <w:rPr>
            <w:rStyle w:val="Hyperlink"/>
          </w:rPr>
          <w:t xml:space="preserve">[67]</w:t>
        </w:r>
      </w:hyperlink>
      <w:r>
        <w:t xml:space="preserve">. Track-tilassa on myös</w:t>
      </w:r>
      <w:r>
        <w:t xml:space="preserve"> </w:t>
      </w:r>
      <w:r>
        <w:rPr>
          <w:b/>
          <w:bCs/>
        </w:rPr>
        <w:t xml:space="preserve">kuukausiennuste</w:t>
      </w:r>
      <w:r>
        <w:t xml:space="preserve">-osio isommille ennustepäivityksille: siinä käyttäjä voi ehdottaa uutta EAC-poikkeamaa (muutos euroissa tai ajassa) ja syöttää perustelut, mikä sitten menee hyväksyttäväksi (todennäköisesti samoille rooleille kuin baseline-muutos)</w:t>
      </w:r>
      <w:hyperlink r:id="rId61">
        <w:r>
          <w:rPr>
            <w:rStyle w:val="Hyperlink"/>
          </w:rPr>
          <w:t xml:space="preserve">[42]</w:t>
        </w:r>
      </w:hyperlink>
      <w:hyperlink r:id="rId86">
        <w:r>
          <w:rPr>
            <w:rStyle w:val="Hyperlink"/>
          </w:rPr>
          <w:t xml:space="preserve">[67]</w:t>
        </w:r>
      </w:hyperlink>
      <w:r>
        <w:t xml:space="preserve">. Lisäksi track-näkymässä on</w:t>
      </w:r>
      <w:r>
        <w:t xml:space="preserve"> </w:t>
      </w:r>
      <w:r>
        <w:rPr>
          <w:b/>
          <w:bCs/>
        </w:rPr>
        <w:t xml:space="preserve">Selvitettävien kustannusten inbox</w:t>
      </w:r>
      <w:r>
        <w:t xml:space="preserve">, jossa listataan projektiin tulleet mappaamattomat kulut ja annetaan suoraan mahdollisuus käsitellä ne (liittää johonkin työpakettiin tai luoda uusi työpaketti)</w:t>
      </w:r>
      <w:hyperlink r:id="rId61">
        <w:r>
          <w:rPr>
            <w:rStyle w:val="Hyperlink"/>
          </w:rPr>
          <w:t xml:space="preserve">[42]</w:t>
        </w:r>
      </w:hyperlink>
      <w:hyperlink r:id="rId64">
        <w:r>
          <w:rPr>
            <w:rStyle w:val="Hyperlink"/>
          </w:rPr>
          <w:t xml:space="preserve">[43]</w:t>
        </w:r>
      </w:hyperlink>
      <w:r>
        <w:t xml:space="preserve">. Kaikki tämä on näkyvissä yhdellä kertaa tai välilehtinä saman sivun sisällä – periaatteena on minimoida klikkailu ja näkymien välillä vaihtelu, jotta työmaalla viikkoraportointi on mahdollisimman sujuvaa</w:t>
      </w:r>
      <w:hyperlink r:id="rId116">
        <w:r>
          <w:rPr>
            <w:rStyle w:val="Hyperlink"/>
          </w:rPr>
          <w:t xml:space="preserve">[95]</w:t>
        </w:r>
      </w:hyperlink>
      <w:hyperlink r:id="rId113">
        <w:r>
          <w:rPr>
            <w:rStyle w:val="Hyperlink"/>
          </w:rPr>
          <w:t xml:space="preserve">[92]</w:t>
        </w:r>
      </w:hyperlink>
      <w:r>
        <w:t xml:space="preserve">.</w:t>
      </w:r>
    </w:p>
    <w:p>
      <w:pPr>
        <w:pStyle w:val="FirstParagraph"/>
      </w:pPr>
      <w:r>
        <w:rPr>
          <w:b/>
          <w:bCs/>
        </w:rPr>
        <w:t xml:space="preserve">One-screen-mallin ajatus</w:t>
      </w:r>
      <w:r>
        <w:t xml:space="preserve"> </w:t>
      </w:r>
      <w:r>
        <w:t xml:space="preserve">on, että käyttäjä pystyy yhdellä ruudulla hoitamaan sekä seurannan syötöt että näkemään olennaiset tulokset (KPI-luvut). Codexin dokumentissa pohditaan jopa UI-komponenttien automaatiota skeeman pohjalta: koska tietomalli kertoo mitä kenttiä (BAC, EV, AC, CPI, Ghost, %complete...) on, UI:hin voidaan geneerisesti rakentaa taulukoita ja lomakkeita</w:t>
      </w:r>
      <w:hyperlink r:id="rId117">
        <w:r>
          <w:rPr>
            <w:rStyle w:val="Hyperlink"/>
          </w:rPr>
          <w:t xml:space="preserve">[96]</w:t>
        </w:r>
      </w:hyperlink>
      <w:hyperlink r:id="rId118">
        <w:r>
          <w:rPr>
            <w:rStyle w:val="Hyperlink"/>
          </w:rPr>
          <w:t xml:space="preserve">[97]</w:t>
        </w:r>
      </w:hyperlink>
      <w:r>
        <w:t xml:space="preserve">. Tämä viittaa siihen, että jokaiselle työpaketille saatetaan näyttää mm. listaus sen kuuluvista budjetti- ja ennusteriveistä ja niiden summista, suoraan samalla ruudulla.</w:t>
      </w:r>
    </w:p>
    <w:p>
      <w:pPr>
        <w:pStyle w:val="BodyText"/>
      </w:pPr>
      <w:r>
        <w:rPr>
          <w:b/>
          <w:bCs/>
        </w:rPr>
        <w:t xml:space="preserve">Standardien vertailu:</w:t>
      </w:r>
      <w:r>
        <w:t xml:space="preserve"> </w:t>
      </w:r>
      <w:r>
        <w:t xml:space="preserve">Yksikään luetelluista standardeista (GAO, ISO 21508, PMI, AACE, ISO 19650) ei käsittele käyttöliittymän muotoilua, koska ne ovat menetelmästandardeja eivätkä ohjelmistostandardeja. Kuitenkin</w:t>
      </w:r>
      <w:r>
        <w:t xml:space="preserve"> </w:t>
      </w:r>
      <w:r>
        <w:rPr>
          <w:i/>
          <w:iCs/>
        </w:rPr>
        <w:t xml:space="preserve">käytettävyydellä</w:t>
      </w:r>
      <w:r>
        <w:t xml:space="preserve"> </w:t>
      </w:r>
      <w:r>
        <w:t xml:space="preserve">on epäsuora vaikutus EVM-prosessin onnistumiseen: jos järjestelmä on liian monimutkainen käyttää, tietojen päivitys voi laahata. Codexin one-screen UI on</w:t>
      </w:r>
      <w:r>
        <w:t xml:space="preserve"> </w:t>
      </w:r>
      <w:r>
        <w:rPr>
          <w:b/>
          <w:bCs/>
        </w:rPr>
        <w:t xml:space="preserve">käyttäjäystävällisyyttä parantava innovaatio</w:t>
      </w:r>
      <w:r>
        <w:t xml:space="preserve">, joka tukee standardien tavoitetta reaaliaikaisesta ja tarkasta seurannasta. PMI:n ohjausopin mukaan projektinhallintatyökalujen tulisi olla sovitettu tiimin työskentelytapoihin – Codexin UI on selvästi suunniteltu rakennustyömaan arkeen, jossa halutaan</w:t>
      </w:r>
      <w:r>
        <w:t xml:space="preserve"> </w:t>
      </w:r>
      <w:r>
        <w:rPr>
          <w:b/>
          <w:bCs/>
        </w:rPr>
        <w:t xml:space="preserve">minimoida hallinnollinen taakka</w:t>
      </w:r>
      <w:r>
        <w:t xml:space="preserve"> </w:t>
      </w:r>
      <w:r>
        <w:t xml:space="preserve">viikkoraportoinnissa.</w:t>
      </w:r>
    </w:p>
    <w:p>
      <w:pPr>
        <w:pStyle w:val="BodyText"/>
      </w:pPr>
      <w:r>
        <w:rPr>
          <w:b/>
          <w:bCs/>
        </w:rPr>
        <w:t xml:space="preserve">SETUP vs TRACK -erottelu</w:t>
      </w:r>
      <w:r>
        <w:t xml:space="preserve"> </w:t>
      </w:r>
      <w:r>
        <w:t xml:space="preserve">UI:ssa on looginen vastine EVM-prosessin vaiheille: ensin suunnittelu (baseline setup), sitten seuranta (tracking). Tämä heijastaa PMI:n prosessiryhmiä (Planning vs. Monitoring &amp; Controlling). Se, että nämä ovat erotettuina mutta samalla saumattomasti samassa näkymässä, on melko ainutlaatuista – monissa työkaluissa baseline syötetään esimerkiksi aivan eri moduuliin tai Exceliin ja seuranta toiseen. Codex yhdistää ne, mikä todennäköisesti vähentää virheitä (kaikki tiedot ovat yhdessä järjestelmässä koko ajan) ja parantaa</w:t>
      </w:r>
      <w:r>
        <w:t xml:space="preserve"> </w:t>
      </w:r>
      <w:r>
        <w:rPr>
          <w:i/>
          <w:iCs/>
        </w:rPr>
        <w:t xml:space="preserve">change management</w:t>
      </w:r>
      <w:r>
        <w:t xml:space="preserve"> </w:t>
      </w:r>
      <w:r>
        <w:t xml:space="preserve">-prosessin näkyvyyttä (käyttäjä näkee, että baseline on tietyssä tilassa ja mitä vaaditaan ennen kuin voi edetä). Tämä on</w:t>
      </w:r>
      <w:r>
        <w:t xml:space="preserve"> </w:t>
      </w:r>
      <w:r>
        <w:rPr>
          <w:b/>
          <w:bCs/>
        </w:rPr>
        <w:t xml:space="preserve">erinomaisesti standardihengen mukaista</w:t>
      </w:r>
      <w:r>
        <w:t xml:space="preserve">, vaikkei standardeissa sanota “tee yksi ruutu”. Standardit haluavat, että baseline ja sen muutokset ovat aina hallinnassa – Codex UI näyttää baseline-tilan selkeästi (lukitsematon vs. lukittu). Esimerkiksi jos baseline ei ole lukittu, EV-mittarit eivät näy ja ruutu kehottaa lukitsemaan baseline ensin, mikä ohjaa käyttäjää prosessissa oikein.</w:t>
      </w:r>
    </w:p>
    <w:p>
      <w:pPr>
        <w:pStyle w:val="BodyText"/>
      </w:pPr>
      <w:r>
        <w:rPr>
          <w:b/>
          <w:bCs/>
        </w:rPr>
        <w:t xml:space="preserve">Hyvät käytännöt:</w:t>
      </w:r>
      <w:r>
        <w:t xml:space="preserve"> </w:t>
      </w:r>
      <w:r>
        <w:t xml:space="preserve">One-screen UI on käytettävyysinnovaatio, jollaisia nykyaikaisissa SaaS-tuotteissa tavoitellaan. Se ei sinänsä ole “standardi vs ei-standardi” kysymys, mutta se on Codexin kilpailuetu potentiaalisesti. GAO Guide ja muut raportoivat, että EVM epäonnistuu monesti organisaatioissa, jos työkalut ovat liian monimutkaisia tai data ei ole helposti saatavilla. Codexin ratkaisu näyttää pitävän huolen, että</w:t>
      </w:r>
      <w:r>
        <w:t xml:space="preserve"> </w:t>
      </w:r>
      <w:r>
        <w:rPr>
          <w:b/>
          <w:bCs/>
        </w:rPr>
        <w:t xml:space="preserve">kaikki EVM-tiedot</w:t>
      </w:r>
      <w:r>
        <w:t xml:space="preserve"> </w:t>
      </w:r>
      <w:r>
        <w:t xml:space="preserve">(BAC, EV, AC, CPI, ennusteet, kommentit) ovat samassa yhteydessä saatavilla käyttäjälle. Tämä todennäköisesti lisää tietojen laatua ja ajantasaisuutta – joka on EVM:n ydin.</w:t>
      </w:r>
    </w:p>
    <w:p>
      <w:pPr>
        <w:pStyle w:val="BodyText"/>
      </w:pPr>
      <w:r>
        <w:rPr>
          <w:b/>
          <w:bCs/>
        </w:rPr>
        <w:t xml:space="preserve">Mahdolliset huomiot:</w:t>
      </w:r>
      <w:r>
        <w:t xml:space="preserve"> </w:t>
      </w:r>
      <w:r>
        <w:t xml:space="preserve">One-screen-malli saattaa kohdata haasteita skaalautuvuudessa: jos työpakettiin kuuluu kymmeniä budjettirivejä ja ennustehistoriaa on kertynyt paljon, yhden ruudun esityksessä on huolehdittava, ettei siitä tule sekavaa. Codexin design-filofia tosin mainitsee</w:t>
      </w:r>
      <w:r>
        <w:t xml:space="preserve"> </w:t>
      </w:r>
      <w:r>
        <w:rPr>
          <w:i/>
          <w:iCs/>
        </w:rPr>
        <w:t xml:space="preserve">“minimiklikit”</w:t>
      </w:r>
      <w:hyperlink r:id="rId116">
        <w:r>
          <w:rPr>
            <w:rStyle w:val="Hyperlink"/>
          </w:rPr>
          <w:t xml:space="preserve">[95]</w:t>
        </w:r>
      </w:hyperlink>
      <w:hyperlink r:id="rId113">
        <w:r>
          <w:rPr>
            <w:rStyle w:val="Hyperlink"/>
          </w:rPr>
          <w:t xml:space="preserve">[92]</w:t>
        </w:r>
      </w:hyperlink>
      <w:r>
        <w:t xml:space="preserve">, mikä yleensä tarkoittaa myös, että tietoa tiivistetään järkevästi (esim. välilehdet tai collapsible-sektiot). Standardeilla ei ole tähän kantaa, mutta käyttäjäkokemuksen kannalta on kriittistä. Mikäli UI onnistuu tässä, se on merkittävä parannus perinteisiin EV-työkaluihin, joissa käyttäjä saattaa joutua avaamaan erillisiä raportteja tai moduuleja.</w:t>
      </w:r>
    </w:p>
    <w:p>
      <w:pPr>
        <w:pStyle w:val="BodyText"/>
      </w:pPr>
      <w:r>
        <w:t xml:space="preserve">ISO 19650:n voisi kytkeä tähän siinä mielessä, että se puhuu</w:t>
      </w:r>
      <w:r>
        <w:t xml:space="preserve"> </w:t>
      </w:r>
      <w:r>
        <w:rPr>
          <w:i/>
          <w:iCs/>
        </w:rPr>
        <w:t xml:space="preserve">“Common Data Environment”</w:t>
      </w:r>
      <w:r>
        <w:t xml:space="preserve"> </w:t>
      </w:r>
      <w:r>
        <w:t xml:space="preserve">(CDE) -periaatteesta rakennushankkeissa: kaikki tieto yhdessä paikassa. Codexin UI on käytännössä EVM:n osalta CDE: se yhdistää budjetti-, toteuma- ja ennustetiedot yhteen näkymään. Tämä edistää tiedonhallinnan sujuvuutta.</w:t>
      </w:r>
    </w:p>
    <w:p>
      <w:pPr>
        <w:pStyle w:val="BodyText"/>
      </w:pPr>
      <w:r>
        <w:t xml:space="preserve">Yhteenveto: Codexin käyttöliittymäratkaisu on</w:t>
      </w:r>
      <w:r>
        <w:t xml:space="preserve"> </w:t>
      </w:r>
      <w:r>
        <w:rPr>
          <w:b/>
          <w:bCs/>
        </w:rPr>
        <w:t xml:space="preserve">käytännöllinen ja prosessilähtöinen</w:t>
      </w:r>
      <w:r>
        <w:t xml:space="preserve">, mikä edesauttaa standardien vaatimusten täyttymistä käytännössä. Se mitä Codex tekee selvästi on viedä standardin kuivahkot periaatteet (pidä baseline erillään, päivitä EV säännöllisesti, hallitse muutokset, jne.) ja tuoda ne eläväksi osaksi päivittäistä työmaajohtamista UI:n kautta. Tässä mielessä Codex onnistuu viemään teoriat käytäntöön – se on jopa</w:t>
      </w:r>
      <w:r>
        <w:t xml:space="preserve"> </w:t>
      </w:r>
      <w:r>
        <w:rPr>
          <w:i/>
          <w:iCs/>
        </w:rPr>
        <w:t xml:space="preserve">normaalia fiksumpi ratkaisu</w:t>
      </w:r>
      <w:r>
        <w:t xml:space="preserve"> </w:t>
      </w:r>
      <w:r>
        <w:t xml:space="preserve">yhdistää kaikki yhdelle ruudulle. Standardeissa ei ole vastaavaa esimerkkiä, joten voi sanoa että Codex</w:t>
      </w:r>
      <w:r>
        <w:t xml:space="preserve"> </w:t>
      </w:r>
      <w:r>
        <w:rPr>
          <w:b/>
          <w:bCs/>
        </w:rPr>
        <w:t xml:space="preserve">ylittää standardin vaatimukset käytettävyyden osalta</w:t>
      </w:r>
      <w:r>
        <w:t xml:space="preserve">. Ainoa vaara piilee, jos yhdessä näkymässä koetetaan esittää liikaa kerralla; mutta koska suunnittelu ja seuranta erotetaan tiloiksi, sekin riski on hallittu.</w:t>
      </w:r>
    </w:p>
    <w:bookmarkEnd w:id="119"/>
    <w:bookmarkStart w:id="121" w:name="yhteenveto-standardimukaisuus-ja-erot"/>
    <w:p>
      <w:pPr>
        <w:pStyle w:val="Heading2"/>
      </w:pPr>
      <w:r>
        <w:t xml:space="preserve">Yhteenveto: Standardimukaisuus ja erot</w:t>
      </w:r>
    </w:p>
    <w:p>
      <w:pPr>
        <w:pStyle w:val="FirstParagraph"/>
      </w:pPr>
      <w:r>
        <w:rPr>
          <w:b/>
          <w:bCs/>
        </w:rPr>
        <w:t xml:space="preserve">Codex SaaS -projektin EVM-toteutus</w:t>
      </w:r>
      <w:r>
        <w:t xml:space="preserve"> </w:t>
      </w:r>
      <w:r>
        <w:t xml:space="preserve">noudattaa monin osin kansainvälisiä standardeja ja parhaimpia käytäntöjä, tuoden lisäksi omia käytännöllisiä laajennuksia. Baseline-lukituksen hallinta kahden portaan hyväksynnällä ja event-lokilla on vahvasti standardien mukaista – audit trail ja kontrolli on jopa esimerkillistä tasoa</w:t>
      </w:r>
      <w:hyperlink r:id="rId31">
        <w:r>
          <w:rPr>
            <w:rStyle w:val="Hyperlink"/>
          </w:rPr>
          <w:t xml:space="preserve">[11]</w:t>
        </w:r>
      </w:hyperlink>
      <w:r>
        <w:t xml:space="preserve">. EV-, BAC-, AC-, CPI-määritelmät on ankkuroitu standarditermeihin ja -kaavoihin, ja Codexin sääntö, ettei EV/CPI:tä näytetä ennen baselinea, seuraa EVM-periaatteita tarkasti. Haamukulu (Ghost) -konsepti erottuu standardikielestä, mutta se on looginen tapa huomioida accrualit: se edustaa Codexin</w:t>
      </w:r>
      <w:r>
        <w:t xml:space="preserve"> </w:t>
      </w:r>
      <w:r>
        <w:rPr>
          <w:b/>
          <w:bCs/>
        </w:rPr>
        <w:t xml:space="preserve">fiksua sovellutusta</w:t>
      </w:r>
      <w:r>
        <w:t xml:space="preserve">, joka parantaa EVM-datan ajantasaisuutta – kunhan sitä käytetään kurinalaisesti, se on täysin hyväksyttävä lisä käytäntöön.</w:t>
      </w:r>
    </w:p>
    <w:p>
      <w:pPr>
        <w:pStyle w:val="BodyText"/>
      </w:pPr>
      <w:r>
        <w:rPr>
          <w:i/>
          <w:iCs/>
        </w:rPr>
        <w:t xml:space="preserve">Viikkopäivitysten</w:t>
      </w:r>
      <w:r>
        <w:t xml:space="preserve"> </w:t>
      </w:r>
      <w:r>
        <w:t xml:space="preserve">ja</w:t>
      </w:r>
      <w:r>
        <w:t xml:space="preserve"> </w:t>
      </w:r>
      <w:r>
        <w:rPr>
          <w:i/>
          <w:iCs/>
        </w:rPr>
        <w:t xml:space="preserve">trendien seuranta</w:t>
      </w:r>
      <w:r>
        <w:t xml:space="preserve"> </w:t>
      </w:r>
      <w:r>
        <w:t xml:space="preserve">on Codexissa intensiivisempää kuin minimistandardi vaatisi, mikä on hyödyksi: standardit pitävät tärkeänä trendianalyysiä, ja Codex tarjoaa rakenteet sille (viikko- ja kuukausitrendinäkymät, top variances -raportit). Myös</w:t>
      </w:r>
      <w:r>
        <w:t xml:space="preserve"> </w:t>
      </w:r>
      <w:r>
        <w:rPr>
          <w:i/>
          <w:iCs/>
        </w:rPr>
        <w:t xml:space="preserve">ennusteiden päivitys ja hyväksyntä</w:t>
      </w:r>
      <w:r>
        <w:t xml:space="preserve"> </w:t>
      </w:r>
      <w:r>
        <w:t xml:space="preserve">(kuukausiennusteprosessit) on järjestelmään leivottu – se heijastaa standardien vaatimusta jatkuvaan EAC-seurantaan.</w:t>
      </w:r>
    </w:p>
    <w:p>
      <w:pPr>
        <w:pStyle w:val="BodyText"/>
      </w:pPr>
      <w:r>
        <w:rPr>
          <w:b/>
          <w:bCs/>
        </w:rPr>
        <w:t xml:space="preserve">Budjetin kartoitus työpaketteihin</w:t>
      </w:r>
      <w:r>
        <w:t xml:space="preserve"> </w:t>
      </w:r>
      <w:r>
        <w:t xml:space="preserve">on Codexin ratkaisu monimutkaiseen käytännön ongelmaan. Se ei noudata yksinkertaista yksi-yhteen WBS-budjetti -mallia, mutta saavutettu lopputulos (selkeä BAC per työpaketti ja jäljitettävyys budjettiriveihin) täyttää standardien tarkoitusperät. Tässä Codex tekee asiat hieman</w:t>
      </w:r>
      <w:r>
        <w:t xml:space="preserve"> </w:t>
      </w:r>
      <w:r>
        <w:rPr>
          <w:i/>
          <w:iCs/>
        </w:rPr>
        <w:t xml:space="preserve">eri tavalla kuin yleensä</w:t>
      </w:r>
      <w:r>
        <w:t xml:space="preserve">, mutta lopputulos on yhtä pätevä – jopa joustavampi. Ainoa vaatimus on huolellinen hallinta, ja Codexilla siihen on työkalut (versiointi, logi, validointisäännöt).</w:t>
      </w:r>
    </w:p>
    <w:p>
      <w:pPr>
        <w:pStyle w:val="BodyText"/>
      </w:pPr>
      <w:r>
        <w:rPr>
          <w:b/>
          <w:bCs/>
        </w:rPr>
        <w:t xml:space="preserve">RBAC ja hyväksyntäketjut</w:t>
      </w:r>
      <w:r>
        <w:t xml:space="preserve"> </w:t>
      </w:r>
      <w:r>
        <w:t xml:space="preserve">varmistavat, että EVM-järjestelmän hallinta on kontrolloitua ja vastuuhenkilöt ovat tiedossa. Tämä on edellytys luotettavalle EVM:lle (sovitaan roolit, kuka hyväksyy mitä) vaikkei standardi käske teknisesti RBAC:ia toteuttaa. Codex hoitaa sen modernein keinoin – se on ylimääräinen kerros varmuutta.</w:t>
      </w:r>
    </w:p>
    <w:p>
      <w:pPr>
        <w:pStyle w:val="BodyText"/>
      </w:pPr>
      <w:r>
        <w:rPr>
          <w:b/>
          <w:bCs/>
        </w:rPr>
        <w:t xml:space="preserve">Terminologia ja monikielisyys</w:t>
      </w:r>
      <w:r>
        <w:t xml:space="preserve"> </w:t>
      </w:r>
      <w:r>
        <w:t xml:space="preserve">eivät ole EVM-standardeissa esillä, mutta Codex toteuttaa ne esimerkillisesti, mikä helpottaa standardien jalkauttamista eri ympäristöihin. Käsitteiden koodistaminen ja käännökset ehkäisevät väärinymmärryksiä ja mahdollistavat, että sama järjestelmä tukee useita kieliä ja organisaatiokulttuureja.</w:t>
      </w:r>
    </w:p>
    <w:p>
      <w:pPr>
        <w:pStyle w:val="BodyText"/>
      </w:pPr>
      <w:r>
        <w:rPr>
          <w:b/>
          <w:bCs/>
        </w:rPr>
        <w:t xml:space="preserve">Käyttöliittymän käyttölogiikka</w:t>
      </w:r>
      <w:r>
        <w:t xml:space="preserve"> </w:t>
      </w:r>
      <w:r>
        <w:t xml:space="preserve">(SETUP vs TRACK yhdellä näytöllä) on Codexin oman suunnittelun helmi, joka tekee standardien mukaisen prosessin käyttäjälle helpoksi noudattaa. Standardit antavat raamien</w:t>
      </w:r>
      <w:r>
        <w:t xml:space="preserve"> </w:t>
      </w:r>
      <w:r>
        <w:rPr>
          <w:i/>
          <w:iCs/>
        </w:rPr>
        <w:t xml:space="preserve">mitä</w:t>
      </w:r>
      <w:r>
        <w:t xml:space="preserve"> </w:t>
      </w:r>
      <w:r>
        <w:t xml:space="preserve">tehdä, Codexin UI auttaa</w:t>
      </w:r>
      <w:r>
        <w:t xml:space="preserve"> </w:t>
      </w:r>
      <w:r>
        <w:rPr>
          <w:i/>
          <w:iCs/>
        </w:rPr>
        <w:t xml:space="preserve">miten</w:t>
      </w:r>
      <w:r>
        <w:t xml:space="preserve"> </w:t>
      </w:r>
      <w:r>
        <w:t xml:space="preserve">tehdä – tämä on ratkaisevan tärkeää onnistuneelle EVM:lle kentällä.</w:t>
      </w:r>
    </w:p>
    <w:bookmarkStart w:id="120" w:name="lopuksi"/>
    <w:p>
      <w:pPr>
        <w:pStyle w:val="Heading3"/>
      </w:pPr>
      <w:r>
        <w:t xml:space="preserve">Lopuksi:</w:t>
      </w:r>
    </w:p>
    <w:p>
      <w:pPr>
        <w:pStyle w:val="FirstParagraph"/>
      </w:pPr>
      <w:r>
        <w:rPr>
          <w:b/>
          <w:bCs/>
        </w:rPr>
        <w:t xml:space="preserve">Mitä Codex tekee standardien mukaan:</w:t>
      </w:r>
      <w:r>
        <w:t xml:space="preserve"> </w:t>
      </w:r>
      <w:r>
        <w:t xml:space="preserve">Lähes kaikki olennainen – baselinejen hallinta ja lukitus, EV/CPI-laskentaehdot, muutosten kontrolli, data-auditointi ja raportointi – on toteutettu standardien hengen mukaisesti tai niitäkin tarkemmin. Codexin järjestelmä täyttää mm. GAO:n 10 suositeltua EV-kyvykkyyttä (kuten: määritä mittausbaseline, mittaa suoritus, ylläpidä jäljitettävyys, raportoi poikkeamat, päivitä ennusteet). Se myös seuraa PMI/AACE-ohjeita pitämällä budjetin, toteuman ja ennusteen integroituna ja ajan tasalla.</w:t>
      </w:r>
    </w:p>
    <w:p>
      <w:pPr>
        <w:pStyle w:val="BodyText"/>
      </w:pPr>
      <w:r>
        <w:rPr>
          <w:b/>
          <w:bCs/>
        </w:rPr>
        <w:t xml:space="preserve">Missä Codex poikkeaa fiksusti tavanomaisesta:</w:t>
      </w:r>
      <w:r>
        <w:t xml:space="preserve"> </w:t>
      </w:r>
      <w:r>
        <w:t xml:space="preserve">Ghost-kulujen käyttö AC*:ssä ja mappingin joustava monistaminen ovat keskeiset ei-tyypilliset ratkaisut. Nämä eivät riko standardeja, ne vain eivät ole yleisiä kaikkialla. Ghost-accrual on fiksu keino käsitellä rakennusprojektien viivettä, ja monimutkainen mapping on fiksu keino sovittaa standarditeoria reaalimaailman käytäntöön (Talo 80 -nimikkeistö vs. työpaketit). Lisäksi UI:n one-screen-lähestymistapa on edistyksellinen – harvoin EVM-työkaluissa on yhdistetty noin tiiviisti toiminnot. Se on hyväksyttävä ja jopa toivottava innovaatio käytettävyyden parantamiseksi.</w:t>
      </w:r>
    </w:p>
    <w:p>
      <w:pPr>
        <w:pStyle w:val="BodyText"/>
      </w:pPr>
      <w:r>
        <w:rPr>
          <w:b/>
          <w:bCs/>
        </w:rPr>
        <w:t xml:space="preserve">Mahdolliset puutteet tai riskit:</w:t>
      </w:r>
      <w:r>
        <w:t xml:space="preserve"> </w:t>
      </w:r>
      <w:r>
        <w:t xml:space="preserve">Suurimpana erona standardi-ihanteeseen on havaittavissa se, että Codex keskittyy</w:t>
      </w:r>
      <w:r>
        <w:t xml:space="preserve"> </w:t>
      </w:r>
      <w:r>
        <w:rPr>
          <w:b/>
          <w:bCs/>
        </w:rPr>
        <w:t xml:space="preserve">kustannus-EVM:ään</w:t>
      </w:r>
      <w:r>
        <w:t xml:space="preserve">; aikatauluulottuvuus (PV, SV, SPI) ei ole näkyvästi esillä. Mikäli projektissa tarvitaan myös aikatauluperformanssin seurantaa, Codexista puuttunee suora tuki siihen – tämä voisi vaatia integraation aikataulutyökaluun tai laajennuksia. Standardien näkökulmasta tämä on potentiaalinen puute, koska täydellisessä EVM:ssä kustannus- ja aikatauluindeksit kulkevat käsi kädessä. Toinen huomio on retroaktiivisten baseline-muutosten käsittely: vaikka audit trail on olemassa, standardit varoittavat</w:t>
      </w:r>
      <w:r>
        <w:t xml:space="preserve"> </w:t>
      </w:r>
      <w:r>
        <w:rPr>
          <w:i/>
          <w:iCs/>
        </w:rPr>
        <w:t xml:space="preserve">baseline creeping</w:t>
      </w:r>
      <w:r>
        <w:t xml:space="preserve"> </w:t>
      </w:r>
      <w:r>
        <w:t xml:space="preserve">-ilmiöstä (toistuvat baseline-muutokset voivat hämärtää alkuperäisen tavoitteen). Codexin prosessi on läpinäkyvä, mutta organisaation on varmistettava, että baseline-muutoksia tehdään hallitusti ja dokumentoidusti (mikä kyllä Codexissa onnistuu).</w:t>
      </w:r>
    </w:p>
    <w:p>
      <w:pPr>
        <w:pStyle w:val="BodyText"/>
      </w:pPr>
      <w:r>
        <w:t xml:space="preserve">Kaiken kaikkiaan Codexin järjestelmä on</w:t>
      </w:r>
      <w:r>
        <w:t xml:space="preserve"> </w:t>
      </w:r>
      <w:r>
        <w:rPr>
          <w:b/>
          <w:bCs/>
        </w:rPr>
        <w:t xml:space="preserve">vahvalla pohjalla</w:t>
      </w:r>
      <w:r>
        <w:t xml:space="preserve"> </w:t>
      </w:r>
      <w:r>
        <w:t xml:space="preserve">suhteessa GAO:n, ISO 21508:n, PMI:n ja AACE:n EVM-ohjeisiin. Se osoittaa, että moderni tietomallipohjainen lähestyminen voi toteuttaa standardivaatimukset ja samalla tuoda käytännön parannuksia. Muutamat Codexin omat sovellukset (ghost, mapping-versiot) ovat harkittuja ja projekteissa hyödyllisiä, kunhan käyttäjät ymmärtävät niiden käytön. Vakavia standardipoikkeamia tai -riskejä ei ole – päinvastoin, Codex näyttäisi ehkäisevän monia EVM-toteutusten tyypillisiä ongelmia etukäteen. Tämä antaa hyvän lähtökohdan sille, että Codex SaaS -työkalua käyttävä organisaatio voi saavuttaa</w:t>
      </w:r>
      <w:r>
        <w:t xml:space="preserve"> </w:t>
      </w:r>
      <w:r>
        <w:rPr>
          <w:b/>
          <w:bCs/>
        </w:rPr>
        <w:t xml:space="preserve">EVM-järjestelmän vaatimustenmukaisuuden</w:t>
      </w:r>
      <w:r>
        <w:t xml:space="preserve"> </w:t>
      </w:r>
      <w:r>
        <w:t xml:space="preserve">ja saada samalla käytännön hyödyt tehokkaasti irti. </w:t>
      </w:r>
      <w:hyperlink r:id="rId29">
        <w:r>
          <w:rPr>
            <w:rStyle w:val="Hyperlink"/>
          </w:rPr>
          <w:t xml:space="preserve">[9]</w:t>
        </w:r>
      </w:hyperlink>
      <w:hyperlink r:id="rId31">
        <w:r>
          <w:rPr>
            <w:rStyle w:val="Hyperlink"/>
          </w:rPr>
          <w:t xml:space="preserve">[11]</w:t>
        </w:r>
      </w:hyperlink>
    </w:p>
    <w:bookmarkEnd w:id="120"/>
    <w:bookmarkEnd w:id="121"/>
    <w:bookmarkEnd w:id="122"/>
    <w:bookmarkEnd w:id="123"/>
    <w:p>
      <w:r>
        <w:pict>
          <v:rect style="width:0;height:1.5pt" o:hralign="center" o:hrstd="t" o:hr="t"/>
        </w:pict>
      </w:r>
    </w:p>
    <w:bookmarkStart w:id="134" w:name="citations"/>
    <w:p>
      <w:pPr>
        <w:pStyle w:val="FirstParagraph"/>
      </w:pPr>
      <w:hyperlink r:id="rId21">
        <w:r>
          <w:rPr>
            <w:rStyle w:val="Hyperlink"/>
          </w:rPr>
          <w:t xml:space="preserve">[1]</w:t>
        </w:r>
      </w:hyperlink>
      <w:r>
        <w:t xml:space="preserve"> </w:t>
      </w:r>
      <w:hyperlink r:id="rId90">
        <w:r>
          <w:rPr>
            <w:rStyle w:val="Hyperlink"/>
          </w:rPr>
          <w:t xml:space="preserve">[70]</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21">
        <w:r>
          <w:rPr>
            <w:rStyle w:val="Hyperlink"/>
          </w:rPr>
          <w:t xml:space="preserve">[76]</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98">
        <w:r>
          <w:rPr>
            <w:rStyle w:val="Hyperlink"/>
          </w:rPr>
          <w:t xml:space="preserve">[79]</w:t>
        </w:r>
      </w:hyperlink>
      <w:r>
        <w:t xml:space="preserve"> </w:t>
      </w:r>
      <w:hyperlink r:id="rId99">
        <w:r>
          <w:rPr>
            <w:rStyle w:val="Hyperlink"/>
          </w:rPr>
          <w:t xml:space="preserve">[80]</w:t>
        </w:r>
      </w:hyperlink>
      <w:r>
        <w:t xml:space="preserve"> </w:t>
      </w:r>
      <w:hyperlink r:id="rId102">
        <w:r>
          <w:rPr>
            <w:rStyle w:val="Hyperlink"/>
          </w:rPr>
          <w:t xml:space="preserve">[83]</w:t>
        </w:r>
      </w:hyperlink>
      <w:r>
        <w:t xml:space="preserve"> </w:t>
      </w:r>
      <w:hyperlink r:id="rId103">
        <w:r>
          <w:rPr>
            <w:rStyle w:val="Hyperlink"/>
          </w:rPr>
          <w:t xml:space="preserve">[84]</w:t>
        </w:r>
      </w:hyperlink>
      <w:r>
        <w:t xml:space="preserve"> </w:t>
      </w:r>
      <w:r>
        <w:t xml:space="preserve">0009_saas_rbac_phase19.sql</w:t>
      </w:r>
    </w:p>
    <w:p>
      <w:pPr>
        <w:pStyle w:val="BodyText"/>
      </w:pPr>
      <w:hyperlink r:id="rId124">
        <w:r>
          <w:rPr>
            <w:rStyle w:val="Hyperlink"/>
          </w:rPr>
          <w:t xml:space="preserve">file://file-MLoJb1vaR4CvUFdfffbbnR</w:t>
        </w:r>
      </w:hyperlink>
    </w:p>
    <w:p>
      <w:pPr>
        <w:pStyle w:val="BodyText"/>
      </w:pPr>
      <w:hyperlink r:id="rId22">
        <w:r>
          <w:rPr>
            <w:rStyle w:val="Hyperlink"/>
          </w:rPr>
          <w:t xml:space="preserve">[2]</w:t>
        </w:r>
      </w:hyperlink>
      <w:r>
        <w:t xml:space="preserve"> </w:t>
      </w:r>
      <w:hyperlink r:id="rId61">
        <w:r>
          <w:rPr>
            <w:rStyle w:val="Hyperlink"/>
          </w:rPr>
          <w:t xml:space="preserve">[39]</w:t>
        </w:r>
      </w:hyperlink>
      <w:r>
        <w:t xml:space="preserve"> </w:t>
      </w:r>
      <w:hyperlink r:id="rId61">
        <w:r>
          <w:rPr>
            <w:rStyle w:val="Hyperlink"/>
          </w:rPr>
          <w:t xml:space="preserve">[42]</w:t>
        </w:r>
      </w:hyperlink>
      <w:r>
        <w:t xml:space="preserve"> </w:t>
      </w:r>
      <w:hyperlink r:id="rId64">
        <w:r>
          <w:rPr>
            <w:rStyle w:val="Hyperlink"/>
          </w:rPr>
          <w:t xml:space="preserve">[43]</w:t>
        </w:r>
      </w:hyperlink>
      <w:r>
        <w:t xml:space="preserve"> </w:t>
      </w:r>
      <w:hyperlink r:id="rId74">
        <w:r>
          <w:rPr>
            <w:rStyle w:val="Hyperlink"/>
          </w:rPr>
          <w:t xml:space="preserve">[52]</w:t>
        </w:r>
      </w:hyperlink>
      <w:r>
        <w:t xml:space="preserve"> </w:t>
      </w:r>
      <w:hyperlink r:id="rId22">
        <w:r>
          <w:rPr>
            <w:rStyle w:val="Hyperlink"/>
          </w:rPr>
          <w:t xml:space="preserve">[53]</w:t>
        </w:r>
      </w:hyperlink>
      <w:r>
        <w:t xml:space="preserve"> </w:t>
      </w:r>
      <w:hyperlink r:id="rId86">
        <w:r>
          <w:rPr>
            <w:rStyle w:val="Hyperlink"/>
          </w:rPr>
          <w:t xml:space="preserve">[67]</w:t>
        </w:r>
      </w:hyperlink>
      <w:r>
        <w:t xml:space="preserve"> </w:t>
      </w:r>
      <w:hyperlink r:id="rId113">
        <w:r>
          <w:rPr>
            <w:rStyle w:val="Hyperlink"/>
          </w:rPr>
          <w:t xml:space="preserve">[92]</w:t>
        </w:r>
      </w:hyperlink>
      <w:r>
        <w:t xml:space="preserve"> </w:t>
      </w:r>
      <w:hyperlink r:id="rId114">
        <w:r>
          <w:rPr>
            <w:rStyle w:val="Hyperlink"/>
          </w:rPr>
          <w:t xml:space="preserve">[93]</w:t>
        </w:r>
      </w:hyperlink>
      <w:r>
        <w:t xml:space="preserve"> </w:t>
      </w:r>
      <w:hyperlink r:id="rId115">
        <w:r>
          <w:rPr>
            <w:rStyle w:val="Hyperlink"/>
          </w:rPr>
          <w:t xml:space="preserve">[94]</w:t>
        </w:r>
      </w:hyperlink>
      <w:r>
        <w:t xml:space="preserve"> </w:t>
      </w:r>
      <w:hyperlink r:id="rId116">
        <w:r>
          <w:rPr>
            <w:rStyle w:val="Hyperlink"/>
          </w:rPr>
          <w:t xml:space="preserve">[95]</w:t>
        </w:r>
      </w:hyperlink>
      <w:r>
        <w:t xml:space="preserve"> </w:t>
      </w:r>
      <w:r>
        <w:t xml:space="preserve">UI_ONE_SCREEN_V1.md.txt</w:t>
      </w:r>
    </w:p>
    <w:p>
      <w:pPr>
        <w:pStyle w:val="BodyText"/>
      </w:pPr>
      <w:hyperlink r:id="rId125">
        <w:r>
          <w:rPr>
            <w:rStyle w:val="Hyperlink"/>
          </w:rPr>
          <w:t xml:space="preserve">file://file-Jp1LkFanh5GwiDjbvbnQxB</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52">
        <w:r>
          <w:rPr>
            <w:rStyle w:val="Hyperlink"/>
          </w:rPr>
          <w:t xml:space="preserve">[40]</w:t>
        </w:r>
      </w:hyperlink>
      <w:r>
        <w:t xml:space="preserve"> </w:t>
      </w:r>
      <w:hyperlink r:id="rId63">
        <w:r>
          <w:rPr>
            <w:rStyle w:val="Hyperlink"/>
          </w:rPr>
          <w:t xml:space="preserve">[41]</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hyperlink r:id="rId63">
        <w:r>
          <w:rPr>
            <w:rStyle w:val="Hyperlink"/>
          </w:rPr>
          <w:t xml:space="preserve">[61]</w:t>
        </w:r>
      </w:hyperlink>
      <w:r>
        <w:t xml:space="preserve"> </w:t>
      </w:r>
      <w:hyperlink r:id="rId85">
        <w:r>
          <w:rPr>
            <w:rStyle w:val="Hyperlink"/>
          </w:rPr>
          <w:t xml:space="preserve">[66]</w:t>
        </w:r>
      </w:hyperlink>
      <w:r>
        <w:t xml:space="preserve"> </w:t>
      </w:r>
      <w:hyperlink r:id="rId95">
        <w:r>
          <w:rPr>
            <w:rStyle w:val="Hyperlink"/>
          </w:rPr>
          <w:t xml:space="preserve">[75]</w:t>
        </w:r>
      </w:hyperlink>
      <w:r>
        <w:t xml:space="preserve"> </w:t>
      </w:r>
      <w:hyperlink r:id="rId105">
        <w:r>
          <w:rPr>
            <w:rStyle w:val="Hyperlink"/>
          </w:rPr>
          <w:t xml:space="preserve">[85]</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hyperlink r:id="rId109">
        <w:r>
          <w:rPr>
            <w:rStyle w:val="Hyperlink"/>
          </w:rPr>
          <w:t xml:space="preserve">[89]</w:t>
        </w:r>
      </w:hyperlink>
      <w:r>
        <w:t xml:space="preserve"> </w:t>
      </w:r>
      <w:hyperlink r:id="rId110">
        <w:r>
          <w:rPr>
            <w:rStyle w:val="Hyperlink"/>
          </w:rPr>
          <w:t xml:space="preserve">[90]</w:t>
        </w:r>
      </w:hyperlink>
      <w:r>
        <w:t xml:space="preserve"> </w:t>
      </w:r>
      <w:hyperlink r:id="rId111">
        <w:r>
          <w:rPr>
            <w:rStyle w:val="Hyperlink"/>
          </w:rPr>
          <w:t xml:space="preserve">[91]</w:t>
        </w:r>
      </w:hyperlink>
      <w:r>
        <w:t xml:space="preserve"> </w:t>
      </w:r>
      <w:hyperlink r:id="rId117">
        <w:r>
          <w:rPr>
            <w:rStyle w:val="Hyperlink"/>
          </w:rPr>
          <w:t xml:space="preserve">[96]</w:t>
        </w:r>
      </w:hyperlink>
      <w:r>
        <w:t xml:space="preserve"> </w:t>
      </w:r>
      <w:hyperlink r:id="rId118">
        <w:r>
          <w:rPr>
            <w:rStyle w:val="Hyperlink"/>
          </w:rPr>
          <w:t xml:space="preserve">[97]</w:t>
        </w:r>
      </w:hyperlink>
      <w:r>
        <w:t xml:space="preserve"> </w:t>
      </w:r>
      <w:r>
        <w:t xml:space="preserve">Codex SaaS -projektin selvitys.pdf</w:t>
      </w:r>
    </w:p>
    <w:p>
      <w:pPr>
        <w:pStyle w:val="BodyText"/>
      </w:pPr>
      <w:hyperlink r:id="rId126">
        <w:r>
          <w:rPr>
            <w:rStyle w:val="Hyperlink"/>
          </w:rPr>
          <w:t xml:space="preserve">file://file-Ga2CroVu5WF111nNgkrxuq</w:t>
        </w:r>
      </w:hyperlink>
    </w:p>
    <w:p>
      <w:pPr>
        <w:pStyle w:val="BodyText"/>
      </w:pPr>
      <w:hyperlink r:id="rId28">
        <w:r>
          <w:rPr>
            <w:rStyle w:val="Hyperlink"/>
          </w:rPr>
          <w:t xml:space="preserve">[8]</w:t>
        </w:r>
      </w:hyperlink>
      <w:r>
        <w:t xml:space="preserve"> </w:t>
      </w:r>
      <w:hyperlink r:id="rId75">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r>
        <w:t xml:space="preserve">Talo80_handoff.md</w:t>
      </w:r>
    </w:p>
    <w:p>
      <w:pPr>
        <w:pStyle w:val="BodyText"/>
      </w:pPr>
      <w:hyperlink r:id="rId127">
        <w:r>
          <w:rPr>
            <w:rStyle w:val="Hyperlink"/>
          </w:rPr>
          <w:t xml:space="preserve">file://file-CFwL6PrWAjnbWgJtTSh312</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67">
        <w:r>
          <w:rPr>
            <w:rStyle w:val="Hyperlink"/>
          </w:rPr>
          <w:t xml:space="preserve">[46]</w:t>
        </w:r>
      </w:hyperlink>
      <w:r>
        <w:t xml:space="preserve"> </w:t>
      </w:r>
      <w:r>
        <w:t xml:space="preserve">ISO 21508 Earned value management in project and programme management released - IPMA International Project Management Association</w:t>
      </w:r>
    </w:p>
    <w:p>
      <w:pPr>
        <w:pStyle w:val="BodyText"/>
      </w:pPr>
      <w:hyperlink r:id="rId128">
        <w:r>
          <w:rPr>
            <w:rStyle w:val="Hyperlink"/>
          </w:rPr>
          <w:t xml:space="preserve">https://ipma.world/iso-21508-earned-value-management-project-programme-management-released/</w:t>
        </w:r>
      </w:hyperlink>
    </w:p>
    <w:p>
      <w:pPr>
        <w:pStyle w:val="BodyText"/>
      </w:pPr>
      <w:hyperlink r:id="rId31">
        <w:r>
          <w:rPr>
            <w:rStyle w:val="Hyperlink"/>
          </w:rPr>
          <w:t xml:space="preserve">[11]</w:t>
        </w:r>
      </w:hyperlink>
      <w:r>
        <w:t xml:space="preserve"> </w:t>
      </w:r>
      <w:r>
        <w:t xml:space="preserve">NDIA IPMD Guide Template</w:t>
      </w:r>
    </w:p>
    <w:p>
      <w:pPr>
        <w:pStyle w:val="BodyText"/>
      </w:pPr>
      <w:hyperlink r:id="rId129">
        <w:r>
          <w:rPr>
            <w:rStyle w:val="Hyperlink"/>
          </w:rPr>
          <w:t xml:space="preserve">https://www.ndia.org/-/media/sites/ndia/divisions/ipmd/division-guides-and-resources/ndia-ipmd-contracting-with-evm-requirements-2022-09-13.pdf?download=1</w:t>
        </w:r>
      </w:hyperlink>
    </w:p>
    <w:p>
      <w:pPr>
        <w:pStyle w:val="BodyText"/>
      </w:pPr>
      <w:hyperlink r:id="rId32">
        <w:r>
          <w:rPr>
            <w:rStyle w:val="Hyperlink"/>
          </w:rPr>
          <w:t xml:space="preserve">[12]</w:t>
        </w:r>
      </w:hyperlink>
      <w:r>
        <w:t xml:space="preserve"> </w:t>
      </w:r>
      <w:hyperlink r:id="rId35">
        <w:r>
          <w:rPr>
            <w:rStyle w:val="Hyperlink"/>
          </w:rPr>
          <w:t xml:space="preserve">[15]</w:t>
        </w:r>
      </w:hyperlink>
      <w:r>
        <w:t xml:space="preserve"> </w:t>
      </w:r>
      <w:r>
        <w:t xml:space="preserve">RUNBOOK_PHASE17_ITEM_CORRECTIONS.md</w:t>
      </w:r>
    </w:p>
    <w:p>
      <w:pPr>
        <w:pStyle w:val="BodyText"/>
      </w:pPr>
      <w:hyperlink r:id="rId130">
        <w:r>
          <w:rPr>
            <w:rStyle w:val="Hyperlink"/>
          </w:rPr>
          <w:t xml:space="preserve">file://file-BGWyJvmnZ5XrPjdbxZWRKi</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100">
        <w:r>
          <w:rPr>
            <w:rStyle w:val="Hyperlink"/>
          </w:rPr>
          <w:t xml:space="preserve">[81]</w:t>
        </w:r>
      </w:hyperlink>
      <w:r>
        <w:t xml:space="preserve"> </w:t>
      </w:r>
      <w:hyperlink r:id="rId101">
        <w:r>
          <w:rPr>
            <w:rStyle w:val="Hyperlink"/>
          </w:rPr>
          <w:t xml:space="preserve">[82]</w:t>
        </w:r>
      </w:hyperlink>
      <w:r>
        <w:t xml:space="preserve"> </w:t>
      </w:r>
      <w:r>
        <w:t xml:space="preserve">0001_init.sql</w:t>
      </w:r>
    </w:p>
    <w:p>
      <w:pPr>
        <w:pStyle w:val="BodyText"/>
      </w:pPr>
      <w:hyperlink r:id="rId131">
        <w:r>
          <w:rPr>
            <w:rStyle w:val="Hyperlink"/>
          </w:rPr>
          <w:t xml:space="preserve">file://file-UUZZnYuVFGmct3ffSe45gF</w:t>
        </w:r>
      </w:hyperlink>
    </w:p>
    <w:p>
      <w:pPr>
        <w:pStyle w:val="BodyText"/>
      </w:pPr>
      <w:hyperlink r:id="rId65">
        <w:r>
          <w:rPr>
            <w:rStyle w:val="Hyperlink"/>
          </w:rPr>
          <w:t xml:space="preserve">[44]</w:t>
        </w:r>
      </w:hyperlink>
      <w:r>
        <w:t xml:space="preserve"> </w:t>
      </w:r>
      <w:hyperlink r:id="rId66">
        <w:r>
          <w:rPr>
            <w:rStyle w:val="Hyperlink"/>
          </w:rPr>
          <w:t xml:space="preserve">[45]</w:t>
        </w:r>
      </w:hyperlink>
      <w:r>
        <w:t xml:space="preserve"> </w:t>
      </w:r>
      <w:hyperlink r:id="rId84">
        <w:r>
          <w:rPr>
            <w:rStyle w:val="Hyperlink"/>
          </w:rPr>
          <w:t xml:space="preserve">[64]</w:t>
        </w:r>
      </w:hyperlink>
      <w:r>
        <w:t xml:space="preserve"> </w:t>
      </w:r>
      <w:hyperlink r:id="rId84">
        <w:r>
          <w:rPr>
            <w:rStyle w:val="Hyperlink"/>
          </w:rPr>
          <w:t xml:space="preserve">[65]</w:t>
        </w:r>
      </w:hyperlink>
      <w:r>
        <w:t xml:space="preserve"> </w:t>
      </w:r>
      <w:r>
        <w:t xml:space="preserve">0008_reporting_phase18.sql</w:t>
      </w:r>
    </w:p>
    <w:p>
      <w:pPr>
        <w:pStyle w:val="BodyText"/>
      </w:pPr>
      <w:hyperlink r:id="rId132">
        <w:r>
          <w:rPr>
            <w:rStyle w:val="Hyperlink"/>
          </w:rPr>
          <w:t xml:space="preserve">file://file-Rm3ZxTdMza6KDuRajCngrj</w:t>
        </w:r>
      </w:hyperlink>
    </w:p>
    <w:p>
      <w:pPr>
        <w:pStyle w:val="BodyText"/>
      </w:pPr>
      <w:hyperlink r:id="rId82">
        <w:r>
          <w:rPr>
            <w:rStyle w:val="Hyperlink"/>
          </w:rPr>
          <w:t xml:space="preserve">[62]</w:t>
        </w:r>
      </w:hyperlink>
      <w:r>
        <w:t xml:space="preserve"> </w:t>
      </w:r>
      <w:hyperlink r:id="rId83">
        <w:r>
          <w:rPr>
            <w:rStyle w:val="Hyperlink"/>
          </w:rPr>
          <w:t xml:space="preserve">[63]</w:t>
        </w:r>
      </w:hyperlink>
      <w:r>
        <w:t xml:space="preserve"> </w:t>
      </w:r>
      <w:r>
        <w:t xml:space="preserve">RUNBOOK_PHASE16_AC_CPI.md</w:t>
      </w:r>
    </w:p>
    <w:p>
      <w:pPr>
        <w:pStyle w:val="BodyText"/>
      </w:pPr>
      <w:hyperlink r:id="rId133">
        <w:r>
          <w:rPr>
            <w:rStyle w:val="Hyperlink"/>
          </w:rPr>
          <w:t xml:space="preserve">file://file-Ke4fZ5LbU8BXQBQHrcPsLb</w:t>
        </w:r>
      </w:hyperlink>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0" Target="file://file-BGWyJvmnZ5XrPjdbxZWRKi" TargetMode="External" /><Relationship Type="http://schemas.openxmlformats.org/officeDocument/2006/relationships/hyperlink" Id="rId32" Target="file://file-BGWyJvmnZ5XrPjdbxZWRKi#:~:text=1%29%20,%28p%C3%A4%C3%A4t%C3%B6s%2017.3%20%3D%20A" TargetMode="External" /><Relationship Type="http://schemas.openxmlformats.org/officeDocument/2006/relationships/hyperlink" Id="rId35" Target="file://file-BGWyJvmnZ5XrPjdbxZWRKi#:~:text=4%29%20J%C3%A4rjestelm%C3%A4%20luo%3A%20,%28p%C3%A4%C3%A4t%C3%B6s%2017.3%20%3D%20A" TargetMode="External" /><Relationship Type="http://schemas.openxmlformats.org/officeDocument/2006/relationships/hyperlink" Id="rId127" Target="file://file-CFwL6PrWAjnbWgJtTSh312" TargetMode="External" /><Relationship Type="http://schemas.openxmlformats.org/officeDocument/2006/relationships/hyperlink" Id="rId76" Target="file://file-CFwL6PrWAjnbWgJtTSh312#:~:text=,audit%20trail" TargetMode="External" /><Relationship Type="http://schemas.openxmlformats.org/officeDocument/2006/relationships/hyperlink" Id="rId75" Target="file://file-CFwL6PrWAjnbWgJtTSh312#:~:text=4%29%20Ty%C3%B6paketointi%20" TargetMode="External" /><Relationship Type="http://schemas.openxmlformats.org/officeDocument/2006/relationships/hyperlink" Id="rId28" Target="file://file-CFwL6PrWAjnbWgJtTSh312#:~:text=Lukitusmalli%20,baseline%20%2B%20hyv%C3%A4ksytyt%20muutokset" TargetMode="External" /><Relationship Type="http://schemas.openxmlformats.org/officeDocument/2006/relationships/hyperlink" Id="rId126" Target="file://file-Ga2CroVu5WF111nNgkrxuq" TargetMode="External" /><Relationship Type="http://schemas.openxmlformats.org/officeDocument/2006/relationships/hyperlink" Id="rId52" Target="file://file-Ga2CroVu5WF111nNgkrxuq#:~:text=%28esim,annettu%2C%20arvo%20on%200" TargetMode="External" /><Relationship Type="http://schemas.openxmlformats.org/officeDocument/2006/relationships/hyperlink" Id="rId45" Target="file://file-Ga2CroVu5WF111nNgkrxuq#:~:text=%28kirjanpidon%20mukaan%29%20,tieto%3A%20%20se%20%20n%C3%A4kyy" TargetMode="External" /><Relationship Type="http://schemas.openxmlformats.org/officeDocument/2006/relationships/hyperlink" Id="rId27" Target="file://file-Ga2CroVu5WF111nNgkrxuq#:~:text=%E2%80%A2" TargetMode="External" /><Relationship Type="http://schemas.openxmlformats.org/officeDocument/2006/relationships/hyperlink" Id="rId105" Target="file://file-Ga2CroVu5WF111nNgkrxuq#:~:text=,sql%20%2C%20%20joilla" TargetMode="External" /><Relationship Type="http://schemas.openxmlformats.org/officeDocument/2006/relationships/hyperlink" Id="rId44" Target="file://file-Ga2CroVu5WF111nNgkrxuq#:~:text=AC%20,laskujen%20ja" TargetMode="External" /><Relationship Type="http://schemas.openxmlformats.org/officeDocument/2006/relationships/hyperlink" Id="rId53" Target="file://file-Ga2CroVu5WF111nNgkrxuq#:~:text=AC,arvoa%20ei%20ole" TargetMode="External" /><Relationship Type="http://schemas.openxmlformats.org/officeDocument/2006/relationships/hyperlink" Id="rId110" Target="file://file-Ga2CroVu5WF111nNgkrxuq#:~:text=AI%20%20kovakoodaa%20suomenkielisi%C3%A4%20tekstej%C3%A4,voi%20%20siis%20%20hy%C3%B6dynt%C3%A4%C3%A4" TargetMode="External" /><Relationship Type="http://schemas.openxmlformats.org/officeDocument/2006/relationships/hyperlink" Id="rId37" Target="file://file-Ga2CroVu5WF111nNgkrxuq#:~:text=BAC%20,Ehto" TargetMode="External" /><Relationship Type="http://schemas.openxmlformats.org/officeDocument/2006/relationships/hyperlink" Id="rId56" Target="file://file-Ga2CroVu5WF111nNgkrxuq#:~:text=CPI%20%3D%20EV%20%2F%20AC_STAR,CPI%20kertoo%20suhdelukuna%2C%20miten" TargetMode="External" /><Relationship Type="http://schemas.openxmlformats.org/officeDocument/2006/relationships/hyperlink" Id="rId55" Target="file://file-Ga2CroVu5WF111nNgkrxuq#:~:text=CPI%20,CPI%20kertoo%20suhdelukuna%2C%20miten" TargetMode="External" /><Relationship Type="http://schemas.openxmlformats.org/officeDocument/2006/relationships/hyperlink" Id="rId39" Target="file://file-Ga2CroVu5WF111nNgkrxuq#:~:text=EV%20,erillisen%C3%A4%20%20kentt%C3%A4n%C3%A4%20%20tallessa" TargetMode="External" /><Relationship Type="http://schemas.openxmlformats.org/officeDocument/2006/relationships/hyperlink" Id="rId49" Target="file://file-Ga2CroVu5WF111nNgkrxuq#:~:text=GHOST_OPEN%20,viikkoraportoinnin%20yhteydess%C3%A4%20k%C3%A4ytt%C3%B6liittym%C3%A4ss%C3%A4%20ja%20tallentuu" TargetMode="External" /><Relationship Type="http://schemas.openxmlformats.org/officeDocument/2006/relationships/hyperlink" Id="rId51" Target="file://file-Ga2CroVu5WF111nNgkrxuq#:~:text=Haamukulu%20sy%C3%B6tet%C3%A4%C3%A4n%20viikkoraportoinnin%20yhteydess%C3%A4%20k%C3%A4ytt%C3%B6liittym%C3%A4ss%C3%A4,annettu%2C%20arvo%20on%200" TargetMode="External" /><Relationship Type="http://schemas.openxmlformats.org/officeDocument/2006/relationships/hyperlink" Id="rId78" Target="file://file-Ga2CroVu5WF111nNgkrxuq#:~:text=budjetin%2C" TargetMode="External" /><Relationship Type="http://schemas.openxmlformats.org/officeDocument/2006/relationships/hyperlink" Id="rId54" Target="file://file-Ga2CroVu5WF111nNgkrxuq#:~:text=haamukulun%20summa%3A%20%20AC_STAR%20%3D,arvoa%20ei%20ole" TargetMode="External" /><Relationship Type="http://schemas.openxmlformats.org/officeDocument/2006/relationships/hyperlink" Id="rId117" Target="file://file-Ga2CroVu5WF111nNgkrxuq#:~:text=hy%C3%B6dynt%C3%A4%C3%A4%20UI,siihen%20kuuluvat%20kustannusrivit%20sek%C3%A4%20lasketut" TargetMode="External" /><Relationship Type="http://schemas.openxmlformats.org/officeDocument/2006/relationships/hyperlink" Id="rId111" Target="file://file-Ga2CroVu5WF111nNgkrxuq#:~:text=id%3An%20perusteella%20data%20%28multi,funktiota%20tekstien%20hakemiseen" TargetMode="External" /><Relationship Type="http://schemas.openxmlformats.org/officeDocument/2006/relationships/hyperlink" Id="rId43" Target="file://file-Ga2CroVu5WF111nNgkrxuq#:~:text=kontribuoi%20EV%2FCPI,rivin%C3%A4%C3%A4n%2C%20jotta%20johdon%20huomio%20kiinnittyy" TargetMode="External" /><Relationship Type="http://schemas.openxmlformats.org/officeDocument/2006/relationships/hyperlink" Id="rId108" Target="file://file-Ga2CroVu5WF111nNgkrxuq#:~:text=koodille%20%20,suomenkieliselle%20organisaatiolle%20%20tekstin" TargetMode="External" /><Relationship Type="http://schemas.openxmlformats.org/officeDocument/2006/relationships/hyperlink" Id="rId59" Target="file://file-Ga2CroVu5WF111nNgkrxuq#:~:text=laskemiseksi%20vaaditaan%2C%20ett%C3%A4%20EV%20on,Skeemassa" TargetMode="External" /><Relationship Type="http://schemas.openxmlformats.org/officeDocument/2006/relationships/hyperlink" Id="rId24" Target="file://file-Ga2CroVu5WF111nNgkrxuq#:~:text=lasketaan%20EV%2C%20%20CPI%20,s%C3%A4%C3%A4nt%C3%B6%20%22suunnitelma" TargetMode="External" /><Relationship Type="http://schemas.openxmlformats.org/officeDocument/2006/relationships/hyperlink" Id="rId106" Target="file://file-Ga2CroVu5WF111nNgkrxuq#:~:text=luotiin%20%20normalisoitu%20%20sanastotaulu,ja%20kielikohtaisesti%20sanastossa" TargetMode="External" /><Relationship Type="http://schemas.openxmlformats.org/officeDocument/2006/relationships/hyperlink" Id="rId23" Target="file://file-Ga2CroVu5WF111nNgkrxuq#:~:text=match%20at%20L231%20lasketaan%20EV%2C,s%C3%A4%C3%A4nt%C3%B6%20%22suunnitelma" TargetMode="External" /><Relationship Type="http://schemas.openxmlformats.org/officeDocument/2006/relationships/hyperlink" Id="rId80" Target="file://file-Ga2CroVu5WF111nNgkrxuq#:~:text=match%20at%20L353%20toteuman%20,ja%20%20muita%20mittareita" TargetMode="External" /><Relationship Type="http://schemas.openxmlformats.org/officeDocument/2006/relationships/hyperlink" Id="rId85" Target="file://file-Ga2CroVu5WF111nNgkrxuq#:~:text=match%20at%20L374%20n%C3%A4kym%C3%A4ss%C3%A4%20EV,EV%2FCPI%20vaativat%20valmiusasteen" TargetMode="External" /><Relationship Type="http://schemas.openxmlformats.org/officeDocument/2006/relationships/hyperlink" Id="rId38" Target="file://file-Ga2CroVu5WF111nNgkrxuq#:~:text=match%20at%20L392%20BAC,muuten%20baselinea%20ei" TargetMode="External" /><Relationship Type="http://schemas.openxmlformats.org/officeDocument/2006/relationships/hyperlink" Id="rId107" Target="file://file-Ga2CroVu5WF111nNgkrxuq#:~:text=match%20at%20L604%20koodille%20,suomenkieliselle%20organisaatiolle%20%20tekstin" TargetMode="External" /><Relationship Type="http://schemas.openxmlformats.org/officeDocument/2006/relationships/hyperlink" Id="rId25" Target="file://file-Ga2CroVu5WF111nNgkrxuq#:~:text=migrations%2F0001_init,merkitys%20ja%20estet%C3%A4%C3%A4n%20historiatietojen%20muokkaus" TargetMode="External" /><Relationship Type="http://schemas.openxmlformats.org/officeDocument/2006/relationships/hyperlink" Id="rId26" Target="file://file-Ga2CroVu5WF111nNgkrxuq#:~:text=mm.%20%20append,budjetti%2Ftavoitearvio%2C%20toteumat%2C%20work" TargetMode="External" /><Relationship Type="http://schemas.openxmlformats.org/officeDocument/2006/relationships/hyperlink" Id="rId63" Target="file://file-Ga2CroVu5WF111nNgkrxuq#:~:text=my%C3%B6s%20%20selvitett%C3%A4vien%20kokonaissumman%20erillisen%C3%A4,rivin%C3%A4%C3%A4n%2C%20jotta%20johdon%20huomio%20kiinnittyy" TargetMode="External" /><Relationship Type="http://schemas.openxmlformats.org/officeDocument/2006/relationships/hyperlink" Id="rId41" Target="file://file-Ga2CroVu5WF111nNgkrxuq#:~:text=n%C3%A4kym%C3%A4ss%C3%A4%20EV%20ja%20CPI%20n%C3%A4kyiv%C3%A4t,EV%2FCPI%20vaativat%20valmiusasteen" TargetMode="External" /><Relationship Type="http://schemas.openxmlformats.org/officeDocument/2006/relationships/hyperlink" Id="rId109" Target="file://file-Ga2CroVu5WF111nNgkrxuq#:~:text=organisaatioeristys%2C%20joten%20AI%3Alle%20tulee%20muistuttaa,Codexia%20luomaan%20%20UI" TargetMode="External" /><Relationship Type="http://schemas.openxmlformats.org/officeDocument/2006/relationships/hyperlink" Id="rId95" Target="file://file-Ga2CroVu5WF111nNgkrxuq#:~:text=organisaation%20tuki%20ja%20roolipohjainen%20k%C3%A4ytt%C3%B6oikeus,tietoturvaan%20liittyv%C3%A4t%20secure%20wrapperit%20hyv%C3%A4ksynt%C3%A4toimintoihin" TargetMode="External" /><Relationship Type="http://schemas.openxmlformats.org/officeDocument/2006/relationships/hyperlink" Id="rId42" Target="file://file-Ga2CroVu5WF111nNgkrxuq#:~:text=osuutta%20euroina%3A%20esim,yhteenvetoon%2C%20mutta%20todenn%C3%A4k%C3%B6isimmin%20vain%20n%C3%A4kym%C3%A4ss%C3%A4" TargetMode="External" /><Relationship Type="http://schemas.openxmlformats.org/officeDocument/2006/relationships/hyperlink" Id="rId48" Target="file://file-Ga2CroVu5WF111nNgkrxuq#:~:text=p%C3%A4ivitty%C3%A4%20%20viiveell%C3%A4kin%20,Actual_cost_lines" TargetMode="External" /><Relationship Type="http://schemas.openxmlformats.org/officeDocument/2006/relationships/hyperlink" Id="rId47" Target="file://file-Ga2CroVu5WF111nNgkrxuq#:~:text=projektissa%20on%2C%20ett%C3%A4%20toteumatiedot%20tulevat,Actual_cost_lines" TargetMode="External" /><Relationship Type="http://schemas.openxmlformats.org/officeDocument/2006/relationships/hyperlink" Id="rId40" Target="file://file-Ga2CroVu5WF111nNgkrxuq#:~:text=py%C3%B6ristettyn%C3%A4%20%20kahden%20%20desimaalin,tai%20mahdollisesti" TargetMode="External" /><Relationship Type="http://schemas.openxmlformats.org/officeDocument/2006/relationships/hyperlink" Id="rId77" Target="file://file-Ga2CroVu5WF111nNgkrxuq#:~:text=raportointia%20varten%20,koko%20%20projektin%20budjetin" TargetMode="External" /><Relationship Type="http://schemas.openxmlformats.org/officeDocument/2006/relationships/hyperlink" Id="rId118" Target="file://file-Ga2CroVu5WF111nNgkrxuq#:~:text=seuranta,tuottaa%20%20todenn%C3%A4k%C3%B6isesti%20%20kelvollisen" TargetMode="External" /><Relationship Type="http://schemas.openxmlformats.org/officeDocument/2006/relationships/hyperlink" Id="rId46" Target="file://file-Ga2CroVu5WF111nNgkrxuq#:~:text=sitten%20n%C3%A4kym%C3%A4t%20summaavat%20kullekin%20ty%C3%B6paketille,Actual_cost_lines" TargetMode="External" /><Relationship Type="http://schemas.openxmlformats.org/officeDocument/2006/relationships/hyperlink" Id="rId58" Target="file://file-Ga2CroVu5WF111nNgkrxuq#:~:text=tarkoittaa%20%20budjetin%20mukaisesti%2C%20yli,Skeemassa" TargetMode="External" /><Relationship Type="http://schemas.openxmlformats.org/officeDocument/2006/relationships/hyperlink" Id="rId50" Target="file://file-Ga2CroVu5WF111nNgkrxuq#:~:text=tehdyst%C3%A4%20ty%C3%B6st%C3%A4%2C%20mutta%20jotka%20eiv%C3%A4t,on%20%20mukana%20%20n%C3%A4kym%C3%A4n" TargetMode="External" /><Relationship Type="http://schemas.openxmlformats.org/officeDocument/2006/relationships/hyperlink" Id="rId57" Target="file://file-Ga2CroVu5WF111nNgkrxuq#:~:text=tehokkaasti%20%20rahaa%20%20on,Ehto%3A%20CPI%3An" TargetMode="External" /><Relationship Type="http://schemas.openxmlformats.org/officeDocument/2006/relationships/hyperlink" Id="rId81" Target="file://file-Ga2CroVu5WF111nNgkrxuq#:~:text=toteuman%20,ja%20%20muita%20mittareita" TargetMode="External" /><Relationship Type="http://schemas.openxmlformats.org/officeDocument/2006/relationships/hyperlink" Id="rId125" Target="file://file-Jp1LkFanh5GwiDjbvbnQxB" TargetMode="External" /><Relationship Type="http://schemas.openxmlformats.org/officeDocument/2006/relationships/hyperlink" Id="rId61" Target="file://file-Jp1LkFanh5GwiDjbvbnQxB#:~:text=,1%2F2%2C%20tuotantojohtaja%202%2F2" TargetMode="External" /><Relationship Type="http://schemas.openxmlformats.org/officeDocument/2006/relationships/hyperlink" Id="rId22" Target="file://file-Jp1LkFanh5GwiDjbvbnQxB#:~:text=,PM%201%2F2%2C%20tuotantojohtaja%202%2F2" TargetMode="External" /><Relationship Type="http://schemas.openxmlformats.org/officeDocument/2006/relationships/hyperlink" Id="rId64" Target="file://file-Jp1LkFanh5GwiDjbvbnQxB#:~:text=,liit%C3%A4%20ty%C3%B6pakettiin%20%2F%20luo%20uusi" TargetMode="External" /><Relationship Type="http://schemas.openxmlformats.org/officeDocument/2006/relationships/hyperlink" Id="rId114" Target="file://file-Jp1LkFanh5GwiDjbvbnQxB#:~:text=,tekstit%20terminology_get_dictionary%28org%2C%20locale" TargetMode="External" /><Relationship Type="http://schemas.openxmlformats.org/officeDocument/2006/relationships/hyperlink" Id="rId113" Target="file://file-Jp1LkFanh5GwiDjbvbnQxB#:~:text=Periaate%20,tekstit%20terminology_get_dictionary%28org%2C%20locale" TargetMode="External" /><Relationship Type="http://schemas.openxmlformats.org/officeDocument/2006/relationships/hyperlink" Id="rId74" Target="file://file-Jp1LkFanh5GwiDjbvbnQxB#:~:text=SETUP%20%28baseline,PM%201%2F2%2C%20tuotantojohtaja%202%2F2" TargetMode="External" /><Relationship Type="http://schemas.openxmlformats.org/officeDocument/2006/relationships/hyperlink" Id="rId86" Target="file://file-Jp1LkFanh5GwiDjbvbnQxB#:~:text=TRACK%20%28seuranta%29%20,liit%C3%A4%20ty%C3%B6pakettiin%20%2F%20luo%20uusi" TargetMode="External" /><Relationship Type="http://schemas.openxmlformats.org/officeDocument/2006/relationships/hyperlink" Id="rId116" Target="file://file-Jp1LkFanh5GwiDjbvbnQxB#:~:text=UI%20%E2%80%93%20One" TargetMode="External" /><Relationship Type="http://schemas.openxmlformats.org/officeDocument/2006/relationships/hyperlink" Id="rId115" Target="file://file-Jp1LkFanh5GwiDjbvbnQxB#:~:text=tavoitearviorivit%2C%20hyv%C3%A4ksynt%C3%A4ketju%29%20,PM%201%2F2%2C%20tuotantojohtaja%202%2F2" TargetMode="External" /><Relationship Type="http://schemas.openxmlformats.org/officeDocument/2006/relationships/hyperlink" Id="rId133" Target="file://file-Ke4fZ5LbU8BXQBQHrcPsLb" TargetMode="External" /><Relationship Type="http://schemas.openxmlformats.org/officeDocument/2006/relationships/hyperlink" Id="rId83" Target="file://file-Ke4fZ5LbU8BXQBQHrcPsLb#:~:text=3%29%20Katso%20KPI,e66b6722af50%27%20ORDER%20BY%20work_phase_name%3B" TargetMode="External" /><Relationship Type="http://schemas.openxmlformats.org/officeDocument/2006/relationships/hyperlink" Id="rId82" Target="file://file-Ke4fZ5LbU8BXQBQHrcPsLb#:~:text=NOTICE%20tuli%20ja%2Ftai%20n%C3%A4yt%C3%A4%20%60,lista" TargetMode="External" /><Relationship Type="http://schemas.openxmlformats.org/officeDocument/2006/relationships/hyperlink" Id="rId124" Target="file://file-MLoJb1vaR4CvUFdfffbbnR" TargetMode="External" /><Relationship Type="http://schemas.openxmlformats.org/officeDocument/2006/relationships/hyperlink" Id="rId96" Target="file://file-MLoJb1vaR4CvUFdfffbbnR#:~:text=,IF%20NOT%20EXISTS%20organization_id%20uuid" TargetMode="External" /><Relationship Type="http://schemas.openxmlformats.org/officeDocument/2006/relationships/hyperlink" Id="rId94" Target="file://file-MLoJb1vaR4CvUFdfffbbnR#:~:text=,Kirjaa%20viikkop%C3%A4ivitykset%2C%20ghostit%20ja%20korjausehdotukset" TargetMode="External" /><Relationship Type="http://schemas.openxmlformats.org/officeDocument/2006/relationships/hyperlink" Id="rId92" Target="file://file-MLoJb1vaR4CvUFdfffbbnR#:~:text=,NOT%20NULL%20DEFAULT%20true" TargetMode="External" /><Relationship Type="http://schemas.openxmlformats.org/officeDocument/2006/relationships/hyperlink" Id="rId90" Target="file://file-MLoJb1vaR4CvUFdfffbbnR#:~:text=,created_by%20text%20NOT%20NULL" TargetMode="External" /><Relationship Type="http://schemas.openxmlformats.org/officeDocument/2006/relationships/hyperlink" Id="rId103" Target="file://file-MLoJb1vaR4CvUFdfffbbnR#:~:text=,esim" TargetMode="External" /><Relationship Type="http://schemas.openxmlformats.org/officeDocument/2006/relationships/hyperlink" Id="rId98" Target="file://file-MLoJb1vaR4CvUFdfffbbnR#:~:text=,role_code" TargetMode="External" /><Relationship Type="http://schemas.openxmlformats.org/officeDocument/2006/relationships/hyperlink" Id="rId21" Target="file://file-MLoJb1vaR4CvUFdfffbbnR#:~:text=,sovellusta%20varten" TargetMode="External" /><Relationship Type="http://schemas.openxmlformats.org/officeDocument/2006/relationships/hyperlink" Id="rId97" Target="file://file-MLoJb1vaR4CvUFdfffbbnR#:~:text=ADD%20COLUMN%20IF%20NOT%20EXISTS,organization_id%20uuid" TargetMode="External" /><Relationship Type="http://schemas.openxmlformats.org/officeDocument/2006/relationships/hyperlink" Id="rId102" Target="file://file-MLoJb1vaR4CvUFdfffbbnR#:~:text=CREATE%20TABLE%20IF%20NOT%20EXISTS,NOT%20NULL%20DEFAULT%20true" TargetMode="External" /><Relationship Type="http://schemas.openxmlformats.org/officeDocument/2006/relationships/hyperlink" Id="rId91" Target="file://file-MLoJb1vaR4CvUFdfffbbnR#:~:text=CREATE%20TABLE%20IF%20NOT%20EXISTS,role_code" TargetMode="External" /><Relationship Type="http://schemas.openxmlformats.org/officeDocument/2006/relationships/hyperlink" Id="rId93" Target="file://file-MLoJb1vaR4CvUFdfffbbnR#:~:text=CREATE%20TABLE%20IF%20NOT%20EXISTS,role_code%2C%20permission_code%29" TargetMode="External" /><Relationship Type="http://schemas.openxmlformats.org/officeDocument/2006/relationships/hyperlink" Id="rId99" Target="file://file-MLoJb1vaR4CvUFdfffbbnR#:~:text=assignment_id%20uuid%20PRIMARY%20KEY%20DEFAULT,role_code" TargetMode="External" /><Relationship Type="http://schemas.openxmlformats.org/officeDocument/2006/relationships/hyperlink" Id="rId132" Target="file://file-Rm3ZxTdMza6KDuRajCngrj" TargetMode="External" /><Relationship Type="http://schemas.openxmlformats.org/officeDocument/2006/relationships/hyperlink" Id="rId84" Target="file://file-Rm3ZxTdMza6KDuRajCngrj#:~:text=,v16%2C%20teill%C3%A4%20target_littera_id%20%2B%20allocated_amount" TargetMode="External" /><Relationship Type="http://schemas.openxmlformats.org/officeDocument/2006/relationships/hyperlink" Id="rId65" Target="file://file-Rm3ZxTdMza6KDuRajCngrj#:~:text=,v_amount_col%20text%3B%20v_sql%20text%3B%20BEGIN" TargetMode="External" /><Relationship Type="http://schemas.openxmlformats.org/officeDocument/2006/relationships/hyperlink" Id="rId66" Target="file://file-Rm3ZxTdMza6KDuRajCngrj#:~:text=IF%20v_rel%20IS%20NULL%20THEN,AS%20unmapped_total%20WHERE%20false%27%3B%20RETURN" TargetMode="External" /><Relationship Type="http://schemas.openxmlformats.org/officeDocument/2006/relationships/hyperlink" Id="rId131" Target="file://file-UUZZnYuVFGmct3ffSe45gF" TargetMode="External" /><Relationship Type="http://schemas.openxmlformats.org/officeDocument/2006/relationships/hyperlink" Id="rId33" Target="file://file-UUZZnYuVFGmct3ffSe45gF#:~:text=,TG_TABLE_NAME" TargetMode="External" /><Relationship Type="http://schemas.openxmlformats.org/officeDocument/2006/relationships/hyperlink" Id="rId73" Target="file://file-UUZZnYuVFGmct3ffSe45gF#:~:text=,duplicate_object%20THEN%20NULL%3B%20END" TargetMode="External" /><Relationship Type="http://schemas.openxmlformats.org/officeDocument/2006/relationships/hyperlink" Id="rId69" Target="file://file-UUZZnYuVFGmct3ffSe45gF#:~:text=,mapping_version_id%29%20ON%20DELETE%20CASCADE" TargetMode="External" /><Relationship Type="http://schemas.openxmlformats.org/officeDocument/2006/relationships/hyperlink" Id="rId34" Target="file://file-UUZZnYuVFGmct3ffSe45gF#:~:text=,payload%20jsonb%20NOT%20NULL" TargetMode="External" /><Relationship Type="http://schemas.openxmlformats.org/officeDocument/2006/relationships/hyperlink" Id="rId71" Target="file://file-UUZZnYuVFGmct3ffSe45gF#:~:text=CREATE%20TABLE%20IF%20NOT%20EXISTS,mapping_version_status%20NOT%20NULL%20DEFAULT%20%27DRAFT" TargetMode="External" /><Relationship Type="http://schemas.openxmlformats.org/officeDocument/2006/relationships/hyperlink" Id="rId88" Target="file://file-UUZZnYuVFGmct3ffSe45gF#:~:text=REFERENCES%20litteras,1%29%29" TargetMode="External" /><Relationship Type="http://schemas.openxmlformats.org/officeDocument/2006/relationships/hyperlink" Id="rId70" Target="file://file-UUZZnYuVFGmct3ffSe45gF#:~:text=allocation_rule%20mapping_allocation_rule%20NOT%20NULL%2C%20allocation_value,kaikki%20kustannuslajit%20note%20text" TargetMode="External" /><Relationship Type="http://schemas.openxmlformats.org/officeDocument/2006/relationships/hyperlink" Id="rId101" Target="file://file-UUZZnYuVFGmct3ffSe45gF#:~:text=approved_at%20timestamptz%2C%20approved_by%20text%2C%20CONSTRAINT,valid_from%29" TargetMode="External" /><Relationship Type="http://schemas.openxmlformats.org/officeDocument/2006/relationships/hyperlink" Id="rId87" Target="file://file-UUZZnYuVFGmct3ffSe45gF#:~:text=comment%20text%2C%20,0..1%20kpi_value%20numeric%2814%2C6" TargetMode="External" /><Relationship Type="http://schemas.openxmlformats.org/officeDocument/2006/relationships/hyperlink" Id="rId100" Target="file://file-UUZZnYuVFGmct3ffSe45gF#:~:text=created_at%20timestamptz%20NOT%20NULL%20DEFAULT,valid_from%29" TargetMode="External" /><Relationship Type="http://schemas.openxmlformats.org/officeDocument/2006/relationships/hyperlink" Id="rId72" Target="file://file-UUZZnYuVFGmct3ffSe45gF#:~:text=project_id%20uuid%20NOT%20NULL%20REFERENCES,timestamptz%20NOT%20NULL%20DEFAULT%20now" TargetMode="External" /><Relationship Type="http://schemas.openxmlformats.org/officeDocument/2006/relationships/hyperlink" Id="rId128" Target="https://ipma.world/iso-21508-earned-value-management-project-programme-management-released/" TargetMode="External" /><Relationship Type="http://schemas.openxmlformats.org/officeDocument/2006/relationships/hyperlink" Id="rId29" Target="https://ipma.world/iso-21508-earned-value-management-project-programme-management-released/#:~:text=consistent%20view%20of%20performance%20metrics%2C,baselines%2C%20authorized%20users%20and%20procedures" TargetMode="External" /><Relationship Type="http://schemas.openxmlformats.org/officeDocument/2006/relationships/hyperlink" Id="rId67" Target="https://ipma.world/iso-21508-earned-value-management-project-programme-management-released/#:~:text=from%20metrics%20established%20for%20the,baselines%2C%20authorized%20users%20and%20procedures" TargetMode="External" /><Relationship Type="http://schemas.openxmlformats.org/officeDocument/2006/relationships/hyperlink" Id="rId30" Target="https://ipma.world/iso-21508-earned-value-management-project-programme-management-released/#:~:text=that%20should%20be%20defined%20through,baselines%2C%20authorized%20users%20and%20procedures" TargetMode="External" /><Relationship Type="http://schemas.openxmlformats.org/officeDocument/2006/relationships/hyperlink" Id="rId129" Target="https://www.ndia.org/-/media/sites/ndia/divisions/ipmd/division-guides-and-resources/ndia-ipmd-contracting-with-evm-requirements-2022-09-13.pdf?download=1" TargetMode="External" /><Relationship Type="http://schemas.openxmlformats.org/officeDocument/2006/relationships/hyperlink" Id="rId31" Target="https://www.ndia.org/-/media/sites/ndia/divisions/ipmd/division-guides-and-resources/ndia-ipmd-contracting-with-evm-requirements-2022-09-13.pdf?download=1#:~:text=The%20PMB%20should%20always%20reflect,A%20best%20practice%20is" TargetMode="External" /></Relationships>
</file>

<file path=word/_rels/footnotes.xml.rels><?xml version="1.0" encoding="UTF-8"?><Relationships xmlns="http://schemas.openxmlformats.org/package/2006/relationships"><Relationship Type="http://schemas.openxmlformats.org/officeDocument/2006/relationships/hyperlink" Id="rId130" Target="file://file-BGWyJvmnZ5XrPjdbxZWRKi" TargetMode="External" /><Relationship Type="http://schemas.openxmlformats.org/officeDocument/2006/relationships/hyperlink" Id="rId32" Target="file://file-BGWyJvmnZ5XrPjdbxZWRKi#:~:text=1%29%20,%28p%C3%A4%C3%A4t%C3%B6s%2017.3%20%3D%20A" TargetMode="External" /><Relationship Type="http://schemas.openxmlformats.org/officeDocument/2006/relationships/hyperlink" Id="rId35" Target="file://file-BGWyJvmnZ5XrPjdbxZWRKi#:~:text=4%29%20J%C3%A4rjestelm%C3%A4%20luo%3A%20,%28p%C3%A4%C3%A4t%C3%B6s%2017.3%20%3D%20A" TargetMode="External" /><Relationship Type="http://schemas.openxmlformats.org/officeDocument/2006/relationships/hyperlink" Id="rId127" Target="file://file-CFwL6PrWAjnbWgJtTSh312" TargetMode="External" /><Relationship Type="http://schemas.openxmlformats.org/officeDocument/2006/relationships/hyperlink" Id="rId76" Target="file://file-CFwL6PrWAjnbWgJtTSh312#:~:text=,audit%20trail" TargetMode="External" /><Relationship Type="http://schemas.openxmlformats.org/officeDocument/2006/relationships/hyperlink" Id="rId75" Target="file://file-CFwL6PrWAjnbWgJtTSh312#:~:text=4%29%20Ty%C3%B6paketointi%20" TargetMode="External" /><Relationship Type="http://schemas.openxmlformats.org/officeDocument/2006/relationships/hyperlink" Id="rId28" Target="file://file-CFwL6PrWAjnbWgJtTSh312#:~:text=Lukitusmalli%20,baseline%20%2B%20hyv%C3%A4ksytyt%20muutokset" TargetMode="External" /><Relationship Type="http://schemas.openxmlformats.org/officeDocument/2006/relationships/hyperlink" Id="rId126" Target="file://file-Ga2CroVu5WF111nNgkrxuq" TargetMode="External" /><Relationship Type="http://schemas.openxmlformats.org/officeDocument/2006/relationships/hyperlink" Id="rId52" Target="file://file-Ga2CroVu5WF111nNgkrxuq#:~:text=%28esim,annettu%2C%20arvo%20on%200" TargetMode="External" /><Relationship Type="http://schemas.openxmlformats.org/officeDocument/2006/relationships/hyperlink" Id="rId45" Target="file://file-Ga2CroVu5WF111nNgkrxuq#:~:text=%28kirjanpidon%20mukaan%29%20,tieto%3A%20%20se%20%20n%C3%A4kyy" TargetMode="External" /><Relationship Type="http://schemas.openxmlformats.org/officeDocument/2006/relationships/hyperlink" Id="rId27" Target="file://file-Ga2CroVu5WF111nNgkrxuq#:~:text=%E2%80%A2" TargetMode="External" /><Relationship Type="http://schemas.openxmlformats.org/officeDocument/2006/relationships/hyperlink" Id="rId105" Target="file://file-Ga2CroVu5WF111nNgkrxuq#:~:text=,sql%20%2C%20%20joilla" TargetMode="External" /><Relationship Type="http://schemas.openxmlformats.org/officeDocument/2006/relationships/hyperlink" Id="rId44" Target="file://file-Ga2CroVu5WF111nNgkrxuq#:~:text=AC%20,laskujen%20ja" TargetMode="External" /><Relationship Type="http://schemas.openxmlformats.org/officeDocument/2006/relationships/hyperlink" Id="rId53" Target="file://file-Ga2CroVu5WF111nNgkrxuq#:~:text=AC,arvoa%20ei%20ole" TargetMode="External" /><Relationship Type="http://schemas.openxmlformats.org/officeDocument/2006/relationships/hyperlink" Id="rId110" Target="file://file-Ga2CroVu5WF111nNgkrxuq#:~:text=AI%20%20kovakoodaa%20suomenkielisi%C3%A4%20tekstej%C3%A4,voi%20%20siis%20%20hy%C3%B6dynt%C3%A4%C3%A4" TargetMode="External" /><Relationship Type="http://schemas.openxmlformats.org/officeDocument/2006/relationships/hyperlink" Id="rId37" Target="file://file-Ga2CroVu5WF111nNgkrxuq#:~:text=BAC%20,Ehto" TargetMode="External" /><Relationship Type="http://schemas.openxmlformats.org/officeDocument/2006/relationships/hyperlink" Id="rId56" Target="file://file-Ga2CroVu5WF111nNgkrxuq#:~:text=CPI%20%3D%20EV%20%2F%20AC_STAR,CPI%20kertoo%20suhdelukuna%2C%20miten" TargetMode="External" /><Relationship Type="http://schemas.openxmlformats.org/officeDocument/2006/relationships/hyperlink" Id="rId55" Target="file://file-Ga2CroVu5WF111nNgkrxuq#:~:text=CPI%20,CPI%20kertoo%20suhdelukuna%2C%20miten" TargetMode="External" /><Relationship Type="http://schemas.openxmlformats.org/officeDocument/2006/relationships/hyperlink" Id="rId39" Target="file://file-Ga2CroVu5WF111nNgkrxuq#:~:text=EV%20,erillisen%C3%A4%20%20kentt%C3%A4n%C3%A4%20%20tallessa" TargetMode="External" /><Relationship Type="http://schemas.openxmlformats.org/officeDocument/2006/relationships/hyperlink" Id="rId49" Target="file://file-Ga2CroVu5WF111nNgkrxuq#:~:text=GHOST_OPEN%20,viikkoraportoinnin%20yhteydess%C3%A4%20k%C3%A4ytt%C3%B6liittym%C3%A4ss%C3%A4%20ja%20tallentuu" TargetMode="External" /><Relationship Type="http://schemas.openxmlformats.org/officeDocument/2006/relationships/hyperlink" Id="rId51" Target="file://file-Ga2CroVu5WF111nNgkrxuq#:~:text=Haamukulu%20sy%C3%B6tet%C3%A4%C3%A4n%20viikkoraportoinnin%20yhteydess%C3%A4%20k%C3%A4ytt%C3%B6liittym%C3%A4ss%C3%A4,annettu%2C%20arvo%20on%200" TargetMode="External" /><Relationship Type="http://schemas.openxmlformats.org/officeDocument/2006/relationships/hyperlink" Id="rId78" Target="file://file-Ga2CroVu5WF111nNgkrxuq#:~:text=budjetin%2C" TargetMode="External" /><Relationship Type="http://schemas.openxmlformats.org/officeDocument/2006/relationships/hyperlink" Id="rId54" Target="file://file-Ga2CroVu5WF111nNgkrxuq#:~:text=haamukulun%20summa%3A%20%20AC_STAR%20%3D,arvoa%20ei%20ole" TargetMode="External" /><Relationship Type="http://schemas.openxmlformats.org/officeDocument/2006/relationships/hyperlink" Id="rId117" Target="file://file-Ga2CroVu5WF111nNgkrxuq#:~:text=hy%C3%B6dynt%C3%A4%C3%A4%20UI,siihen%20kuuluvat%20kustannusrivit%20sek%C3%A4%20lasketut" TargetMode="External" /><Relationship Type="http://schemas.openxmlformats.org/officeDocument/2006/relationships/hyperlink" Id="rId111" Target="file://file-Ga2CroVu5WF111nNgkrxuq#:~:text=id%3An%20perusteella%20data%20%28multi,funktiota%20tekstien%20hakemiseen" TargetMode="External" /><Relationship Type="http://schemas.openxmlformats.org/officeDocument/2006/relationships/hyperlink" Id="rId43" Target="file://file-Ga2CroVu5WF111nNgkrxuq#:~:text=kontribuoi%20EV%2FCPI,rivin%C3%A4%C3%A4n%2C%20jotta%20johdon%20huomio%20kiinnittyy" TargetMode="External" /><Relationship Type="http://schemas.openxmlformats.org/officeDocument/2006/relationships/hyperlink" Id="rId108" Target="file://file-Ga2CroVu5WF111nNgkrxuq#:~:text=koodille%20%20,suomenkieliselle%20organisaatiolle%20%20tekstin" TargetMode="External" /><Relationship Type="http://schemas.openxmlformats.org/officeDocument/2006/relationships/hyperlink" Id="rId59" Target="file://file-Ga2CroVu5WF111nNgkrxuq#:~:text=laskemiseksi%20vaaditaan%2C%20ett%C3%A4%20EV%20on,Skeemassa" TargetMode="External" /><Relationship Type="http://schemas.openxmlformats.org/officeDocument/2006/relationships/hyperlink" Id="rId24" Target="file://file-Ga2CroVu5WF111nNgkrxuq#:~:text=lasketaan%20EV%2C%20%20CPI%20,s%C3%A4%C3%A4nt%C3%B6%20%22suunnitelma" TargetMode="External" /><Relationship Type="http://schemas.openxmlformats.org/officeDocument/2006/relationships/hyperlink" Id="rId106" Target="file://file-Ga2CroVu5WF111nNgkrxuq#:~:text=luotiin%20%20normalisoitu%20%20sanastotaulu,ja%20kielikohtaisesti%20sanastossa" TargetMode="External" /><Relationship Type="http://schemas.openxmlformats.org/officeDocument/2006/relationships/hyperlink" Id="rId23" Target="file://file-Ga2CroVu5WF111nNgkrxuq#:~:text=match%20at%20L231%20lasketaan%20EV%2C,s%C3%A4%C3%A4nt%C3%B6%20%22suunnitelma" TargetMode="External" /><Relationship Type="http://schemas.openxmlformats.org/officeDocument/2006/relationships/hyperlink" Id="rId80" Target="file://file-Ga2CroVu5WF111nNgkrxuq#:~:text=match%20at%20L353%20toteuman%20,ja%20%20muita%20mittareita" TargetMode="External" /><Relationship Type="http://schemas.openxmlformats.org/officeDocument/2006/relationships/hyperlink" Id="rId85" Target="file://file-Ga2CroVu5WF111nNgkrxuq#:~:text=match%20at%20L374%20n%C3%A4kym%C3%A4ss%C3%A4%20EV,EV%2FCPI%20vaativat%20valmiusasteen" TargetMode="External" /><Relationship Type="http://schemas.openxmlformats.org/officeDocument/2006/relationships/hyperlink" Id="rId38" Target="file://file-Ga2CroVu5WF111nNgkrxuq#:~:text=match%20at%20L392%20BAC,muuten%20baselinea%20ei" TargetMode="External" /><Relationship Type="http://schemas.openxmlformats.org/officeDocument/2006/relationships/hyperlink" Id="rId107" Target="file://file-Ga2CroVu5WF111nNgkrxuq#:~:text=match%20at%20L604%20koodille%20,suomenkieliselle%20organisaatiolle%20%20tekstin" TargetMode="External" /><Relationship Type="http://schemas.openxmlformats.org/officeDocument/2006/relationships/hyperlink" Id="rId25" Target="file://file-Ga2CroVu5WF111nNgkrxuq#:~:text=migrations%2F0001_init,merkitys%20ja%20estet%C3%A4%C3%A4n%20historiatietojen%20muokkaus" TargetMode="External" /><Relationship Type="http://schemas.openxmlformats.org/officeDocument/2006/relationships/hyperlink" Id="rId26" Target="file://file-Ga2CroVu5WF111nNgkrxuq#:~:text=mm.%20%20append,budjetti%2Ftavoitearvio%2C%20toteumat%2C%20work" TargetMode="External" /><Relationship Type="http://schemas.openxmlformats.org/officeDocument/2006/relationships/hyperlink" Id="rId63" Target="file://file-Ga2CroVu5WF111nNgkrxuq#:~:text=my%C3%B6s%20%20selvitett%C3%A4vien%20kokonaissumman%20erillisen%C3%A4,rivin%C3%A4%C3%A4n%2C%20jotta%20johdon%20huomio%20kiinnittyy" TargetMode="External" /><Relationship Type="http://schemas.openxmlformats.org/officeDocument/2006/relationships/hyperlink" Id="rId41" Target="file://file-Ga2CroVu5WF111nNgkrxuq#:~:text=n%C3%A4kym%C3%A4ss%C3%A4%20EV%20ja%20CPI%20n%C3%A4kyiv%C3%A4t,EV%2FCPI%20vaativat%20valmiusasteen" TargetMode="External" /><Relationship Type="http://schemas.openxmlformats.org/officeDocument/2006/relationships/hyperlink" Id="rId109" Target="file://file-Ga2CroVu5WF111nNgkrxuq#:~:text=organisaatioeristys%2C%20joten%20AI%3Alle%20tulee%20muistuttaa,Codexia%20luomaan%20%20UI" TargetMode="External" /><Relationship Type="http://schemas.openxmlformats.org/officeDocument/2006/relationships/hyperlink" Id="rId95" Target="file://file-Ga2CroVu5WF111nNgkrxuq#:~:text=organisaation%20tuki%20ja%20roolipohjainen%20k%C3%A4ytt%C3%B6oikeus,tietoturvaan%20liittyv%C3%A4t%20secure%20wrapperit%20hyv%C3%A4ksynt%C3%A4toimintoihin" TargetMode="External" /><Relationship Type="http://schemas.openxmlformats.org/officeDocument/2006/relationships/hyperlink" Id="rId42" Target="file://file-Ga2CroVu5WF111nNgkrxuq#:~:text=osuutta%20euroina%3A%20esim,yhteenvetoon%2C%20mutta%20todenn%C3%A4k%C3%B6isimmin%20vain%20n%C3%A4kym%C3%A4ss%C3%A4" TargetMode="External" /><Relationship Type="http://schemas.openxmlformats.org/officeDocument/2006/relationships/hyperlink" Id="rId48" Target="file://file-Ga2CroVu5WF111nNgkrxuq#:~:text=p%C3%A4ivitty%C3%A4%20%20viiveell%C3%A4kin%20,Actual_cost_lines" TargetMode="External" /><Relationship Type="http://schemas.openxmlformats.org/officeDocument/2006/relationships/hyperlink" Id="rId47" Target="file://file-Ga2CroVu5WF111nNgkrxuq#:~:text=projektissa%20on%2C%20ett%C3%A4%20toteumatiedot%20tulevat,Actual_cost_lines" TargetMode="External" /><Relationship Type="http://schemas.openxmlformats.org/officeDocument/2006/relationships/hyperlink" Id="rId40" Target="file://file-Ga2CroVu5WF111nNgkrxuq#:~:text=py%C3%B6ristettyn%C3%A4%20%20kahden%20%20desimaalin,tai%20mahdollisesti" TargetMode="External" /><Relationship Type="http://schemas.openxmlformats.org/officeDocument/2006/relationships/hyperlink" Id="rId77" Target="file://file-Ga2CroVu5WF111nNgkrxuq#:~:text=raportointia%20varten%20,koko%20%20projektin%20budjetin" TargetMode="External" /><Relationship Type="http://schemas.openxmlformats.org/officeDocument/2006/relationships/hyperlink" Id="rId118" Target="file://file-Ga2CroVu5WF111nNgkrxuq#:~:text=seuranta,tuottaa%20%20todenn%C3%A4k%C3%B6isesti%20%20kelvollisen" TargetMode="External" /><Relationship Type="http://schemas.openxmlformats.org/officeDocument/2006/relationships/hyperlink" Id="rId46" Target="file://file-Ga2CroVu5WF111nNgkrxuq#:~:text=sitten%20n%C3%A4kym%C3%A4t%20summaavat%20kullekin%20ty%C3%B6paketille,Actual_cost_lines" TargetMode="External" /><Relationship Type="http://schemas.openxmlformats.org/officeDocument/2006/relationships/hyperlink" Id="rId58" Target="file://file-Ga2CroVu5WF111nNgkrxuq#:~:text=tarkoittaa%20%20budjetin%20mukaisesti%2C%20yli,Skeemassa" TargetMode="External" /><Relationship Type="http://schemas.openxmlformats.org/officeDocument/2006/relationships/hyperlink" Id="rId50" Target="file://file-Ga2CroVu5WF111nNgkrxuq#:~:text=tehdyst%C3%A4%20ty%C3%B6st%C3%A4%2C%20mutta%20jotka%20eiv%C3%A4t,on%20%20mukana%20%20n%C3%A4kym%C3%A4n" TargetMode="External" /><Relationship Type="http://schemas.openxmlformats.org/officeDocument/2006/relationships/hyperlink" Id="rId57" Target="file://file-Ga2CroVu5WF111nNgkrxuq#:~:text=tehokkaasti%20%20rahaa%20%20on,Ehto%3A%20CPI%3An" TargetMode="External" /><Relationship Type="http://schemas.openxmlformats.org/officeDocument/2006/relationships/hyperlink" Id="rId81" Target="file://file-Ga2CroVu5WF111nNgkrxuq#:~:text=toteuman%20,ja%20%20muita%20mittareita" TargetMode="External" /><Relationship Type="http://schemas.openxmlformats.org/officeDocument/2006/relationships/hyperlink" Id="rId125" Target="file://file-Jp1LkFanh5GwiDjbvbnQxB" TargetMode="External" /><Relationship Type="http://schemas.openxmlformats.org/officeDocument/2006/relationships/hyperlink" Id="rId61" Target="file://file-Jp1LkFanh5GwiDjbvbnQxB#:~:text=,1%2F2%2C%20tuotantojohtaja%202%2F2" TargetMode="External" /><Relationship Type="http://schemas.openxmlformats.org/officeDocument/2006/relationships/hyperlink" Id="rId22" Target="file://file-Jp1LkFanh5GwiDjbvbnQxB#:~:text=,PM%201%2F2%2C%20tuotantojohtaja%202%2F2" TargetMode="External" /><Relationship Type="http://schemas.openxmlformats.org/officeDocument/2006/relationships/hyperlink" Id="rId64" Target="file://file-Jp1LkFanh5GwiDjbvbnQxB#:~:text=,liit%C3%A4%20ty%C3%B6pakettiin%20%2F%20luo%20uusi" TargetMode="External" /><Relationship Type="http://schemas.openxmlformats.org/officeDocument/2006/relationships/hyperlink" Id="rId114" Target="file://file-Jp1LkFanh5GwiDjbvbnQxB#:~:text=,tekstit%20terminology_get_dictionary%28org%2C%20locale" TargetMode="External" /><Relationship Type="http://schemas.openxmlformats.org/officeDocument/2006/relationships/hyperlink" Id="rId113" Target="file://file-Jp1LkFanh5GwiDjbvbnQxB#:~:text=Periaate%20,tekstit%20terminology_get_dictionary%28org%2C%20locale" TargetMode="External" /><Relationship Type="http://schemas.openxmlformats.org/officeDocument/2006/relationships/hyperlink" Id="rId74" Target="file://file-Jp1LkFanh5GwiDjbvbnQxB#:~:text=SETUP%20%28baseline,PM%201%2F2%2C%20tuotantojohtaja%202%2F2" TargetMode="External" /><Relationship Type="http://schemas.openxmlformats.org/officeDocument/2006/relationships/hyperlink" Id="rId86" Target="file://file-Jp1LkFanh5GwiDjbvbnQxB#:~:text=TRACK%20%28seuranta%29%20,liit%C3%A4%20ty%C3%B6pakettiin%20%2F%20luo%20uusi" TargetMode="External" /><Relationship Type="http://schemas.openxmlformats.org/officeDocument/2006/relationships/hyperlink" Id="rId116" Target="file://file-Jp1LkFanh5GwiDjbvbnQxB#:~:text=UI%20%E2%80%93%20One" TargetMode="External" /><Relationship Type="http://schemas.openxmlformats.org/officeDocument/2006/relationships/hyperlink" Id="rId115" Target="file://file-Jp1LkFanh5GwiDjbvbnQxB#:~:text=tavoitearviorivit%2C%20hyv%C3%A4ksynt%C3%A4ketju%29%20,PM%201%2F2%2C%20tuotantojohtaja%202%2F2" TargetMode="External" /><Relationship Type="http://schemas.openxmlformats.org/officeDocument/2006/relationships/hyperlink" Id="rId133" Target="file://file-Ke4fZ5LbU8BXQBQHrcPsLb" TargetMode="External" /><Relationship Type="http://schemas.openxmlformats.org/officeDocument/2006/relationships/hyperlink" Id="rId83" Target="file://file-Ke4fZ5LbU8BXQBQHrcPsLb#:~:text=3%29%20Katso%20KPI,e66b6722af50%27%20ORDER%20BY%20work_phase_name%3B" TargetMode="External" /><Relationship Type="http://schemas.openxmlformats.org/officeDocument/2006/relationships/hyperlink" Id="rId82" Target="file://file-Ke4fZ5LbU8BXQBQHrcPsLb#:~:text=NOTICE%20tuli%20ja%2Ftai%20n%C3%A4yt%C3%A4%20%60,lista" TargetMode="External" /><Relationship Type="http://schemas.openxmlformats.org/officeDocument/2006/relationships/hyperlink" Id="rId124" Target="file://file-MLoJb1vaR4CvUFdfffbbnR" TargetMode="External" /><Relationship Type="http://schemas.openxmlformats.org/officeDocument/2006/relationships/hyperlink" Id="rId96" Target="file://file-MLoJb1vaR4CvUFdfffbbnR#:~:text=,IF%20NOT%20EXISTS%20organization_id%20uuid" TargetMode="External" /><Relationship Type="http://schemas.openxmlformats.org/officeDocument/2006/relationships/hyperlink" Id="rId94" Target="file://file-MLoJb1vaR4CvUFdfffbbnR#:~:text=,Kirjaa%20viikkop%C3%A4ivitykset%2C%20ghostit%20ja%20korjausehdotukset" TargetMode="External" /><Relationship Type="http://schemas.openxmlformats.org/officeDocument/2006/relationships/hyperlink" Id="rId92" Target="file://file-MLoJb1vaR4CvUFdfffbbnR#:~:text=,NOT%20NULL%20DEFAULT%20true" TargetMode="External" /><Relationship Type="http://schemas.openxmlformats.org/officeDocument/2006/relationships/hyperlink" Id="rId90" Target="file://file-MLoJb1vaR4CvUFdfffbbnR#:~:text=,created_by%20text%20NOT%20NULL" TargetMode="External" /><Relationship Type="http://schemas.openxmlformats.org/officeDocument/2006/relationships/hyperlink" Id="rId103" Target="file://file-MLoJb1vaR4CvUFdfffbbnR#:~:text=,esim" TargetMode="External" /><Relationship Type="http://schemas.openxmlformats.org/officeDocument/2006/relationships/hyperlink" Id="rId98" Target="file://file-MLoJb1vaR4CvUFdfffbbnR#:~:text=,role_code" TargetMode="External" /><Relationship Type="http://schemas.openxmlformats.org/officeDocument/2006/relationships/hyperlink" Id="rId21" Target="file://file-MLoJb1vaR4CvUFdfffbbnR#:~:text=,sovellusta%20varten" TargetMode="External" /><Relationship Type="http://schemas.openxmlformats.org/officeDocument/2006/relationships/hyperlink" Id="rId97" Target="file://file-MLoJb1vaR4CvUFdfffbbnR#:~:text=ADD%20COLUMN%20IF%20NOT%20EXISTS,organization_id%20uuid" TargetMode="External" /><Relationship Type="http://schemas.openxmlformats.org/officeDocument/2006/relationships/hyperlink" Id="rId102" Target="file://file-MLoJb1vaR4CvUFdfffbbnR#:~:text=CREATE%20TABLE%20IF%20NOT%20EXISTS,NOT%20NULL%20DEFAULT%20true" TargetMode="External" /><Relationship Type="http://schemas.openxmlformats.org/officeDocument/2006/relationships/hyperlink" Id="rId91" Target="file://file-MLoJb1vaR4CvUFdfffbbnR#:~:text=CREATE%20TABLE%20IF%20NOT%20EXISTS,role_code" TargetMode="External" /><Relationship Type="http://schemas.openxmlformats.org/officeDocument/2006/relationships/hyperlink" Id="rId93" Target="file://file-MLoJb1vaR4CvUFdfffbbnR#:~:text=CREATE%20TABLE%20IF%20NOT%20EXISTS,role_code%2C%20permission_code%29" TargetMode="External" /><Relationship Type="http://schemas.openxmlformats.org/officeDocument/2006/relationships/hyperlink" Id="rId99" Target="file://file-MLoJb1vaR4CvUFdfffbbnR#:~:text=assignment_id%20uuid%20PRIMARY%20KEY%20DEFAULT,role_code" TargetMode="External" /><Relationship Type="http://schemas.openxmlformats.org/officeDocument/2006/relationships/hyperlink" Id="rId132" Target="file://file-Rm3ZxTdMza6KDuRajCngrj" TargetMode="External" /><Relationship Type="http://schemas.openxmlformats.org/officeDocument/2006/relationships/hyperlink" Id="rId84" Target="file://file-Rm3ZxTdMza6KDuRajCngrj#:~:text=,v16%2C%20teill%C3%A4%20target_littera_id%20%2B%20allocated_amount" TargetMode="External" /><Relationship Type="http://schemas.openxmlformats.org/officeDocument/2006/relationships/hyperlink" Id="rId65" Target="file://file-Rm3ZxTdMza6KDuRajCngrj#:~:text=,v_amount_col%20text%3B%20v_sql%20text%3B%20BEGIN" TargetMode="External" /><Relationship Type="http://schemas.openxmlformats.org/officeDocument/2006/relationships/hyperlink" Id="rId66" Target="file://file-Rm3ZxTdMza6KDuRajCngrj#:~:text=IF%20v_rel%20IS%20NULL%20THEN,AS%20unmapped_total%20WHERE%20false%27%3B%20RETURN" TargetMode="External" /><Relationship Type="http://schemas.openxmlformats.org/officeDocument/2006/relationships/hyperlink" Id="rId131" Target="file://file-UUZZnYuVFGmct3ffSe45gF" TargetMode="External" /><Relationship Type="http://schemas.openxmlformats.org/officeDocument/2006/relationships/hyperlink" Id="rId33" Target="file://file-UUZZnYuVFGmct3ffSe45gF#:~:text=,TG_TABLE_NAME" TargetMode="External" /><Relationship Type="http://schemas.openxmlformats.org/officeDocument/2006/relationships/hyperlink" Id="rId73" Target="file://file-UUZZnYuVFGmct3ffSe45gF#:~:text=,duplicate_object%20THEN%20NULL%3B%20END" TargetMode="External" /><Relationship Type="http://schemas.openxmlformats.org/officeDocument/2006/relationships/hyperlink" Id="rId69" Target="file://file-UUZZnYuVFGmct3ffSe45gF#:~:text=,mapping_version_id%29%20ON%20DELETE%20CASCADE" TargetMode="External" /><Relationship Type="http://schemas.openxmlformats.org/officeDocument/2006/relationships/hyperlink" Id="rId34" Target="file://file-UUZZnYuVFGmct3ffSe45gF#:~:text=,payload%20jsonb%20NOT%20NULL" TargetMode="External" /><Relationship Type="http://schemas.openxmlformats.org/officeDocument/2006/relationships/hyperlink" Id="rId71" Target="file://file-UUZZnYuVFGmct3ffSe45gF#:~:text=CREATE%20TABLE%20IF%20NOT%20EXISTS,mapping_version_status%20NOT%20NULL%20DEFAULT%20%27DRAFT" TargetMode="External" /><Relationship Type="http://schemas.openxmlformats.org/officeDocument/2006/relationships/hyperlink" Id="rId88" Target="file://file-UUZZnYuVFGmct3ffSe45gF#:~:text=REFERENCES%20litteras,1%29%29" TargetMode="External" /><Relationship Type="http://schemas.openxmlformats.org/officeDocument/2006/relationships/hyperlink" Id="rId70" Target="file://file-UUZZnYuVFGmct3ffSe45gF#:~:text=allocation_rule%20mapping_allocation_rule%20NOT%20NULL%2C%20allocation_value,kaikki%20kustannuslajit%20note%20text" TargetMode="External" /><Relationship Type="http://schemas.openxmlformats.org/officeDocument/2006/relationships/hyperlink" Id="rId101" Target="file://file-UUZZnYuVFGmct3ffSe45gF#:~:text=approved_at%20timestamptz%2C%20approved_by%20text%2C%20CONSTRAINT,valid_from%29" TargetMode="External" /><Relationship Type="http://schemas.openxmlformats.org/officeDocument/2006/relationships/hyperlink" Id="rId87" Target="file://file-UUZZnYuVFGmct3ffSe45gF#:~:text=comment%20text%2C%20,0..1%20kpi_value%20numeric%2814%2C6" TargetMode="External" /><Relationship Type="http://schemas.openxmlformats.org/officeDocument/2006/relationships/hyperlink" Id="rId100" Target="file://file-UUZZnYuVFGmct3ffSe45gF#:~:text=created_at%20timestamptz%20NOT%20NULL%20DEFAULT,valid_from%29" TargetMode="External" /><Relationship Type="http://schemas.openxmlformats.org/officeDocument/2006/relationships/hyperlink" Id="rId72" Target="file://file-UUZZnYuVFGmct3ffSe45gF#:~:text=project_id%20uuid%20NOT%20NULL%20REFERENCES,timestamptz%20NOT%20NULL%20DEFAULT%20now" TargetMode="External" /><Relationship Type="http://schemas.openxmlformats.org/officeDocument/2006/relationships/hyperlink" Id="rId128" Target="https://ipma.world/iso-21508-earned-value-management-project-programme-management-released/" TargetMode="External" /><Relationship Type="http://schemas.openxmlformats.org/officeDocument/2006/relationships/hyperlink" Id="rId29" Target="https://ipma.world/iso-21508-earned-value-management-project-programme-management-released/#:~:text=consistent%20view%20of%20performance%20metrics%2C,baselines%2C%20authorized%20users%20and%20procedures" TargetMode="External" /><Relationship Type="http://schemas.openxmlformats.org/officeDocument/2006/relationships/hyperlink" Id="rId67" Target="https://ipma.world/iso-21508-earned-value-management-project-programme-management-released/#:~:text=from%20metrics%20established%20for%20the,baselines%2C%20authorized%20users%20and%20procedures" TargetMode="External" /><Relationship Type="http://schemas.openxmlformats.org/officeDocument/2006/relationships/hyperlink" Id="rId30" Target="https://ipma.world/iso-21508-earned-value-management-project-programme-management-released/#:~:text=that%20should%20be%20defined%20through,baselines%2C%20authorized%20users%20and%20procedures" TargetMode="External" /><Relationship Type="http://schemas.openxmlformats.org/officeDocument/2006/relationships/hyperlink" Id="rId129" Target="https://www.ndia.org/-/media/sites/ndia/divisions/ipmd/division-guides-and-resources/ndia-ipmd-contracting-with-evm-requirements-2022-09-13.pdf?download=1" TargetMode="External" /><Relationship Type="http://schemas.openxmlformats.org/officeDocument/2006/relationships/hyperlink" Id="rId31" Target="https://www.ndia.org/-/media/sites/ndia/divisions/ipmd/division-guides-and-resources/ndia-ipmd-contracting-with-evm-requirements-2022-09-13.pdf?download=1#:~:text=The%20PMB%20should%20always%20reflect,A%20best%20practice%20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fi</dc:language>
  <cp:keywords/>
  <dcterms:created xsi:type="dcterms:W3CDTF">2026-01-18T20:07:08Z</dcterms:created>
  <dcterms:modified xsi:type="dcterms:W3CDTF">2026-01-18T20:07:08Z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