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择时靠谱吗</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观察沪深300指数、贵州茅台、梦洁股份k线走势，分别记录并计算它们近十年的上涨总天数和下降总天数，分别计算出它们上涨和下跌总天数各占这十年总观察天数的百分比，从而得到抓取到上涨时机的概率和抓取到下跌时机的概率。</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情况一：保持不动持有上述三只十年。分别计算这三只的十年总收益率。</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情况二：择时恰好择到了全部上涨期。分别计算在上述三只剔除了下跌天数后，把剩下的上涨天数的K线拼接起来的除开下跌时期的十年总收益率。</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情况三：择时错过了25个涨幅最大的时间段。分别计算上述三只剔除了25个涨幅最大的时间段后的十年总收益率。</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将第二问、第三问和第四问的结果进行比较，你发现这三种情况的结果有什么差距、有多大的差距。</w:t>
      </w:r>
    </w:p>
    <w:p>
      <w:pPr>
        <w:numPr>
          <w:numId w:val="0"/>
        </w:numPr>
        <w:rPr>
          <w:rFonts w:hint="default" w:ascii="宋体" w:hAnsi="宋体" w:eastAsia="宋体" w:cs="宋体"/>
          <w:sz w:val="28"/>
          <w:szCs w:val="28"/>
          <w:lang w:val="en-US" w:eastAsia="zh-CN"/>
        </w:rPr>
      </w:pPr>
      <w:bookmarkStart w:id="0" w:name="_GoBack"/>
      <w:bookmarkEnd w:id="0"/>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在进行了上述研究计算后，你还会选择择时交易吗？如果你选择择时，你将会使用什么方式使你的择时更加准确以获得较大收益？</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你有偏向于择时交易和长期持有这两种不同交易策略的亲人和朋友吗？与他们进行交流，看看他们的长期收益率有什么区别，他们大概是怎么选择和进行交易的。了解一下他们印象深刻的交易经历并说说你的感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77136"/>
    <w:multiLevelType w:val="singleLevel"/>
    <w:tmpl w:val="8957713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Q4ZDhjOWRlZjUyOWNmMzc4ZGFjNWY4MmY5NGEwMjEifQ=="/>
  </w:docVars>
  <w:rsids>
    <w:rsidRoot w:val="23374078"/>
    <w:rsid w:val="09750FC4"/>
    <w:rsid w:val="146B33CB"/>
    <w:rsid w:val="23374078"/>
    <w:rsid w:val="3FBEBCD1"/>
    <w:rsid w:val="4D970294"/>
    <w:rsid w:val="54FB2C88"/>
    <w:rsid w:val="5503044A"/>
    <w:rsid w:val="75AE5DE1"/>
    <w:rsid w:val="79FFB606"/>
    <w:rsid w:val="7DB96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450</Words>
  <Characters>454</Characters>
  <Lines>0</Lines>
  <Paragraphs>0</Paragraphs>
  <TotalTime>5</TotalTime>
  <ScaleCrop>false</ScaleCrop>
  <LinksUpToDate>false</LinksUpToDate>
  <CharactersWithSpaces>454</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2023-06-30T13:10:00Z</dcterms:created>
  <dc:creator>星琪儿</dc:creator>
  <cp:lastModifiedBy>Flightless</cp:lastModifiedBy>
  <dcterms:modified xsi:type="dcterms:W3CDTF">2023-07-19T18:08:49Z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5878264EAB024820A66B6B46E8D6F4B2_13</vt:lpwstr>
  </property>
</Properties>
</file>