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ACTIVIDADES TEMA 1-Ficheros: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Actividad T1A1: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cinco acciones cada uno de vosotros donde utilicéis una base de datos “inconscientemente”.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Iniciar sesión en cualquier 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Jugar a cualquier videojuego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Consultar las notas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Revisar el correo electrónico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Utilizar un gestor de contraseñas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Actividad T1A2: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Busca en el equipo un archivo de texto, por ejemplo, un fichero.txt y ábrelo con el bloc de notas, ¿Puedes leer su contenido? Haz una captura de pantalla.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37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Busca en el equipo archivos de tipo binario, por ejemplo, un fichero.doc y un fichero.pdf. Ábrelos con el bloc de notas y observa lo que ves. ¿Puedes leer su contenido? Haz una captura de pantalla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503997" cy="210695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997" cy="210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56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Actividad T1A3: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¿Qué problema crees que presentan los ficheros de acceso directo con respecto a los ficheros de acceso secuencial?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Actividad T1A4: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¿Qué problema crees que presentan los ficheros indexados con respecto a los ficheros de acceso aleatorio?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Actividad T1A5: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información sobre los ficheros de estructura XML y JSON. ¿En qué se diferencian? ¿Cuáles son sus principales usos?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información sobre los ficheros de estructura CSV. ¿Qué son? ¿Con qué programa suelen identificarse?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Actividad T1A6: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de clasificar los ficheros según los datos que contienen, su estructura y su forma de acceso. ¿qué otras formas de clasificación existen?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esquema con todas las formas de clasificación de ficheros encontradas.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Actividad T1A7: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Busca en internet distintos soportes de almacenamiento de la información, tanto modernos como antiguos, Ordénalos cronológicamente.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El formato del fichero para entregar la actividad será el siguiente: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1DAW_BBDD_T1Ficheros_nombre_apellidos.pdf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