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297E0D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 w:rsidR="00E74BAC">
          <w:rPr>
            <w:rStyle w:val="Hyperlink"/>
            <w:rFonts w:ascii="Segoe UI Semilight" w:hAnsi="Segoe UI Semilight" w:cs="Segoe UI Semilight"/>
          </w:rPr>
          <w:t>https://store.office.com/destroute?osid=152ee5b1-f967-4f4f-bc9a-4851c79b8f6e&amp;ai=WA104382081&amp;rs=en-US&amp;ta=HE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97E0D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ore.office.com:443/destroute?osid=152ee5b1-f967-4f4f-bc9a-4851c79b8f6e&amp;ai=WA104382081&amp;rs=en-US&amp;ta=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e16aef-f63e-42eb-ab1a-0f990d7344e8}">
  <we:reference id="WA104382081" version="1.35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64115D-7895-483F-8D34-65BDD595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2021-11-17T07:27:00Z</dcterms:created>
  <dcterms:modified xsi:type="dcterms:W3CDTF">2021-11-17T07:27:00Z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