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Customer Service</w:t>
      </w:r>
    </w:p>
    <w:p>
      <w:r>
        <w:t>Title of Insight: AI-Powered Customer Support Transformation</w:t>
      </w:r>
    </w:p>
    <w:p>
      <w:r>
        <w:t>Why This Matters</w:t>
      </w:r>
    </w:p>
    <w:p>
      <w:r>
        <w:t>Customer expectations for support are rising while budgets remain constrained.</w:t>
      </w:r>
    </w:p>
    <w:p>
      <w:r>
        <w:t>- AI chatbots now handle 45% of routine inquiries</w:t>
      </w:r>
    </w:p>
    <w:p>
      <w:r>
        <w:t>- Response times reduced by 60% with AI triage</w:t>
      </w:r>
    </w:p>
    <w:p>
      <w:r>
        <w:t>- Customer satisfaction scores improve with faster resolution</w:t>
      </w:r>
    </w:p>
    <w:p>
      <w:r>
        <w:t>Implications</w:t>
      </w:r>
    </w:p>
    <w:p>
      <w:r>
        <w:t>Organizations that delay AI adoption in customer service risk losing customers to competitors offering superior digital experiences.</w:t>
      </w:r>
    </w:p>
    <w:p>
      <w:r>
        <w:t>Probing Questions</w:t>
      </w:r>
    </w:p>
    <w:p>
      <w:r>
        <w:t>What is your current AI adoption level in customer service?</w:t>
      </w:r>
    </w:p>
    <w:p>
      <w:r>
        <w:t>How do you measure customer effort score?</w:t>
      </w:r>
    </w:p>
    <w:p>
      <w:r>
        <w:t>AskGartner Prompts to Recommend</w:t>
      </w:r>
    </w:p>
    <w:p>
      <w:r>
        <w:t>What are best practices for AI-human handoff in support?</w:t>
      </w:r>
    </w:p>
    <w:p>
      <w:pPr>
        <w:pStyle w:val="Heading2"/>
      </w:pPr>
      <w:r>
        <w:t>VP of Digital Innovation</w:t>
      </w:r>
    </w:p>
    <w:p>
      <w:r>
        <w:t>Title of Insight: Building a Digital Innovation Lab</w:t>
      </w:r>
    </w:p>
    <w:p>
      <w:r>
        <w:t>Why This Matters</w:t>
      </w:r>
    </w:p>
    <w:p>
      <w:r>
        <w:t>Innovation labs are evolving from experiments to enterprise capabilities.</w:t>
      </w:r>
    </w:p>
    <w:p>
      <w:r>
        <w:t>1. Labs must demonstrate business value within 12-18 months</w:t>
      </w:r>
    </w:p>
    <w:p>
      <w:r>
        <w:t>2. Successful labs integrate with core business operations</w:t>
      </w:r>
    </w:p>
    <w:p>
      <w:r>
        <w:t>3. Talent strategy is critical for sustainability</w:t>
      </w:r>
    </w:p>
    <w:p>
      <w:r>
        <w:t>Implications</w:t>
      </w:r>
    </w:p>
    <w:p>
      <w:r>
        <w:t>Innovation leaders who align lab initiatives with strategic priorities achieve higher success rates and executive support.</w:t>
      </w:r>
    </w:p>
    <w:p>
      <w:r>
        <w:t>Probing Questions</w:t>
      </w:r>
    </w:p>
    <w:p>
      <w:r>
        <w:t>How is your innovation lab connected to business units?</w:t>
      </w:r>
    </w:p>
    <w:p>
      <w:r>
        <w:t>What metrics define success for your lab?</w:t>
      </w:r>
    </w:p>
    <w:p>
      <w:r>
        <w:t>AskGartner Prompts to Recommend</w:t>
      </w:r>
    </w:p>
    <w:p>
      <w:r>
        <w:t>How should we structure innovation lab governance?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