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YLG AI Prompt Generation</w:t>
        <w:br/>
        <w:t>Improvement Program</w:t>
      </w:r>
    </w:p>
    <w:p>
      <w:pPr>
        <w:pStyle w:val="Subtitle"/>
      </w:pPr>
      <w:r>
        <w:t>Project Plan and Development Specification</w:t>
      </w:r>
    </w:p>
    <w:tbl>
      <w:tblPr>
        <w:tblStyle w:val="TableGrid"/>
        <w:tblW w:type="auto" w:w="0"/>
        <w:tblLook w:firstColumn="1" w:firstRow="1" w:lastColumn="0" w:lastRow="0" w:noHBand="0" w:noVBand="1" w:val="04A0"/>
      </w:tblPr>
      <w:tblGrid>
        <w:gridCol w:w="10166"/>
      </w:tblGrid>
      <w:tr>
        <w:tc>
          <w:tcPr>
            <w:tcW w:type="dxa" w:w="10166"/>
            <w:shd w:fill="DCEAF7"/>
          </w:tcPr>
          <w:p>
            <w:pPr>
              <w:spacing w:before="100" w:after="100"/>
              <w:ind w:left="173" w:right="173"/>
            </w:pPr>
            <w:r>
              <w:rPr>
                <w:b/>
                <w:color w:val="17324D"/>
                <w:sz w:val="20"/>
              </w:rPr>
              <w:t>Project objective: transform the current AI-assisted prompt generator from an idea-generation feature into a balanced, auditable, measurement-ready system for producing client AI visibility prompt panels.</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Pr>
          <w:p>
            <w:r>
              <w:rPr>
                <w:b/>
                <w:color w:val="FFFFFF"/>
                <w:sz w:val="17"/>
              </w:rPr>
              <w:t>Document Field</w:t>
            </w:r>
          </w:p>
        </w:tc>
        <w:tc>
          <w:tcPr>
            <w:tcW w:type="dxa" w:w="5083"/>
            <w:shd w:fill="17324D"/>
          </w:tcPr>
          <w:p>
            <w:r>
              <w:rPr>
                <w:b/>
                <w:color w:val="FFFFFF"/>
                <w:sz w:val="17"/>
              </w:rPr>
              <w:t>Value</w:t>
            </w:r>
          </w:p>
        </w:tc>
      </w:tr>
      <w:tr>
        <w:tc>
          <w:tcPr>
            <w:tcW w:type="dxa" w:w="5083"/>
            <w:vAlign w:val="top"/>
          </w:tcPr>
          <w:p>
            <w:pPr>
              <w:spacing w:after="20"/>
            </w:pPr>
            <w:r>
              <w:rPr>
                <w:sz w:val="17"/>
              </w:rPr>
              <w:t>Prepared for</w:t>
            </w:r>
          </w:p>
        </w:tc>
        <w:tc>
          <w:tcPr>
            <w:tcW w:type="dxa" w:w="5083"/>
            <w:vAlign w:val="top"/>
          </w:tcPr>
          <w:p>
            <w:pPr>
              <w:spacing w:after="20"/>
            </w:pPr>
            <w:r>
              <w:rPr>
                <w:sz w:val="17"/>
              </w:rPr>
              <w:t>Your Local Genius (YLG)</w:t>
            </w:r>
          </w:p>
        </w:tc>
      </w:tr>
      <w:tr>
        <w:tc>
          <w:tcPr>
            <w:tcW w:type="dxa" w:w="5083"/>
            <w:vAlign w:val="top"/>
            <w:shd w:fill="F4F7FA"/>
          </w:tcPr>
          <w:p>
            <w:pPr>
              <w:spacing w:after="20"/>
            </w:pPr>
            <w:r>
              <w:rPr>
                <w:sz w:val="17"/>
              </w:rPr>
              <w:t>Repository</w:t>
            </w:r>
          </w:p>
        </w:tc>
        <w:tc>
          <w:tcPr>
            <w:tcW w:type="dxa" w:w="5083"/>
            <w:vAlign w:val="top"/>
            <w:shd w:fill="F4F7FA"/>
          </w:tcPr>
          <w:p>
            <w:pPr>
              <w:spacing w:after="20"/>
            </w:pPr>
            <w:r>
              <w:rPr>
                <w:sz w:val="17"/>
              </w:rPr>
              <w:t>PenZenMaster/workflow-portal</w:t>
            </w:r>
          </w:p>
        </w:tc>
      </w:tr>
      <w:tr>
        <w:tc>
          <w:tcPr>
            <w:tcW w:type="dxa" w:w="5083"/>
            <w:vAlign w:val="top"/>
          </w:tcPr>
          <w:p>
            <w:pPr>
              <w:spacing w:after="20"/>
            </w:pPr>
            <w:r>
              <w:rPr>
                <w:sz w:val="17"/>
              </w:rPr>
              <w:t>Primary module</w:t>
            </w:r>
          </w:p>
        </w:tc>
        <w:tc>
          <w:tcPr>
            <w:tcW w:type="dxa" w:w="5083"/>
            <w:vAlign w:val="top"/>
          </w:tcPr>
          <w:p>
            <w:pPr>
              <w:spacing w:after="20"/>
            </w:pPr>
            <w:r>
              <w:rPr>
                <w:sz w:val="17"/>
              </w:rPr>
              <w:t>server/services/promptGenerator.ts</w:t>
            </w:r>
          </w:p>
        </w:tc>
      </w:tr>
      <w:tr>
        <w:tc>
          <w:tcPr>
            <w:tcW w:type="dxa" w:w="5083"/>
            <w:vAlign w:val="top"/>
            <w:shd w:fill="F4F7FA"/>
          </w:tcPr>
          <w:p>
            <w:pPr>
              <w:spacing w:after="20"/>
            </w:pPr>
            <w:r>
              <w:rPr>
                <w:sz w:val="17"/>
              </w:rPr>
              <w:t>Version</w:t>
            </w:r>
          </w:p>
        </w:tc>
        <w:tc>
          <w:tcPr>
            <w:tcW w:type="dxa" w:w="5083"/>
            <w:vAlign w:val="top"/>
            <w:shd w:fill="F4F7FA"/>
          </w:tcPr>
          <w:p>
            <w:pPr>
              <w:spacing w:after="20"/>
            </w:pPr>
            <w:r>
              <w:rPr>
                <w:sz w:val="17"/>
              </w:rPr>
              <w:t>1.0</w:t>
            </w:r>
          </w:p>
        </w:tc>
      </w:tr>
      <w:tr>
        <w:tc>
          <w:tcPr>
            <w:tcW w:type="dxa" w:w="5083"/>
            <w:vAlign w:val="top"/>
          </w:tcPr>
          <w:p>
            <w:pPr>
              <w:spacing w:after="20"/>
            </w:pPr>
            <w:r>
              <w:rPr>
                <w:sz w:val="17"/>
              </w:rPr>
              <w:t>Date</w:t>
            </w:r>
          </w:p>
        </w:tc>
        <w:tc>
          <w:tcPr>
            <w:tcW w:type="dxa" w:w="5083"/>
            <w:vAlign w:val="top"/>
          </w:tcPr>
          <w:p>
            <w:pPr>
              <w:spacing w:after="20"/>
            </w:pPr>
            <w:r>
              <w:rPr>
                <w:sz w:val="17"/>
              </w:rPr>
              <w:t>July 12, 2026</w:t>
            </w:r>
          </w:p>
        </w:tc>
      </w:tr>
    </w:tbl>
    <w:p/>
    <w:p>
      <w:r>
        <w:br w:type="page"/>
      </w:r>
    </w:p>
    <w:p>
      <w:pPr>
        <w:pStyle w:val="Heading1"/>
      </w:pPr>
      <w:r>
        <w:t>1. Executive Summary</w:t>
      </w:r>
    </w:p>
    <w:p>
      <w:r>
        <w:t>The existing prompt-generation workflow is a sound MVP: it gathers basic client context, asks a configured model for structured candidates, parses the response, and requires analyst review before prompts are saved. The implementation is understandable, testable, and appropriately human-controlled.</w:t>
      </w:r>
    </w:p>
    <w:p>
      <w:r>
        <w:t>Its current output, however, is not yet suitable as a standardized AI visibility measurement instrument. It relies on minimal business context, uses categories that do not align with the planned measurement methodology, lacks quota enforcement and duplicate detection, silently discards invalid candidates, does not retain generation provenance, and does not explicitly distinguish branded from non-branded discovery prompts.</w:t>
      </w:r>
    </w:p>
    <w:tbl>
      <w:tblPr>
        <w:tblStyle w:val="TableGrid"/>
        <w:tblW w:type="auto" w:w="0"/>
        <w:tblLook w:firstColumn="1" w:firstRow="1" w:lastColumn="0" w:lastRow="0" w:noHBand="0" w:noVBand="1" w:val="04A0"/>
      </w:tblPr>
      <w:tblGrid>
        <w:gridCol w:w="10166"/>
      </w:tblGrid>
      <w:tr>
        <w:tc>
          <w:tcPr>
            <w:tcW w:type="dxa" w:w="10166"/>
            <w:shd w:fill="DCEAF7"/>
          </w:tcPr>
          <w:p>
            <w:pPr>
              <w:spacing w:before="100" w:after="100"/>
              <w:ind w:left="173" w:right="173"/>
            </w:pPr>
            <w:r>
              <w:rPr>
                <w:b/>
                <w:color w:val="17324D"/>
                <w:sz w:val="20"/>
              </w:rPr>
              <w:t>The next version should not merely generate plausible questions. It should generate a balanced, validated, evidence-backed prompt panel whose composition and purpose can be explained to a client and reproduced over time.</w:t>
            </w:r>
          </w:p>
        </w:tc>
      </w:tr>
    </w:tbl>
    <w:p/>
    <w:p>
      <w:pPr>
        <w:pStyle w:val="Heading2"/>
      </w:pPr>
      <w:r>
        <w:t>1.1 Recommended Outcome</w:t>
      </w:r>
    </w:p>
    <w:p>
      <w:pPr>
        <w:pStyle w:val="ListBullet"/>
        <w:spacing w:after="40"/>
      </w:pPr>
      <w:r>
        <w:t>A verified client knowledge profile supplies factual business context.</w:t>
      </w:r>
    </w:p>
    <w:p>
      <w:pPr>
        <w:pStyle w:val="ListBullet"/>
        <w:spacing w:after="40"/>
      </w:pPr>
      <w:r>
        <w:t>A formal panel specification defines exact intent, branded/non-branded, service, geography, funnel, and commercial quotas.</w:t>
      </w:r>
    </w:p>
    <w:p>
      <w:pPr>
        <w:pStyle w:val="ListBullet"/>
        <w:spacing w:after="40"/>
      </w:pPr>
      <w:r>
        <w:t>The system generates an oversized candidate pool, validates it, removes duplicates, scores quality, and recommends a balanced panel.</w:t>
      </w:r>
    </w:p>
    <w:p>
      <w:pPr>
        <w:pStyle w:val="ListBullet"/>
        <w:spacing w:after="40"/>
      </w:pPr>
      <w:r>
        <w:t>Analysts retain final review and editing authority.</w:t>
      </w:r>
    </w:p>
    <w:p>
      <w:pPr>
        <w:pStyle w:val="ListBullet"/>
        <w:spacing w:after="40"/>
      </w:pPr>
      <w:r>
        <w:t>Every generation event records model, context, methodology version, original output, analyst decisions, and final saved prompts.</w:t>
      </w:r>
    </w:p>
    <w:p>
      <w:pPr>
        <w:pStyle w:val="Heading1"/>
      </w:pPr>
      <w:r>
        <w:t>2. Current-State Summary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b/>
                <w:color w:val="FFFFFF"/>
                <w:sz w:val="15"/>
              </w:rPr>
              <w:t>Area</w:t>
            </w:r>
          </w:p>
        </w:tc>
        <w:tc>
          <w:tcPr>
            <w:tcW w:type="dxa" w:w="3389"/>
            <w:shd w:fill="17324D"/>
          </w:tcPr>
          <w:p>
            <w:r>
              <w:rPr>
                <w:b/>
                <w:color w:val="FFFFFF"/>
                <w:sz w:val="15"/>
              </w:rPr>
              <w:t>Current Behavior</w:t>
            </w:r>
          </w:p>
        </w:tc>
        <w:tc>
          <w:tcPr>
            <w:tcW w:type="dxa" w:w="3389"/>
            <w:shd w:fill="17324D"/>
          </w:tcPr>
          <w:p>
            <w:r>
              <w:rPr>
                <w:b/>
                <w:color w:val="FFFFFF"/>
                <w:sz w:val="15"/>
              </w:rPr>
              <w:t>Required Improvement</w:t>
            </w:r>
          </w:p>
        </w:tc>
      </w:tr>
      <w:tr>
        <w:tc>
          <w:tcPr>
            <w:tcW w:type="dxa" w:w="3389"/>
            <w:vAlign w:val="top"/>
          </w:tcPr>
          <w:p>
            <w:pPr>
              <w:spacing w:after="20"/>
            </w:pPr>
            <w:r>
              <w:rPr>
                <w:sz w:val="15"/>
              </w:rPr>
              <w:t>Client context</w:t>
            </w:r>
          </w:p>
        </w:tc>
        <w:tc>
          <w:tcPr>
            <w:tcW w:type="dxa" w:w="3389"/>
            <w:vAlign w:val="top"/>
          </w:tcPr>
          <w:p>
            <w:pPr>
              <w:spacing w:after="20"/>
            </w:pPr>
            <w:r>
              <w:rPr>
                <w:sz w:val="15"/>
              </w:rPr>
              <w:t>Name, domain, geographies, brand names, competitors</w:t>
            </w:r>
          </w:p>
        </w:tc>
        <w:tc>
          <w:tcPr>
            <w:tcW w:type="dxa" w:w="3389"/>
            <w:vAlign w:val="top"/>
          </w:tcPr>
          <w:p>
            <w:pPr>
              <w:spacing w:after="20"/>
            </w:pPr>
            <w:r>
              <w:rPr>
                <w:sz w:val="15"/>
              </w:rPr>
              <w:t>Add services, priorities, customer problems, customer types, GBP categories, differentiators, and exclusions.</w:t>
            </w:r>
          </w:p>
        </w:tc>
      </w:tr>
      <w:tr>
        <w:tc>
          <w:tcPr>
            <w:tcW w:type="dxa" w:w="3389"/>
            <w:vAlign w:val="top"/>
            <w:shd w:fill="F4F7FA"/>
          </w:tcPr>
          <w:p>
            <w:pPr>
              <w:spacing w:after="20"/>
            </w:pPr>
            <w:r>
              <w:rPr>
                <w:sz w:val="15"/>
              </w:rPr>
              <w:t>Prompt taxonomy</w:t>
            </w:r>
          </w:p>
        </w:tc>
        <w:tc>
          <w:tcPr>
            <w:tcW w:type="dxa" w:w="3389"/>
            <w:vAlign w:val="top"/>
            <w:shd w:fill="F4F7FA"/>
          </w:tcPr>
          <w:p>
            <w:pPr>
              <w:spacing w:after="20"/>
            </w:pPr>
            <w:r>
              <w:rPr>
                <w:sz w:val="15"/>
              </w:rPr>
              <w:t>Six broad categories</w:t>
            </w:r>
          </w:p>
        </w:tc>
        <w:tc>
          <w:tcPr>
            <w:tcW w:type="dxa" w:w="3389"/>
            <w:vAlign w:val="top"/>
            <w:shd w:fill="F4F7FA"/>
          </w:tcPr>
          <w:p>
            <w:pPr>
              <w:spacing w:after="20"/>
            </w:pPr>
            <w:r>
              <w:rPr>
                <w:sz w:val="15"/>
              </w:rPr>
              <w:t>Adopt measurement-oriented intent types and independent prompt attributes.</w:t>
            </w:r>
          </w:p>
        </w:tc>
      </w:tr>
      <w:tr>
        <w:tc>
          <w:tcPr>
            <w:tcW w:type="dxa" w:w="3389"/>
            <w:vAlign w:val="top"/>
          </w:tcPr>
          <w:p>
            <w:pPr>
              <w:spacing w:after="20"/>
            </w:pPr>
            <w:r>
              <w:rPr>
                <w:sz w:val="15"/>
              </w:rPr>
              <w:t>Distribution</w:t>
            </w:r>
          </w:p>
        </w:tc>
        <w:tc>
          <w:tcPr>
            <w:tcW w:type="dxa" w:w="3389"/>
            <w:vAlign w:val="top"/>
          </w:tcPr>
          <w:p>
            <w:pPr>
              <w:spacing w:after="20"/>
            </w:pPr>
            <w:r>
              <w:rPr>
                <w:sz w:val="15"/>
              </w:rPr>
              <w:t>Model is asked to distribute prompts</w:t>
            </w:r>
          </w:p>
        </w:tc>
        <w:tc>
          <w:tcPr>
            <w:tcW w:type="dxa" w:w="3389"/>
            <w:vAlign w:val="top"/>
          </w:tcPr>
          <w:p>
            <w:pPr>
              <w:spacing w:after="20"/>
            </w:pPr>
            <w:r>
              <w:rPr>
                <w:sz w:val="15"/>
              </w:rPr>
              <w:t>Enforce exact quotas and validate the completed panel.</w:t>
            </w:r>
          </w:p>
        </w:tc>
      </w:tr>
      <w:tr>
        <w:tc>
          <w:tcPr>
            <w:tcW w:type="dxa" w:w="3389"/>
            <w:vAlign w:val="top"/>
            <w:shd w:fill="F4F7FA"/>
          </w:tcPr>
          <w:p>
            <w:pPr>
              <w:spacing w:after="20"/>
            </w:pPr>
            <w:r>
              <w:rPr>
                <w:sz w:val="15"/>
              </w:rPr>
              <w:t>Output schema</w:t>
            </w:r>
          </w:p>
        </w:tc>
        <w:tc>
          <w:tcPr>
            <w:tcW w:type="dxa" w:w="3389"/>
            <w:vAlign w:val="top"/>
            <w:shd w:fill="F4F7FA"/>
          </w:tcPr>
          <w:p>
            <w:pPr>
              <w:spacing w:after="20"/>
            </w:pPr>
            <w:r>
              <w:rPr>
                <w:sz w:val="15"/>
              </w:rPr>
              <w:t>text, category, funnelStage</w:t>
            </w:r>
          </w:p>
        </w:tc>
        <w:tc>
          <w:tcPr>
            <w:tcW w:type="dxa" w:w="3389"/>
            <w:vAlign w:val="top"/>
            <w:shd w:fill="F4F7FA"/>
          </w:tcPr>
          <w:p>
            <w:pPr>
              <w:spacing w:after="20"/>
            </w:pPr>
            <w:r>
              <w:rPr>
                <w:sz w:val="15"/>
              </w:rPr>
              <w:t>Add branded state, service, location, family, value, purpose, rationale, and quality metadata.</w:t>
            </w:r>
          </w:p>
        </w:tc>
      </w:tr>
      <w:tr>
        <w:tc>
          <w:tcPr>
            <w:tcW w:type="dxa" w:w="3389"/>
            <w:vAlign w:val="top"/>
          </w:tcPr>
          <w:p>
            <w:pPr>
              <w:spacing w:after="20"/>
            </w:pPr>
            <w:r>
              <w:rPr>
                <w:sz w:val="15"/>
              </w:rPr>
              <w:t>Validation</w:t>
            </w:r>
          </w:p>
        </w:tc>
        <w:tc>
          <w:tcPr>
            <w:tcW w:type="dxa" w:w="3389"/>
            <w:vAlign w:val="top"/>
          </w:tcPr>
          <w:p>
            <w:pPr>
              <w:spacing w:after="20"/>
            </w:pPr>
            <w:r>
              <w:rPr>
                <w:sz w:val="15"/>
              </w:rPr>
              <w:t>Schema-valid items are accepted; invalid items dropped silently</w:t>
            </w:r>
          </w:p>
        </w:tc>
        <w:tc>
          <w:tcPr>
            <w:tcW w:type="dxa" w:w="3389"/>
            <w:vAlign w:val="top"/>
          </w:tcPr>
          <w:p>
            <w:pPr>
              <w:spacing w:after="20"/>
            </w:pPr>
            <w:r>
              <w:rPr>
                <w:sz w:val="15"/>
              </w:rPr>
              <w:t>Return diagnostics, warnings, and controlled repair attempts.</w:t>
            </w:r>
          </w:p>
        </w:tc>
      </w:tr>
      <w:tr>
        <w:tc>
          <w:tcPr>
            <w:tcW w:type="dxa" w:w="3389"/>
            <w:vAlign w:val="top"/>
            <w:shd w:fill="F4F7FA"/>
          </w:tcPr>
          <w:p>
            <w:pPr>
              <w:spacing w:after="20"/>
            </w:pPr>
            <w:r>
              <w:rPr>
                <w:sz w:val="15"/>
              </w:rPr>
              <w:t>Duplicates</w:t>
            </w:r>
          </w:p>
        </w:tc>
        <w:tc>
          <w:tcPr>
            <w:tcW w:type="dxa" w:w="3389"/>
            <w:vAlign w:val="top"/>
            <w:shd w:fill="F4F7FA"/>
          </w:tcPr>
          <w:p>
            <w:pPr>
              <w:spacing w:after="20"/>
            </w:pPr>
            <w:r>
              <w:rPr>
                <w:sz w:val="15"/>
              </w:rPr>
              <w:t>No exact or semantic deduplication</w:t>
            </w:r>
          </w:p>
        </w:tc>
        <w:tc>
          <w:tcPr>
            <w:tcW w:type="dxa" w:w="3389"/>
            <w:vAlign w:val="top"/>
            <w:shd w:fill="F4F7FA"/>
          </w:tcPr>
          <w:p>
            <w:pPr>
              <w:spacing w:after="20"/>
            </w:pPr>
            <w:r>
              <w:rPr>
                <w:sz w:val="15"/>
              </w:rPr>
              <w:t>Add normalized and semantic duplicate detection.</w:t>
            </w:r>
          </w:p>
        </w:tc>
      </w:tr>
      <w:tr>
        <w:tc>
          <w:tcPr>
            <w:tcW w:type="dxa" w:w="3389"/>
            <w:vAlign w:val="top"/>
          </w:tcPr>
          <w:p>
            <w:pPr>
              <w:spacing w:after="20"/>
            </w:pPr>
            <w:r>
              <w:rPr>
                <w:sz w:val="15"/>
              </w:rPr>
              <w:t>Model selection</w:t>
            </w:r>
          </w:p>
        </w:tc>
        <w:tc>
          <w:tcPr>
            <w:tcW w:type="dxa" w:w="3389"/>
            <w:vAlign w:val="top"/>
          </w:tcPr>
          <w:p>
            <w:pPr>
              <w:spacing w:after="20"/>
            </w:pPr>
            <w:r>
              <w:rPr>
                <w:sz w:val="15"/>
              </w:rPr>
              <w:t>First configured adapter wins</w:t>
            </w:r>
          </w:p>
        </w:tc>
        <w:tc>
          <w:tcPr>
            <w:tcW w:type="dxa" w:w="3389"/>
            <w:vAlign w:val="top"/>
          </w:tcPr>
          <w:p>
            <w:pPr>
              <w:spacing w:after="20"/>
            </w:pPr>
            <w:r>
              <w:rPr>
                <w:sz w:val="15"/>
              </w:rPr>
              <w:t>Add explicit adapter/model configuration and persistence.</w:t>
            </w:r>
          </w:p>
        </w:tc>
      </w:tr>
      <w:tr>
        <w:tc>
          <w:tcPr>
            <w:tcW w:type="dxa" w:w="3389"/>
            <w:vAlign w:val="top"/>
            <w:shd w:fill="F4F7FA"/>
          </w:tcPr>
          <w:p>
            <w:pPr>
              <w:spacing w:after="20"/>
            </w:pPr>
            <w:r>
              <w:rPr>
                <w:sz w:val="15"/>
              </w:rPr>
              <w:t>Provenance</w:t>
            </w:r>
          </w:p>
        </w:tc>
        <w:tc>
          <w:tcPr>
            <w:tcW w:type="dxa" w:w="3389"/>
            <w:vAlign w:val="top"/>
            <w:shd w:fill="F4F7FA"/>
          </w:tcPr>
          <w:p>
            <w:pPr>
              <w:spacing w:after="20"/>
            </w:pPr>
            <w:r>
              <w:rPr>
                <w:sz w:val="15"/>
              </w:rPr>
              <w:t>Generation is not persisted</w:t>
            </w:r>
          </w:p>
        </w:tc>
        <w:tc>
          <w:tcPr>
            <w:tcW w:type="dxa" w:w="3389"/>
            <w:vAlign w:val="top"/>
            <w:shd w:fill="F4F7FA"/>
          </w:tcPr>
          <w:p>
            <w:pPr>
              <w:spacing w:after="20"/>
            </w:pPr>
            <w:r>
              <w:rPr>
                <w:sz w:val="15"/>
              </w:rPr>
              <w:t>Store generation runs, context, raw response, candidates, edits, and decisions.</w:t>
            </w:r>
          </w:p>
        </w:tc>
      </w:tr>
      <w:tr>
        <w:tc>
          <w:tcPr>
            <w:tcW w:type="dxa" w:w="3389"/>
            <w:vAlign w:val="top"/>
          </w:tcPr>
          <w:p>
            <w:pPr>
              <w:spacing w:after="20"/>
            </w:pPr>
            <w:r>
              <w:rPr>
                <w:sz w:val="15"/>
              </w:rPr>
              <w:t>Security</w:t>
            </w:r>
          </w:p>
        </w:tc>
        <w:tc>
          <w:tcPr>
            <w:tcW w:type="dxa" w:w="3389"/>
            <w:vAlign w:val="top"/>
          </w:tcPr>
          <w:p>
            <w:pPr>
              <w:spacing w:after="20"/>
            </w:pPr>
            <w:r>
              <w:rPr>
                <w:sz w:val="15"/>
              </w:rPr>
              <w:t>Collection/client relationship not explicitly verified</w:t>
            </w:r>
          </w:p>
        </w:tc>
        <w:tc>
          <w:tcPr>
            <w:tcW w:type="dxa" w:w="3389"/>
            <w:vAlign w:val="top"/>
          </w:tcPr>
          <w:p>
            <w:pPr>
              <w:spacing w:after="20"/>
            </w:pPr>
            <w:r>
              <w:rPr>
                <w:sz w:val="15"/>
              </w:rPr>
              <w:t>Validate ownership and enforce client-scoped authorization.</w:t>
            </w:r>
          </w:p>
        </w:tc>
      </w:tr>
      <w:tr>
        <w:tc>
          <w:tcPr>
            <w:tcW w:type="dxa" w:w="3389"/>
            <w:vAlign w:val="top"/>
            <w:shd w:fill="F4F7FA"/>
          </w:tcPr>
          <w:p>
            <w:pPr>
              <w:spacing w:after="20"/>
            </w:pPr>
            <w:r>
              <w:rPr>
                <w:sz w:val="15"/>
              </w:rPr>
              <w:t>Testing</w:t>
            </w:r>
          </w:p>
        </w:tc>
        <w:tc>
          <w:tcPr>
            <w:tcW w:type="dxa" w:w="3389"/>
            <w:vAlign w:val="top"/>
            <w:shd w:fill="F4F7FA"/>
          </w:tcPr>
          <w:p>
            <w:pPr>
              <w:spacing w:after="20"/>
            </w:pPr>
            <w:r>
              <w:rPr>
                <w:sz w:val="15"/>
              </w:rPr>
              <w:t>Good MVP parser and orchestration coverage</w:t>
            </w:r>
          </w:p>
        </w:tc>
        <w:tc>
          <w:tcPr>
            <w:tcW w:type="dxa" w:w="3389"/>
            <w:vAlign w:val="top"/>
            <w:shd w:fill="F4F7FA"/>
          </w:tcPr>
          <w:p>
            <w:pPr>
              <w:spacing w:after="20"/>
            </w:pPr>
            <w:r>
              <w:rPr>
                <w:sz w:val="15"/>
              </w:rPr>
              <w:t>Add panel-quality, quota, duplicate, security, provenance, and regression tests.</w:t>
            </w:r>
          </w:p>
        </w:tc>
      </w:tr>
    </w:tbl>
    <w:p/>
    <w:p>
      <w:pPr>
        <w:pStyle w:val="Heading1"/>
      </w:pPr>
      <w:r>
        <w:t>3. Goals and Non-Goals</w:t>
      </w:r>
    </w:p>
    <w:p>
      <w:pPr>
        <w:pStyle w:val="Heading2"/>
      </w:pPr>
      <w:r>
        <w:t>3.1 Goals</w:t>
      </w:r>
    </w:p>
    <w:p>
      <w:pPr>
        <w:pStyle w:val="ListBullet"/>
        <w:spacing w:after="40"/>
      </w:pPr>
      <w:r>
        <w:t>Generate realistic prompts based on verified client facts.</w:t>
      </w:r>
    </w:p>
    <w:p>
      <w:pPr>
        <w:pStyle w:val="ListBullet"/>
        <w:spacing w:after="40"/>
      </w:pPr>
      <w:r>
        <w:t>Prioritize non-branded discovery and commercially meaningful services.</w:t>
      </w:r>
    </w:p>
    <w:p>
      <w:pPr>
        <w:pStyle w:val="ListBullet"/>
        <w:spacing w:after="40"/>
      </w:pPr>
      <w:r>
        <w:t>Produce balanced panels that support the YLG AI visibility methodology.</w:t>
      </w:r>
    </w:p>
    <w:p>
      <w:pPr>
        <w:pStyle w:val="ListBullet"/>
        <w:spacing w:after="40"/>
      </w:pPr>
      <w:r>
        <w:t>Make every candidate explainable, traceable, and reviewable.</w:t>
      </w:r>
    </w:p>
    <w:p>
      <w:pPr>
        <w:pStyle w:val="ListBullet"/>
        <w:spacing w:after="40"/>
      </w:pPr>
      <w:r>
        <w:t>Prevent invalid, duplicate, irrelevant, or excluded prompts from entering active panels.</w:t>
      </w:r>
    </w:p>
    <w:p>
      <w:pPr>
        <w:pStyle w:val="ListBullet"/>
        <w:spacing w:after="40"/>
      </w:pPr>
      <w:r>
        <w:t>Preserve consistent panel composition across clients while allowing justified client-specific adaptation.</w:t>
      </w:r>
    </w:p>
    <w:p>
      <w:pPr>
        <w:pStyle w:val="Heading2"/>
      </w:pPr>
      <w:r>
        <w:t>3.2 Non-Goals</w:t>
      </w:r>
    </w:p>
    <w:p>
      <w:pPr>
        <w:pStyle w:val="ListBullet"/>
        <w:spacing w:after="40"/>
      </w:pPr>
      <w:r>
        <w:t>Automatically activating an AI-generated panel without analyst review.</w:t>
      </w:r>
    </w:p>
    <w:p>
      <w:pPr>
        <w:pStyle w:val="ListBullet"/>
        <w:spacing w:after="40"/>
      </w:pPr>
      <w:r>
        <w:t>Using the client website URL as a substitute for verified business facts.</w:t>
      </w:r>
    </w:p>
    <w:p>
      <w:pPr>
        <w:pStyle w:val="ListBullet"/>
        <w:spacing w:after="40"/>
      </w:pPr>
      <w:r>
        <w:t>Treating a model-generated category label as authoritative without validation.</w:t>
      </w:r>
    </w:p>
    <w:p>
      <w:pPr>
        <w:pStyle w:val="ListBullet"/>
        <w:spacing w:after="40"/>
      </w:pPr>
      <w:r>
        <w:t>Optimizing for the largest possible number of prompts.</w:t>
      </w:r>
    </w:p>
    <w:p>
      <w:pPr>
        <w:pStyle w:val="ListBullet"/>
        <w:spacing w:after="40"/>
      </w:pPr>
      <w:r>
        <w:t>Allowing prompt generation to silently alter an active baseline panel.</w:t>
      </w:r>
    </w:p>
    <w:p>
      <w:pPr>
        <w:pStyle w:val="Heading1"/>
      </w:pPr>
      <w:r>
        <w:t>4. Recommended Prompt Methodology</w:t>
      </w:r>
    </w:p>
    <w:p>
      <w:pPr>
        <w:pStyle w:val="Heading2"/>
      </w:pPr>
      <w:r>
        <w:t>4.1 Standard Panel Composition</w:t>
      </w:r>
    </w:p>
    <w:p>
      <w:r>
        <w:t>The default YLG panel should contain 30 prompts. The distribution below should be configurable by methodology version, but not casually changed per client.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Pr>
          <w:p>
            <w:r>
              <w:rPr>
                <w:b/>
                <w:color w:val="FFFFFF"/>
                <w:sz w:val="16"/>
              </w:rPr>
              <w:t>Prompt Group</w:t>
            </w:r>
          </w:p>
        </w:tc>
        <w:tc>
          <w:tcPr>
            <w:tcW w:type="dxa" w:w="2541"/>
            <w:shd w:fill="17324D"/>
          </w:tcPr>
          <w:p>
            <w:r>
              <w:rPr>
                <w:b/>
                <w:color w:val="FFFFFF"/>
                <w:sz w:val="16"/>
              </w:rPr>
              <w:t>Count</w:t>
            </w:r>
          </w:p>
        </w:tc>
        <w:tc>
          <w:tcPr>
            <w:tcW w:type="dxa" w:w="2541"/>
            <w:shd w:fill="17324D"/>
          </w:tcPr>
          <w:p>
            <w:r>
              <w:rPr>
                <w:b/>
                <w:color w:val="FFFFFF"/>
                <w:sz w:val="16"/>
              </w:rPr>
              <w:t>Brand State</w:t>
            </w:r>
          </w:p>
        </w:tc>
        <w:tc>
          <w:tcPr>
            <w:tcW w:type="dxa" w:w="2541"/>
            <w:shd w:fill="17324D"/>
          </w:tcPr>
          <w:p>
            <w:r>
              <w:rPr>
                <w:b/>
                <w:color w:val="FFFFFF"/>
                <w:sz w:val="16"/>
              </w:rPr>
              <w:t>Primary Measurement</w:t>
            </w:r>
          </w:p>
        </w:tc>
      </w:tr>
      <w:tr>
        <w:tc>
          <w:tcPr>
            <w:tcW w:type="dxa" w:w="2541"/>
            <w:vAlign w:val="top"/>
          </w:tcPr>
          <w:p>
            <w:pPr>
              <w:spacing w:after="20"/>
            </w:pPr>
            <w:r>
              <w:rPr>
                <w:sz w:val="16"/>
              </w:rPr>
              <w:t>Provider recommendation</w:t>
            </w:r>
          </w:p>
        </w:tc>
        <w:tc>
          <w:tcPr>
            <w:tcW w:type="dxa" w:w="2541"/>
            <w:vAlign w:val="top"/>
          </w:tcPr>
          <w:p>
            <w:pPr>
              <w:spacing w:after="20"/>
            </w:pPr>
            <w:r>
              <w:rPr>
                <w:sz w:val="16"/>
              </w:rPr>
              <w:t>8</w:t>
            </w:r>
          </w:p>
        </w:tc>
        <w:tc>
          <w:tcPr>
            <w:tcW w:type="dxa" w:w="2541"/>
            <w:vAlign w:val="top"/>
          </w:tcPr>
          <w:p>
            <w:pPr>
              <w:spacing w:after="20"/>
            </w:pPr>
            <w:r>
              <w:rPr>
                <w:sz w:val="16"/>
              </w:rPr>
              <w:t>Non-branded</w:t>
            </w:r>
          </w:p>
        </w:tc>
        <w:tc>
          <w:tcPr>
            <w:tcW w:type="dxa" w:w="2541"/>
            <w:vAlign w:val="top"/>
          </w:tcPr>
          <w:p>
            <w:pPr>
              <w:spacing w:after="20"/>
            </w:pPr>
            <w:r>
              <w:rPr>
                <w:sz w:val="16"/>
              </w:rPr>
              <w:t>Independent recommendation rate</w:t>
            </w:r>
          </w:p>
        </w:tc>
      </w:tr>
      <w:tr>
        <w:tc>
          <w:tcPr>
            <w:tcW w:type="dxa" w:w="2541"/>
            <w:vAlign w:val="top"/>
            <w:shd w:fill="F4F7FA"/>
          </w:tcPr>
          <w:p>
            <w:pPr>
              <w:spacing w:after="20"/>
            </w:pPr>
            <w:r>
              <w:rPr>
                <w:sz w:val="16"/>
              </w:rPr>
              <w:t>Service-specific discovery</w:t>
            </w:r>
          </w:p>
        </w:tc>
        <w:tc>
          <w:tcPr>
            <w:tcW w:type="dxa" w:w="2541"/>
            <w:vAlign w:val="top"/>
            <w:shd w:fill="F4F7FA"/>
          </w:tcPr>
          <w:p>
            <w:pPr>
              <w:spacing w:after="20"/>
            </w:pPr>
            <w:r>
              <w:rPr>
                <w:sz w:val="16"/>
              </w:rPr>
              <w:t>6</w:t>
            </w:r>
          </w:p>
        </w:tc>
        <w:tc>
          <w:tcPr>
            <w:tcW w:type="dxa" w:w="2541"/>
            <w:vAlign w:val="top"/>
            <w:shd w:fill="F4F7FA"/>
          </w:tcPr>
          <w:p>
            <w:pPr>
              <w:spacing w:after="20"/>
            </w:pPr>
            <w:r>
              <w:rPr>
                <w:sz w:val="16"/>
              </w:rPr>
              <w:t>Non-branded</w:t>
            </w:r>
          </w:p>
        </w:tc>
        <w:tc>
          <w:tcPr>
            <w:tcW w:type="dxa" w:w="2541"/>
            <w:vAlign w:val="top"/>
            <w:shd w:fill="F4F7FA"/>
          </w:tcPr>
          <w:p>
            <w:pPr>
              <w:spacing w:after="20"/>
            </w:pPr>
            <w:r>
              <w:rPr>
                <w:sz w:val="16"/>
              </w:rPr>
              <w:t>Service association and visibility</w:t>
            </w:r>
          </w:p>
        </w:tc>
      </w:tr>
      <w:tr>
        <w:tc>
          <w:tcPr>
            <w:tcW w:type="dxa" w:w="2541"/>
            <w:vAlign w:val="top"/>
          </w:tcPr>
          <w:p>
            <w:pPr>
              <w:spacing w:after="20"/>
            </w:pPr>
            <w:r>
              <w:rPr>
                <w:sz w:val="16"/>
              </w:rPr>
              <w:t>Problem/solution</w:t>
            </w:r>
          </w:p>
        </w:tc>
        <w:tc>
          <w:tcPr>
            <w:tcW w:type="dxa" w:w="2541"/>
            <w:vAlign w:val="top"/>
          </w:tcPr>
          <w:p>
            <w:pPr>
              <w:spacing w:after="20"/>
            </w:pPr>
            <w:r>
              <w:rPr>
                <w:sz w:val="16"/>
              </w:rPr>
              <w:t>5</w:t>
            </w:r>
          </w:p>
        </w:tc>
        <w:tc>
          <w:tcPr>
            <w:tcW w:type="dxa" w:w="2541"/>
            <w:vAlign w:val="top"/>
          </w:tcPr>
          <w:p>
            <w:pPr>
              <w:spacing w:after="20"/>
            </w:pPr>
            <w:r>
              <w:rPr>
                <w:sz w:val="16"/>
              </w:rPr>
              <w:t>Non-branded</w:t>
            </w:r>
          </w:p>
        </w:tc>
        <w:tc>
          <w:tcPr>
            <w:tcW w:type="dxa" w:w="2541"/>
            <w:vAlign w:val="top"/>
          </w:tcPr>
          <w:p>
            <w:pPr>
              <w:spacing w:after="20"/>
            </w:pPr>
            <w:r>
              <w:rPr>
                <w:sz w:val="16"/>
              </w:rPr>
              <w:t>Problem-to-provider connection</w:t>
            </w:r>
          </w:p>
        </w:tc>
      </w:tr>
      <w:tr>
        <w:tc>
          <w:tcPr>
            <w:tcW w:type="dxa" w:w="2541"/>
            <w:vAlign w:val="top"/>
            <w:shd w:fill="F4F7FA"/>
          </w:tcPr>
          <w:p>
            <w:pPr>
              <w:spacing w:after="20"/>
            </w:pPr>
            <w:r>
              <w:rPr>
                <w:sz w:val="16"/>
              </w:rPr>
              <w:t>Geographic discovery</w:t>
            </w:r>
          </w:p>
        </w:tc>
        <w:tc>
          <w:tcPr>
            <w:tcW w:type="dxa" w:w="2541"/>
            <w:vAlign w:val="top"/>
            <w:shd w:fill="F4F7FA"/>
          </w:tcPr>
          <w:p>
            <w:pPr>
              <w:spacing w:after="20"/>
            </w:pPr>
            <w:r>
              <w:rPr>
                <w:sz w:val="16"/>
              </w:rPr>
              <w:t>5</w:t>
            </w:r>
          </w:p>
        </w:tc>
        <w:tc>
          <w:tcPr>
            <w:tcW w:type="dxa" w:w="2541"/>
            <w:vAlign w:val="top"/>
            <w:shd w:fill="F4F7FA"/>
          </w:tcPr>
          <w:p>
            <w:pPr>
              <w:spacing w:after="20"/>
            </w:pPr>
            <w:r>
              <w:rPr>
                <w:sz w:val="16"/>
              </w:rPr>
              <w:t>Non-branded</w:t>
            </w:r>
          </w:p>
        </w:tc>
        <w:tc>
          <w:tcPr>
            <w:tcW w:type="dxa" w:w="2541"/>
            <w:vAlign w:val="top"/>
            <w:shd w:fill="F4F7FA"/>
          </w:tcPr>
          <w:p>
            <w:pPr>
              <w:spacing w:after="20"/>
            </w:pPr>
            <w:r>
              <w:rPr>
                <w:sz w:val="16"/>
              </w:rPr>
              <w:t>Local market discovery</w:t>
            </w:r>
          </w:p>
        </w:tc>
      </w:tr>
      <w:tr>
        <w:tc>
          <w:tcPr>
            <w:tcW w:type="dxa" w:w="2541"/>
            <w:vAlign w:val="top"/>
          </w:tcPr>
          <w:p>
            <w:pPr>
              <w:spacing w:after="20"/>
            </w:pPr>
            <w:r>
              <w:rPr>
                <w:sz w:val="16"/>
              </w:rPr>
              <w:t>Direct comparison</w:t>
            </w:r>
          </w:p>
        </w:tc>
        <w:tc>
          <w:tcPr>
            <w:tcW w:type="dxa" w:w="2541"/>
            <w:vAlign w:val="top"/>
          </w:tcPr>
          <w:p>
            <w:pPr>
              <w:spacing w:after="20"/>
            </w:pPr>
            <w:r>
              <w:rPr>
                <w:sz w:val="16"/>
              </w:rPr>
              <w:t>3</w:t>
            </w:r>
          </w:p>
        </w:tc>
        <w:tc>
          <w:tcPr>
            <w:tcW w:type="dxa" w:w="2541"/>
            <w:vAlign w:val="top"/>
          </w:tcPr>
          <w:p>
            <w:pPr>
              <w:spacing w:after="20"/>
            </w:pPr>
            <w:r>
              <w:rPr>
                <w:sz w:val="16"/>
              </w:rPr>
              <w:t>Branded/competitor</w:t>
            </w:r>
          </w:p>
        </w:tc>
        <w:tc>
          <w:tcPr>
            <w:tcW w:type="dxa" w:w="2541"/>
            <w:vAlign w:val="top"/>
          </w:tcPr>
          <w:p>
            <w:pPr>
              <w:spacing w:after="20"/>
            </w:pPr>
            <w:r>
              <w:rPr>
                <w:sz w:val="16"/>
              </w:rPr>
              <w:t>Competitive positioning</w:t>
            </w:r>
          </w:p>
        </w:tc>
      </w:tr>
      <w:tr>
        <w:tc>
          <w:tcPr>
            <w:tcW w:type="dxa" w:w="2541"/>
            <w:vAlign w:val="top"/>
            <w:shd w:fill="F4F7FA"/>
          </w:tcPr>
          <w:p>
            <w:pPr>
              <w:spacing w:after="20"/>
            </w:pPr>
            <w:r>
              <w:rPr>
                <w:sz w:val="16"/>
              </w:rPr>
              <w:t>Brand validation</w:t>
            </w:r>
          </w:p>
        </w:tc>
        <w:tc>
          <w:tcPr>
            <w:tcW w:type="dxa" w:w="2541"/>
            <w:vAlign w:val="top"/>
            <w:shd w:fill="F4F7FA"/>
          </w:tcPr>
          <w:p>
            <w:pPr>
              <w:spacing w:after="20"/>
            </w:pPr>
            <w:r>
              <w:rPr>
                <w:sz w:val="16"/>
              </w:rPr>
              <w:t>3</w:t>
            </w:r>
          </w:p>
        </w:tc>
        <w:tc>
          <w:tcPr>
            <w:tcW w:type="dxa" w:w="2541"/>
            <w:vAlign w:val="top"/>
            <w:shd w:fill="F4F7FA"/>
          </w:tcPr>
          <w:p>
            <w:pPr>
              <w:spacing w:after="20"/>
            </w:pPr>
            <w:r>
              <w:rPr>
                <w:sz w:val="16"/>
              </w:rPr>
              <w:t>Branded</w:t>
            </w:r>
          </w:p>
        </w:tc>
        <w:tc>
          <w:tcPr>
            <w:tcW w:type="dxa" w:w="2541"/>
            <w:vAlign w:val="top"/>
            <w:shd w:fill="F4F7FA"/>
          </w:tcPr>
          <w:p>
            <w:pPr>
              <w:spacing w:after="20"/>
            </w:pPr>
            <w:r>
              <w:rPr>
                <w:sz w:val="16"/>
              </w:rPr>
              <w:t>Trust, accuracy, reputation, and citation validation</w:t>
            </w:r>
          </w:p>
        </w:tc>
      </w:tr>
    </w:tbl>
    <w:p/>
    <w:p>
      <w:pPr>
        <w:pStyle w:val="SmallNote"/>
      </w:pPr>
      <w:r>
        <w:t>Default ratio: 24 non-branded prompts and 6 branded/comparison prompts. Non-branded prompts therefore represent 80% of the panel.</w:t>
      </w:r>
    </w:p>
    <w:p>
      <w:pPr>
        <w:pStyle w:val="Heading2"/>
      </w:pPr>
      <w:r>
        <w:t>4.2 Prompt Intent Types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b/>
                <w:color w:val="FFFFFF"/>
                <w:sz w:val="15"/>
              </w:rPr>
              <w:t>Intent Type</w:t>
            </w:r>
          </w:p>
        </w:tc>
        <w:tc>
          <w:tcPr>
            <w:tcW w:type="dxa" w:w="3389"/>
            <w:shd w:fill="17324D"/>
          </w:tcPr>
          <w:p>
            <w:r>
              <w:rPr>
                <w:b/>
                <w:color w:val="FFFFFF"/>
                <w:sz w:val="15"/>
              </w:rPr>
              <w:t>Definition</w:t>
            </w:r>
          </w:p>
        </w:tc>
        <w:tc>
          <w:tcPr>
            <w:tcW w:type="dxa" w:w="3389"/>
            <w:shd w:fill="17324D"/>
          </w:tcPr>
          <w:p>
            <w:r>
              <w:rPr>
                <w:b/>
                <w:color w:val="FFFFFF"/>
                <w:sz w:val="15"/>
              </w:rPr>
              <w:t>Example</w:t>
            </w:r>
          </w:p>
        </w:tc>
      </w:tr>
      <w:tr>
        <w:tc>
          <w:tcPr>
            <w:tcW w:type="dxa" w:w="3389"/>
            <w:vAlign w:val="top"/>
          </w:tcPr>
          <w:p>
            <w:pPr>
              <w:spacing w:after="20"/>
            </w:pPr>
            <w:r>
              <w:rPr>
                <w:sz w:val="15"/>
              </w:rPr>
              <w:t>provider_recommendation</w:t>
            </w:r>
          </w:p>
        </w:tc>
        <w:tc>
          <w:tcPr>
            <w:tcW w:type="dxa" w:w="3389"/>
            <w:vAlign w:val="top"/>
          </w:tcPr>
          <w:p>
            <w:pPr>
              <w:spacing w:after="20"/>
            </w:pPr>
            <w:r>
              <w:rPr>
                <w:sz w:val="15"/>
              </w:rPr>
              <w:t>Asks for recommended businesses or providers</w:t>
            </w:r>
          </w:p>
        </w:tc>
        <w:tc>
          <w:tcPr>
            <w:tcW w:type="dxa" w:w="3389"/>
            <w:vAlign w:val="top"/>
          </w:tcPr>
          <w:p>
            <w:pPr>
              <w:spacing w:after="20"/>
            </w:pPr>
            <w:r>
              <w:rPr>
                <w:sz w:val="15"/>
              </w:rPr>
              <w:t>Who are the best commercial roofers in Grand Rapids?</w:t>
            </w:r>
          </w:p>
        </w:tc>
      </w:tr>
      <w:tr>
        <w:tc>
          <w:tcPr>
            <w:tcW w:type="dxa" w:w="3389"/>
            <w:vAlign w:val="top"/>
            <w:shd w:fill="F4F7FA"/>
          </w:tcPr>
          <w:p>
            <w:pPr>
              <w:spacing w:after="20"/>
            </w:pPr>
            <w:r>
              <w:rPr>
                <w:sz w:val="15"/>
              </w:rPr>
              <w:t>service_specific</w:t>
            </w:r>
          </w:p>
        </w:tc>
        <w:tc>
          <w:tcPr>
            <w:tcW w:type="dxa" w:w="3389"/>
            <w:vAlign w:val="top"/>
            <w:shd w:fill="F4F7FA"/>
          </w:tcPr>
          <w:p>
            <w:pPr>
              <w:spacing w:after="20"/>
            </w:pPr>
            <w:r>
              <w:rPr>
                <w:sz w:val="15"/>
              </w:rPr>
              <w:t>Asks who provides a defined service</w:t>
            </w:r>
          </w:p>
        </w:tc>
        <w:tc>
          <w:tcPr>
            <w:tcW w:type="dxa" w:w="3389"/>
            <w:vAlign w:val="top"/>
            <w:shd w:fill="F4F7FA"/>
          </w:tcPr>
          <w:p>
            <w:pPr>
              <w:spacing w:after="20"/>
            </w:pPr>
            <w:r>
              <w:rPr>
                <w:sz w:val="15"/>
              </w:rPr>
              <w:t>Who installs standing-seam metal roofs in West Michigan?</w:t>
            </w:r>
          </w:p>
        </w:tc>
      </w:tr>
      <w:tr>
        <w:tc>
          <w:tcPr>
            <w:tcW w:type="dxa" w:w="3389"/>
            <w:vAlign w:val="top"/>
          </w:tcPr>
          <w:p>
            <w:pPr>
              <w:spacing w:after="20"/>
            </w:pPr>
            <w:r>
              <w:rPr>
                <w:sz w:val="15"/>
              </w:rPr>
              <w:t>geographic_discovery</w:t>
            </w:r>
          </w:p>
        </w:tc>
        <w:tc>
          <w:tcPr>
            <w:tcW w:type="dxa" w:w="3389"/>
            <w:vAlign w:val="top"/>
          </w:tcPr>
          <w:p>
            <w:pPr>
              <w:spacing w:after="20"/>
            </w:pPr>
            <w:r>
              <w:rPr>
                <w:sz w:val="15"/>
              </w:rPr>
              <w:t>Combines service category and approved market</w:t>
            </w:r>
          </w:p>
        </w:tc>
        <w:tc>
          <w:tcPr>
            <w:tcW w:type="dxa" w:w="3389"/>
            <w:vAlign w:val="top"/>
          </w:tcPr>
          <w:p>
            <w:pPr>
              <w:spacing w:after="20"/>
            </w:pPr>
            <w:r>
              <w:rPr>
                <w:sz w:val="15"/>
              </w:rPr>
              <w:t>Roofing companies serving Grand Rapids, Michigan</w:t>
            </w:r>
          </w:p>
        </w:tc>
      </w:tr>
      <w:tr>
        <w:tc>
          <w:tcPr>
            <w:tcW w:type="dxa" w:w="3389"/>
            <w:vAlign w:val="top"/>
            <w:shd w:fill="F4F7FA"/>
          </w:tcPr>
          <w:p>
            <w:pPr>
              <w:spacing w:after="20"/>
            </w:pPr>
            <w:r>
              <w:rPr>
                <w:sz w:val="15"/>
              </w:rPr>
              <w:t>problem_solution</w:t>
            </w:r>
          </w:p>
        </w:tc>
        <w:tc>
          <w:tcPr>
            <w:tcW w:type="dxa" w:w="3389"/>
            <w:vAlign w:val="top"/>
            <w:shd w:fill="F4F7FA"/>
          </w:tcPr>
          <w:p>
            <w:pPr>
              <w:spacing w:after="20"/>
            </w:pPr>
            <w:r>
              <w:rPr>
                <w:sz w:val="15"/>
              </w:rPr>
              <w:t>Describes a customer problem without naming the client</w:t>
            </w:r>
          </w:p>
        </w:tc>
        <w:tc>
          <w:tcPr>
            <w:tcW w:type="dxa" w:w="3389"/>
            <w:vAlign w:val="top"/>
            <w:shd w:fill="F4F7FA"/>
          </w:tcPr>
          <w:p>
            <w:pPr>
              <w:spacing w:after="20"/>
            </w:pPr>
            <w:r>
              <w:rPr>
                <w:sz w:val="15"/>
              </w:rPr>
              <w:t>Who should I call when a commercial roof starts leaking?</w:t>
            </w:r>
          </w:p>
        </w:tc>
      </w:tr>
      <w:tr>
        <w:tc>
          <w:tcPr>
            <w:tcW w:type="dxa" w:w="3389"/>
            <w:vAlign w:val="top"/>
          </w:tcPr>
          <w:p>
            <w:pPr>
              <w:spacing w:after="20"/>
            </w:pPr>
            <w:r>
              <w:rPr>
                <w:sz w:val="15"/>
              </w:rPr>
              <w:t>comparison</w:t>
            </w:r>
          </w:p>
        </w:tc>
        <w:tc>
          <w:tcPr>
            <w:tcW w:type="dxa" w:w="3389"/>
            <w:vAlign w:val="top"/>
          </w:tcPr>
          <w:p>
            <w:pPr>
              <w:spacing w:after="20"/>
            </w:pPr>
            <w:r>
              <w:rPr>
                <w:sz w:val="15"/>
              </w:rPr>
              <w:t>Directly compares the client or competitor set</w:t>
            </w:r>
          </w:p>
        </w:tc>
        <w:tc>
          <w:tcPr>
            <w:tcW w:type="dxa" w:w="3389"/>
            <w:vAlign w:val="top"/>
          </w:tcPr>
          <w:p>
            <w:pPr>
              <w:spacing w:after="20"/>
            </w:pPr>
            <w:r>
              <w:rPr>
                <w:sz w:val="15"/>
              </w:rPr>
              <w:t>Company A vs Company B for commercial roofing</w:t>
            </w:r>
          </w:p>
        </w:tc>
      </w:tr>
      <w:tr>
        <w:tc>
          <w:tcPr>
            <w:tcW w:type="dxa" w:w="3389"/>
            <w:vAlign w:val="top"/>
            <w:shd w:fill="F4F7FA"/>
          </w:tcPr>
          <w:p>
            <w:pPr>
              <w:spacing w:after="20"/>
            </w:pPr>
            <w:r>
              <w:rPr>
                <w:sz w:val="15"/>
              </w:rPr>
              <w:t>trust_validation</w:t>
            </w:r>
          </w:p>
        </w:tc>
        <w:tc>
          <w:tcPr>
            <w:tcW w:type="dxa" w:w="3389"/>
            <w:vAlign w:val="top"/>
            <w:shd w:fill="F4F7FA"/>
          </w:tcPr>
          <w:p>
            <w:pPr>
              <w:spacing w:after="20"/>
            </w:pPr>
            <w:r>
              <w:rPr>
                <w:sz w:val="15"/>
              </w:rPr>
              <w:t>Tests proof, reputation, experience, or suitability</w:t>
            </w:r>
          </w:p>
        </w:tc>
        <w:tc>
          <w:tcPr>
            <w:tcW w:type="dxa" w:w="3389"/>
            <w:vAlign w:val="top"/>
            <w:shd w:fill="F4F7FA"/>
          </w:tcPr>
          <w:p>
            <w:pPr>
              <w:spacing w:after="20"/>
            </w:pPr>
            <w:r>
              <w:rPr>
                <w:sz w:val="15"/>
              </w:rPr>
              <w:t>Which local roofing firms have architectural metal expertise?</w:t>
            </w:r>
          </w:p>
        </w:tc>
      </w:tr>
      <w:tr>
        <w:tc>
          <w:tcPr>
            <w:tcW w:type="dxa" w:w="3389"/>
            <w:vAlign w:val="top"/>
          </w:tcPr>
          <w:p>
            <w:pPr>
              <w:spacing w:after="20"/>
            </w:pPr>
            <w:r>
              <w:rPr>
                <w:sz w:val="15"/>
              </w:rPr>
              <w:t>brand_validation</w:t>
            </w:r>
          </w:p>
        </w:tc>
        <w:tc>
          <w:tcPr>
            <w:tcW w:type="dxa" w:w="3389"/>
            <w:vAlign w:val="top"/>
          </w:tcPr>
          <w:p>
            <w:pPr>
              <w:spacing w:after="20"/>
            </w:pPr>
            <w:r>
              <w:rPr>
                <w:sz w:val="15"/>
              </w:rPr>
              <w:t>Asks directly about the client brand</w:t>
            </w:r>
          </w:p>
        </w:tc>
        <w:tc>
          <w:tcPr>
            <w:tcW w:type="dxa" w:w="3389"/>
            <w:vAlign w:val="top"/>
          </w:tcPr>
          <w:p>
            <w:pPr>
              <w:spacing w:after="20"/>
            </w:pPr>
            <w:r>
              <w:rPr>
                <w:sz w:val="15"/>
              </w:rPr>
              <w:t>Is Acme Roofing a reputable commercial contractor?</w:t>
            </w:r>
          </w:p>
        </w:tc>
      </w:tr>
      <w:tr>
        <w:tc>
          <w:tcPr>
            <w:tcW w:type="dxa" w:w="3389"/>
            <w:vAlign w:val="top"/>
            <w:shd w:fill="F4F7FA"/>
          </w:tcPr>
          <w:p>
            <w:pPr>
              <w:spacing w:after="20"/>
            </w:pPr>
            <w:r>
              <w:rPr>
                <w:sz w:val="15"/>
              </w:rPr>
              <w:t>alternative</w:t>
            </w:r>
          </w:p>
        </w:tc>
        <w:tc>
          <w:tcPr>
            <w:tcW w:type="dxa" w:w="3389"/>
            <w:vAlign w:val="top"/>
            <w:shd w:fill="F4F7FA"/>
          </w:tcPr>
          <w:p>
            <w:pPr>
              <w:spacing w:after="20"/>
            </w:pPr>
            <w:r>
              <w:rPr>
                <w:sz w:val="15"/>
              </w:rPr>
              <w:t>Seeks alternatives to a named competitor</w:t>
            </w:r>
          </w:p>
        </w:tc>
        <w:tc>
          <w:tcPr>
            <w:tcW w:type="dxa" w:w="3389"/>
            <w:vAlign w:val="top"/>
            <w:shd w:fill="F4F7FA"/>
          </w:tcPr>
          <w:p>
            <w:pPr>
              <w:spacing w:after="20"/>
            </w:pPr>
            <w:r>
              <w:rPr>
                <w:sz w:val="15"/>
              </w:rPr>
              <w:t>Alternatives to Competitor X for metal roofing</w:t>
            </w:r>
          </w:p>
        </w:tc>
      </w:tr>
    </w:tbl>
    <w:p/>
    <w:p>
      <w:pPr>
        <w:pStyle w:val="Heading2"/>
      </w:pPr>
      <w:r>
        <w:t>4.3 Required Prompt Attributes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b/>
                <w:color w:val="FFFFFF"/>
                <w:sz w:val="15"/>
              </w:rPr>
              <w:t>Field</w:t>
            </w:r>
          </w:p>
        </w:tc>
        <w:tc>
          <w:tcPr>
            <w:tcW w:type="dxa" w:w="3389"/>
            <w:shd w:fill="17324D"/>
          </w:tcPr>
          <w:p>
            <w:r>
              <w:rPr>
                <w:b/>
                <w:color w:val="FFFFFF"/>
                <w:sz w:val="15"/>
              </w:rPr>
              <w:t>Type / Values</w:t>
            </w:r>
          </w:p>
        </w:tc>
        <w:tc>
          <w:tcPr>
            <w:tcW w:type="dxa" w:w="3389"/>
            <w:shd w:fill="17324D"/>
          </w:tcPr>
          <w:p>
            <w:r>
              <w:rPr>
                <w:b/>
                <w:color w:val="FFFFFF"/>
                <w:sz w:val="15"/>
              </w:rPr>
              <w:t>Purpose</w:t>
            </w:r>
          </w:p>
        </w:tc>
      </w:tr>
      <w:tr>
        <w:tc>
          <w:tcPr>
            <w:tcW w:type="dxa" w:w="3389"/>
            <w:vAlign w:val="top"/>
          </w:tcPr>
          <w:p>
            <w:pPr>
              <w:spacing w:after="20"/>
            </w:pPr>
            <w:r>
              <w:rPr>
                <w:sz w:val="15"/>
              </w:rPr>
              <w:t>text</w:t>
            </w:r>
          </w:p>
        </w:tc>
        <w:tc>
          <w:tcPr>
            <w:tcW w:type="dxa" w:w="3389"/>
            <w:vAlign w:val="top"/>
          </w:tcPr>
          <w:p>
            <w:pPr>
              <w:spacing w:after="20"/>
            </w:pPr>
            <w:r>
              <w:rPr>
                <w:sz w:val="15"/>
              </w:rPr>
              <w:t>string</w:t>
            </w:r>
          </w:p>
        </w:tc>
        <w:tc>
          <w:tcPr>
            <w:tcW w:type="dxa" w:w="3389"/>
            <w:vAlign w:val="top"/>
          </w:tcPr>
          <w:p>
            <w:pPr>
              <w:spacing w:after="20"/>
            </w:pPr>
            <w:r>
              <w:rPr>
                <w:sz w:val="15"/>
              </w:rPr>
              <w:t>The exact prompt executed.</w:t>
            </w:r>
          </w:p>
        </w:tc>
      </w:tr>
      <w:tr>
        <w:tc>
          <w:tcPr>
            <w:tcW w:type="dxa" w:w="3389"/>
            <w:vAlign w:val="top"/>
            <w:shd w:fill="F4F7FA"/>
          </w:tcPr>
          <w:p>
            <w:pPr>
              <w:spacing w:after="20"/>
            </w:pPr>
            <w:r>
              <w:rPr>
                <w:sz w:val="15"/>
              </w:rPr>
              <w:t>intentType</w:t>
            </w:r>
          </w:p>
        </w:tc>
        <w:tc>
          <w:tcPr>
            <w:tcW w:type="dxa" w:w="3389"/>
            <w:vAlign w:val="top"/>
            <w:shd w:fill="F4F7FA"/>
          </w:tcPr>
          <w:p>
            <w:pPr>
              <w:spacing w:after="20"/>
            </w:pPr>
            <w:r>
              <w:rPr>
                <w:sz w:val="15"/>
              </w:rPr>
              <w:t>enum</w:t>
            </w:r>
          </w:p>
        </w:tc>
        <w:tc>
          <w:tcPr>
            <w:tcW w:type="dxa" w:w="3389"/>
            <w:vAlign w:val="top"/>
            <w:shd w:fill="F4F7FA"/>
          </w:tcPr>
          <w:p>
            <w:pPr>
              <w:spacing w:after="20"/>
            </w:pPr>
            <w:r>
              <w:rPr>
                <w:sz w:val="15"/>
              </w:rPr>
              <w:t>Primary measurement intent.</w:t>
            </w:r>
          </w:p>
        </w:tc>
      </w:tr>
      <w:tr>
        <w:tc>
          <w:tcPr>
            <w:tcW w:type="dxa" w:w="3389"/>
            <w:vAlign w:val="top"/>
          </w:tcPr>
          <w:p>
            <w:pPr>
              <w:spacing w:after="20"/>
            </w:pPr>
            <w:r>
              <w:rPr>
                <w:sz w:val="15"/>
              </w:rPr>
              <w:t>brandInPrompt</w:t>
            </w:r>
          </w:p>
        </w:tc>
        <w:tc>
          <w:tcPr>
            <w:tcW w:type="dxa" w:w="3389"/>
            <w:vAlign w:val="top"/>
          </w:tcPr>
          <w:p>
            <w:pPr>
              <w:spacing w:after="20"/>
            </w:pPr>
            <w:r>
              <w:rPr>
                <w:sz w:val="15"/>
              </w:rPr>
              <w:t>boolean</w:t>
            </w:r>
          </w:p>
        </w:tc>
        <w:tc>
          <w:tcPr>
            <w:tcW w:type="dxa" w:w="3389"/>
            <w:vAlign w:val="top"/>
          </w:tcPr>
          <w:p>
            <w:pPr>
              <w:spacing w:after="20"/>
            </w:pPr>
            <w:r>
              <w:rPr>
                <w:sz w:val="15"/>
              </w:rPr>
              <w:t>Separates discovery from validation.</w:t>
            </w:r>
          </w:p>
        </w:tc>
      </w:tr>
      <w:tr>
        <w:tc>
          <w:tcPr>
            <w:tcW w:type="dxa" w:w="3389"/>
            <w:vAlign w:val="top"/>
            <w:shd w:fill="F4F7FA"/>
          </w:tcPr>
          <w:p>
            <w:pPr>
              <w:spacing w:after="20"/>
            </w:pPr>
            <w:r>
              <w:rPr>
                <w:sz w:val="15"/>
              </w:rPr>
              <w:t>funnelStage</w:t>
            </w:r>
          </w:p>
        </w:tc>
        <w:tc>
          <w:tcPr>
            <w:tcW w:type="dxa" w:w="3389"/>
            <w:vAlign w:val="top"/>
            <w:shd w:fill="F4F7FA"/>
          </w:tcPr>
          <w:p>
            <w:pPr>
              <w:spacing w:after="20"/>
            </w:pPr>
            <w:r>
              <w:rPr>
                <w:sz w:val="15"/>
              </w:rPr>
              <w:t>awareness / consideration / decision</w:t>
            </w:r>
          </w:p>
        </w:tc>
        <w:tc>
          <w:tcPr>
            <w:tcW w:type="dxa" w:w="3389"/>
            <w:vAlign w:val="top"/>
            <w:shd w:fill="F4F7FA"/>
          </w:tcPr>
          <w:p>
            <w:pPr>
              <w:spacing w:after="20"/>
            </w:pPr>
            <w:r>
              <w:rPr>
                <w:sz w:val="15"/>
              </w:rPr>
              <w:t>Maps prompt to customer journey.</w:t>
            </w:r>
          </w:p>
        </w:tc>
      </w:tr>
      <w:tr>
        <w:tc>
          <w:tcPr>
            <w:tcW w:type="dxa" w:w="3389"/>
            <w:vAlign w:val="top"/>
          </w:tcPr>
          <w:p>
            <w:pPr>
              <w:spacing w:after="20"/>
            </w:pPr>
            <w:r>
              <w:rPr>
                <w:sz w:val="15"/>
              </w:rPr>
              <w:t>service</w:t>
            </w:r>
          </w:p>
        </w:tc>
        <w:tc>
          <w:tcPr>
            <w:tcW w:type="dxa" w:w="3389"/>
            <w:vAlign w:val="top"/>
          </w:tcPr>
          <w:p>
            <w:pPr>
              <w:spacing w:after="20"/>
            </w:pPr>
            <w:r>
              <w:rPr>
                <w:sz w:val="15"/>
              </w:rPr>
              <w:t>string or null</w:t>
            </w:r>
          </w:p>
        </w:tc>
        <w:tc>
          <w:tcPr>
            <w:tcW w:type="dxa" w:w="3389"/>
            <w:vAlign w:val="top"/>
          </w:tcPr>
          <w:p>
            <w:pPr>
              <w:spacing w:after="20"/>
            </w:pPr>
            <w:r>
              <w:rPr>
                <w:sz w:val="15"/>
              </w:rPr>
              <w:t>Links visibility to a revenue service.</w:t>
            </w:r>
          </w:p>
        </w:tc>
      </w:tr>
      <w:tr>
        <w:tc>
          <w:tcPr>
            <w:tcW w:type="dxa" w:w="3389"/>
            <w:vAlign w:val="top"/>
            <w:shd w:fill="F4F7FA"/>
          </w:tcPr>
          <w:p>
            <w:pPr>
              <w:spacing w:after="20"/>
            </w:pPr>
            <w:r>
              <w:rPr>
                <w:sz w:val="15"/>
              </w:rPr>
              <w:t>location</w:t>
            </w:r>
          </w:p>
        </w:tc>
        <w:tc>
          <w:tcPr>
            <w:tcW w:type="dxa" w:w="3389"/>
            <w:vAlign w:val="top"/>
            <w:shd w:fill="F4F7FA"/>
          </w:tcPr>
          <w:p>
            <w:pPr>
              <w:spacing w:after="20"/>
            </w:pPr>
            <w:r>
              <w:rPr>
                <w:sz w:val="15"/>
              </w:rPr>
              <w:t>approved geography or null</w:t>
            </w:r>
          </w:p>
        </w:tc>
        <w:tc>
          <w:tcPr>
            <w:tcW w:type="dxa" w:w="3389"/>
            <w:vAlign w:val="top"/>
            <w:shd w:fill="F4F7FA"/>
          </w:tcPr>
          <w:p>
            <w:pPr>
              <w:spacing w:after="20"/>
            </w:pPr>
            <w:r>
              <w:rPr>
                <w:sz w:val="15"/>
              </w:rPr>
              <w:t>Controls geographic validity.</w:t>
            </w:r>
          </w:p>
        </w:tc>
      </w:tr>
      <w:tr>
        <w:tc>
          <w:tcPr>
            <w:tcW w:type="dxa" w:w="3389"/>
            <w:vAlign w:val="top"/>
          </w:tcPr>
          <w:p>
            <w:pPr>
              <w:spacing w:after="20"/>
            </w:pPr>
            <w:r>
              <w:rPr>
                <w:sz w:val="15"/>
              </w:rPr>
              <w:t>promptFamily</w:t>
            </w:r>
          </w:p>
        </w:tc>
        <w:tc>
          <w:tcPr>
            <w:tcW w:type="dxa" w:w="3389"/>
            <w:vAlign w:val="top"/>
          </w:tcPr>
          <w:p>
            <w:pPr>
              <w:spacing w:after="20"/>
            </w:pPr>
            <w:r>
              <w:rPr>
                <w:sz w:val="15"/>
              </w:rPr>
              <w:t>stable slug</w:t>
            </w:r>
          </w:p>
        </w:tc>
        <w:tc>
          <w:tcPr>
            <w:tcW w:type="dxa" w:w="3389"/>
            <w:vAlign w:val="top"/>
          </w:tcPr>
          <w:p>
            <w:pPr>
              <w:spacing w:after="20"/>
            </w:pPr>
            <w:r>
              <w:rPr>
                <w:sz w:val="15"/>
              </w:rPr>
              <w:t>Groups intentional wording variants.</w:t>
            </w:r>
          </w:p>
        </w:tc>
      </w:tr>
      <w:tr>
        <w:tc>
          <w:tcPr>
            <w:tcW w:type="dxa" w:w="3389"/>
            <w:vAlign w:val="top"/>
            <w:shd w:fill="F4F7FA"/>
          </w:tcPr>
          <w:p>
            <w:pPr>
              <w:spacing w:after="20"/>
            </w:pPr>
            <w:r>
              <w:rPr>
                <w:sz w:val="15"/>
              </w:rPr>
              <w:t>commercialValue</w:t>
            </w:r>
          </w:p>
        </w:tc>
        <w:tc>
          <w:tcPr>
            <w:tcW w:type="dxa" w:w="3389"/>
            <w:vAlign w:val="top"/>
            <w:shd w:fill="F4F7FA"/>
          </w:tcPr>
          <w:p>
            <w:pPr>
              <w:spacing w:after="20"/>
            </w:pPr>
            <w:r>
              <w:rPr>
                <w:sz w:val="15"/>
              </w:rPr>
              <w:t>low / medium / high</w:t>
            </w:r>
          </w:p>
        </w:tc>
        <w:tc>
          <w:tcPr>
            <w:tcW w:type="dxa" w:w="3389"/>
            <w:vAlign w:val="top"/>
            <w:shd w:fill="F4F7FA"/>
          </w:tcPr>
          <w:p>
            <w:pPr>
              <w:spacing w:after="20"/>
            </w:pPr>
            <w:r>
              <w:rPr>
                <w:sz w:val="15"/>
              </w:rPr>
              <w:t>Supports prioritization and weighted views.</w:t>
            </w:r>
          </w:p>
        </w:tc>
      </w:tr>
      <w:tr>
        <w:tc>
          <w:tcPr>
            <w:tcW w:type="dxa" w:w="3389"/>
            <w:vAlign w:val="top"/>
          </w:tcPr>
          <w:p>
            <w:pPr>
              <w:spacing w:after="20"/>
            </w:pPr>
            <w:r>
              <w:rPr>
                <w:sz w:val="15"/>
              </w:rPr>
              <w:t>priorityWeight</w:t>
            </w:r>
          </w:p>
        </w:tc>
        <w:tc>
          <w:tcPr>
            <w:tcW w:type="dxa" w:w="3389"/>
            <w:vAlign w:val="top"/>
          </w:tcPr>
          <w:p>
            <w:pPr>
              <w:spacing w:after="20"/>
            </w:pPr>
            <w:r>
              <w:rPr>
                <w:sz w:val="15"/>
              </w:rPr>
              <w:t>0-10</w:t>
            </w:r>
          </w:p>
        </w:tc>
        <w:tc>
          <w:tcPr>
            <w:tcW w:type="dxa" w:w="3389"/>
            <w:vAlign w:val="top"/>
          </w:tcPr>
          <w:p>
            <w:pPr>
              <w:spacing w:after="20"/>
            </w:pPr>
            <w:r>
              <w:rPr>
                <w:sz w:val="15"/>
              </w:rPr>
              <w:t>Controls panel importance.</w:t>
            </w:r>
          </w:p>
        </w:tc>
      </w:tr>
      <w:tr>
        <w:tc>
          <w:tcPr>
            <w:tcW w:type="dxa" w:w="3389"/>
            <w:vAlign w:val="top"/>
            <w:shd w:fill="F4F7FA"/>
          </w:tcPr>
          <w:p>
            <w:pPr>
              <w:spacing w:after="20"/>
            </w:pPr>
            <w:r>
              <w:rPr>
                <w:sz w:val="15"/>
              </w:rPr>
              <w:t>measurementPurpose</w:t>
            </w:r>
          </w:p>
        </w:tc>
        <w:tc>
          <w:tcPr>
            <w:tcW w:type="dxa" w:w="3389"/>
            <w:vAlign w:val="top"/>
            <w:shd w:fill="F4F7FA"/>
          </w:tcPr>
          <w:p>
            <w:pPr>
              <w:spacing w:after="20"/>
            </w:pPr>
            <w:r>
              <w:rPr>
                <w:sz w:val="15"/>
              </w:rPr>
              <w:t>mention / recommendation / citation / comparison / validation</w:t>
            </w:r>
          </w:p>
        </w:tc>
        <w:tc>
          <w:tcPr>
            <w:tcW w:type="dxa" w:w="3389"/>
            <w:vAlign w:val="top"/>
            <w:shd w:fill="F4F7FA"/>
          </w:tcPr>
          <w:p>
            <w:pPr>
              <w:spacing w:after="20"/>
            </w:pPr>
            <w:r>
              <w:rPr>
                <w:sz w:val="15"/>
              </w:rPr>
              <w:t>Explains why the prompt exists.</w:t>
            </w:r>
          </w:p>
        </w:tc>
      </w:tr>
      <w:tr>
        <w:tc>
          <w:tcPr>
            <w:tcW w:type="dxa" w:w="3389"/>
            <w:vAlign w:val="top"/>
          </w:tcPr>
          <w:p>
            <w:pPr>
              <w:spacing w:after="20"/>
            </w:pPr>
            <w:r>
              <w:rPr>
                <w:sz w:val="15"/>
              </w:rPr>
              <w:t>rationale</w:t>
            </w:r>
          </w:p>
        </w:tc>
        <w:tc>
          <w:tcPr>
            <w:tcW w:type="dxa" w:w="3389"/>
            <w:vAlign w:val="top"/>
          </w:tcPr>
          <w:p>
            <w:pPr>
              <w:spacing w:after="20"/>
            </w:pPr>
            <w:r>
              <w:rPr>
                <w:sz w:val="15"/>
              </w:rPr>
              <w:t>string</w:t>
            </w:r>
          </w:p>
        </w:tc>
        <w:tc>
          <w:tcPr>
            <w:tcW w:type="dxa" w:w="3389"/>
            <w:vAlign w:val="top"/>
          </w:tcPr>
          <w:p>
            <w:pPr>
              <w:spacing w:after="20"/>
            </w:pPr>
            <w:r>
              <w:rPr>
                <w:sz w:val="15"/>
              </w:rPr>
              <w:t>Provides analyst-facing justification.</w:t>
            </w:r>
          </w:p>
        </w:tc>
      </w:tr>
      <w:tr>
        <w:tc>
          <w:tcPr>
            <w:tcW w:type="dxa" w:w="3389"/>
            <w:vAlign w:val="top"/>
            <w:shd w:fill="F4F7FA"/>
          </w:tcPr>
          <w:p>
            <w:pPr>
              <w:spacing w:after="20"/>
            </w:pPr>
            <w:r>
              <w:rPr>
                <w:sz w:val="15"/>
              </w:rPr>
              <w:t>qualityScore</w:t>
            </w:r>
          </w:p>
        </w:tc>
        <w:tc>
          <w:tcPr>
            <w:tcW w:type="dxa" w:w="3389"/>
            <w:vAlign w:val="top"/>
            <w:shd w:fill="F4F7FA"/>
          </w:tcPr>
          <w:p>
            <w:pPr>
              <w:spacing w:after="20"/>
            </w:pPr>
            <w:r>
              <w:rPr>
                <w:sz w:val="15"/>
              </w:rPr>
              <w:t>0-100</w:t>
            </w:r>
          </w:p>
        </w:tc>
        <w:tc>
          <w:tcPr>
            <w:tcW w:type="dxa" w:w="3389"/>
            <w:vAlign w:val="top"/>
            <w:shd w:fill="F4F7FA"/>
          </w:tcPr>
          <w:p>
            <w:pPr>
              <w:spacing w:after="20"/>
            </w:pPr>
            <w:r>
              <w:rPr>
                <w:sz w:val="15"/>
              </w:rPr>
              <w:t>Ranks generated candidates.</w:t>
            </w:r>
          </w:p>
        </w:tc>
      </w:tr>
      <w:tr>
        <w:tc>
          <w:tcPr>
            <w:tcW w:type="dxa" w:w="3389"/>
            <w:vAlign w:val="top"/>
          </w:tcPr>
          <w:p>
            <w:pPr>
              <w:spacing w:after="20"/>
            </w:pPr>
            <w:r>
              <w:rPr>
                <w:sz w:val="15"/>
              </w:rPr>
              <w:t>warnings</w:t>
            </w:r>
          </w:p>
        </w:tc>
        <w:tc>
          <w:tcPr>
            <w:tcW w:type="dxa" w:w="3389"/>
            <w:vAlign w:val="top"/>
          </w:tcPr>
          <w:p>
            <w:pPr>
              <w:spacing w:after="20"/>
            </w:pPr>
            <w:r>
              <w:rPr>
                <w:sz w:val="15"/>
              </w:rPr>
              <w:t>string[]</w:t>
            </w:r>
          </w:p>
        </w:tc>
        <w:tc>
          <w:tcPr>
            <w:tcW w:type="dxa" w:w="3389"/>
            <w:vAlign w:val="top"/>
          </w:tcPr>
          <w:p>
            <w:pPr>
              <w:spacing w:after="20"/>
            </w:pPr>
            <w:r>
              <w:rPr>
                <w:sz w:val="15"/>
              </w:rPr>
              <w:t>Flags duplicate, ambiguity, unsupported market, or other concerns.</w:t>
            </w:r>
          </w:p>
        </w:tc>
      </w:tr>
    </w:tbl>
    <w:p/>
    <w:p>
      <w:pPr>
        <w:pStyle w:val="Heading1"/>
      </w:pPr>
      <w:r>
        <w:t>5. Target Generation Workflow</w:t>
      </w:r>
    </w:p>
    <w:p>
      <w:pPr>
        <w:pStyle w:val="ListNumber"/>
        <w:spacing w:after="40"/>
      </w:pPr>
      <w:r>
        <w:t>Build or refresh the verified client knowledge profile.</w:t>
      </w:r>
    </w:p>
    <w:p>
      <w:pPr>
        <w:pStyle w:val="ListNumber"/>
        <w:spacing w:after="40"/>
      </w:pPr>
      <w:r>
        <w:t>Load the current methodology version and its panel quotas.</w:t>
      </w:r>
    </w:p>
    <w:p>
      <w:pPr>
        <w:pStyle w:val="ListNumber"/>
        <w:spacing w:after="40"/>
      </w:pPr>
      <w:r>
        <w:t>Load existing prompts so the generator can avoid duplication.</w:t>
      </w:r>
    </w:p>
    <w:p>
      <w:pPr>
        <w:pStyle w:val="ListNumber"/>
        <w:spacing w:after="40"/>
      </w:pPr>
      <w:r>
        <w:t>Generate an oversized candidate pool of approximately 1.5 to 2 times the requested panel size.</w:t>
      </w:r>
    </w:p>
    <w:p>
      <w:pPr>
        <w:pStyle w:val="ListNumber"/>
        <w:spacing w:after="40"/>
      </w:pPr>
      <w:r>
        <w:t>Parse structured output and return item-level validation diagnostics.</w:t>
      </w:r>
    </w:p>
    <w:p>
      <w:pPr>
        <w:pStyle w:val="ListNumber"/>
        <w:spacing w:after="40"/>
      </w:pPr>
      <w:r>
        <w:t>Validate services, locations, exclusions, branded state, and category quotas.</w:t>
      </w:r>
    </w:p>
    <w:p>
      <w:pPr>
        <w:pStyle w:val="ListNumber"/>
        <w:spacing w:after="40"/>
      </w:pPr>
      <w:r>
        <w:t>Detect exact and semantic duplicates within the candidate pool and against existing prompts.</w:t>
      </w:r>
    </w:p>
    <w:p>
      <w:pPr>
        <w:pStyle w:val="ListNumber"/>
        <w:spacing w:after="40"/>
      </w:pPr>
      <w:r>
        <w:t>Score each candidate for naturalness, relevance, commercial value, uniqueness, and measurement value.</w:t>
      </w:r>
    </w:p>
    <w:p>
      <w:pPr>
        <w:pStyle w:val="ListNumber"/>
        <w:spacing w:after="40"/>
      </w:pPr>
      <w:r>
        <w:t>Select the highest-quality balanced panel that satisfies all quotas.</w:t>
      </w:r>
    </w:p>
    <w:p>
      <w:pPr>
        <w:pStyle w:val="ListNumber"/>
        <w:spacing w:after="40"/>
      </w:pPr>
      <w:r>
        <w:t>Present recommended candidates and warnings to the analyst.</w:t>
      </w:r>
    </w:p>
    <w:p>
      <w:pPr>
        <w:pStyle w:val="ListNumber"/>
        <w:spacing w:after="40"/>
      </w:pPr>
      <w:r>
        <w:t>Record analyst edits, selections, and rejection reasons.</w:t>
      </w:r>
    </w:p>
    <w:p>
      <w:pPr>
        <w:pStyle w:val="ListNumber"/>
        <w:spacing w:after="40"/>
      </w:pPr>
      <w:r>
        <w:t>Save the selected prompts into a new draft collection or panel version.</w:t>
      </w:r>
    </w:p>
    <w:p>
      <w:pPr>
        <w:pStyle w:val="Heading1"/>
      </w:pPr>
      <w:r>
        <w:t>6. Verified Client Knowledge Profile</w:t>
      </w:r>
    </w:p>
    <w:p>
      <w:r>
        <w:t>Prompt generation should consume a structured profile assembled from agency-approved facts. Website content may contribute to this profile, but raw website text should not be treated as trusted instructions.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b/>
                <w:color w:val="FFFFFF"/>
                <w:sz w:val="15"/>
              </w:rPr>
              <w:t>Profile Field</w:t>
            </w:r>
          </w:p>
        </w:tc>
        <w:tc>
          <w:tcPr>
            <w:tcW w:type="dxa" w:w="3389"/>
            <w:shd w:fill="17324D"/>
          </w:tcPr>
          <w:p>
            <w:r>
              <w:rPr>
                <w:b/>
                <w:color w:val="FFFFFF"/>
                <w:sz w:val="15"/>
              </w:rPr>
              <w:t>Required</w:t>
            </w:r>
          </w:p>
        </w:tc>
        <w:tc>
          <w:tcPr>
            <w:tcW w:type="dxa" w:w="3389"/>
            <w:shd w:fill="17324D"/>
          </w:tcPr>
          <w:p>
            <w:r>
              <w:rPr>
                <w:b/>
                <w:color w:val="FFFFFF"/>
                <w:sz w:val="15"/>
              </w:rPr>
              <w:t>Source Priority</w:t>
            </w:r>
          </w:p>
        </w:tc>
      </w:tr>
      <w:tr>
        <w:tc>
          <w:tcPr>
            <w:tcW w:type="dxa" w:w="3389"/>
            <w:vAlign w:val="top"/>
          </w:tcPr>
          <w:p>
            <w:pPr>
              <w:spacing w:after="20"/>
            </w:pPr>
            <w:r>
              <w:rPr>
                <w:sz w:val="15"/>
              </w:rPr>
              <w:t>Client name and brand aliases</w:t>
            </w:r>
          </w:p>
        </w:tc>
        <w:tc>
          <w:tcPr>
            <w:tcW w:type="dxa" w:w="3389"/>
            <w:vAlign w:val="top"/>
          </w:tcPr>
          <w:p>
            <w:pPr>
              <w:spacing w:after="20"/>
            </w:pPr>
            <w:r>
              <w:rPr>
                <w:sz w:val="15"/>
              </w:rPr>
              <w:t>Yes</w:t>
            </w:r>
          </w:p>
        </w:tc>
        <w:tc>
          <w:tcPr>
            <w:tcW w:type="dxa" w:w="3389"/>
            <w:vAlign w:val="top"/>
          </w:tcPr>
          <w:p>
            <w:pPr>
              <w:spacing w:after="20"/>
            </w:pPr>
            <w:r>
              <w:rPr>
                <w:sz w:val="15"/>
              </w:rPr>
              <w:t>Client record and entity dictionary</w:t>
            </w:r>
          </w:p>
        </w:tc>
      </w:tr>
      <w:tr>
        <w:tc>
          <w:tcPr>
            <w:tcW w:type="dxa" w:w="3389"/>
            <w:vAlign w:val="top"/>
            <w:shd w:fill="F4F7FA"/>
          </w:tcPr>
          <w:p>
            <w:pPr>
              <w:spacing w:after="20"/>
            </w:pPr>
            <w:r>
              <w:rPr>
                <w:sz w:val="15"/>
              </w:rPr>
              <w:t>Primary domain</w:t>
            </w:r>
          </w:p>
        </w:tc>
        <w:tc>
          <w:tcPr>
            <w:tcW w:type="dxa" w:w="3389"/>
            <w:vAlign w:val="top"/>
            <w:shd w:fill="F4F7FA"/>
          </w:tcPr>
          <w:p>
            <w:pPr>
              <w:spacing w:after="20"/>
            </w:pPr>
            <w:r>
              <w:rPr>
                <w:sz w:val="15"/>
              </w:rPr>
              <w:t>Yes</w:t>
            </w:r>
          </w:p>
        </w:tc>
        <w:tc>
          <w:tcPr>
            <w:tcW w:type="dxa" w:w="3389"/>
            <w:vAlign w:val="top"/>
            <w:shd w:fill="F4F7FA"/>
          </w:tcPr>
          <w:p>
            <w:pPr>
              <w:spacing w:after="20"/>
            </w:pPr>
            <w:r>
              <w:rPr>
                <w:sz w:val="15"/>
              </w:rPr>
              <w:t>Client record</w:t>
            </w:r>
          </w:p>
        </w:tc>
      </w:tr>
      <w:tr>
        <w:tc>
          <w:tcPr>
            <w:tcW w:type="dxa" w:w="3389"/>
            <w:vAlign w:val="top"/>
          </w:tcPr>
          <w:p>
            <w:pPr>
              <w:spacing w:after="20"/>
            </w:pPr>
            <w:r>
              <w:rPr>
                <w:sz w:val="15"/>
              </w:rPr>
              <w:t>Core services</w:t>
            </w:r>
          </w:p>
        </w:tc>
        <w:tc>
          <w:tcPr>
            <w:tcW w:type="dxa" w:w="3389"/>
            <w:vAlign w:val="top"/>
          </w:tcPr>
          <w:p>
            <w:pPr>
              <w:spacing w:after="20"/>
            </w:pPr>
            <w:r>
              <w:rPr>
                <w:sz w:val="15"/>
              </w:rPr>
              <w:t>Yes</w:t>
            </w:r>
          </w:p>
        </w:tc>
        <w:tc>
          <w:tcPr>
            <w:tcW w:type="dxa" w:w="3389"/>
            <w:vAlign w:val="top"/>
          </w:tcPr>
          <w:p>
            <w:pPr>
              <w:spacing w:after="20"/>
            </w:pPr>
            <w:r>
              <w:rPr>
                <w:sz w:val="15"/>
              </w:rPr>
              <w:t>Foundation discovery / approved website data</w:t>
            </w:r>
          </w:p>
        </w:tc>
      </w:tr>
      <w:tr>
        <w:tc>
          <w:tcPr>
            <w:tcW w:type="dxa" w:w="3389"/>
            <w:vAlign w:val="top"/>
            <w:shd w:fill="F4F7FA"/>
          </w:tcPr>
          <w:p>
            <w:pPr>
              <w:spacing w:after="20"/>
            </w:pPr>
            <w:r>
              <w:rPr>
                <w:sz w:val="15"/>
              </w:rPr>
              <w:t>Priority revenue services</w:t>
            </w:r>
          </w:p>
        </w:tc>
        <w:tc>
          <w:tcPr>
            <w:tcW w:type="dxa" w:w="3389"/>
            <w:vAlign w:val="top"/>
            <w:shd w:fill="F4F7FA"/>
          </w:tcPr>
          <w:p>
            <w:pPr>
              <w:spacing w:after="20"/>
            </w:pPr>
            <w:r>
              <w:rPr>
                <w:sz w:val="15"/>
              </w:rPr>
              <w:t>Yes</w:t>
            </w:r>
          </w:p>
        </w:tc>
        <w:tc>
          <w:tcPr>
            <w:tcW w:type="dxa" w:w="3389"/>
            <w:vAlign w:val="top"/>
            <w:shd w:fill="F4F7FA"/>
          </w:tcPr>
          <w:p>
            <w:pPr>
              <w:spacing w:after="20"/>
            </w:pPr>
            <w:r>
              <w:rPr>
                <w:sz w:val="15"/>
              </w:rPr>
              <w:t>Campaign strategy</w:t>
            </w:r>
          </w:p>
        </w:tc>
      </w:tr>
      <w:tr>
        <w:tc>
          <w:tcPr>
            <w:tcW w:type="dxa" w:w="3389"/>
            <w:vAlign w:val="top"/>
          </w:tcPr>
          <w:p>
            <w:pPr>
              <w:spacing w:after="20"/>
            </w:pPr>
            <w:r>
              <w:rPr>
                <w:sz w:val="15"/>
              </w:rPr>
              <w:t>Approved geographies</w:t>
            </w:r>
          </w:p>
        </w:tc>
        <w:tc>
          <w:tcPr>
            <w:tcW w:type="dxa" w:w="3389"/>
            <w:vAlign w:val="top"/>
          </w:tcPr>
          <w:p>
            <w:pPr>
              <w:spacing w:after="20"/>
            </w:pPr>
            <w:r>
              <w:rPr>
                <w:sz w:val="15"/>
              </w:rPr>
              <w:t>Yes</w:t>
            </w:r>
          </w:p>
        </w:tc>
        <w:tc>
          <w:tcPr>
            <w:tcW w:type="dxa" w:w="3389"/>
            <w:vAlign w:val="top"/>
          </w:tcPr>
          <w:p>
            <w:pPr>
              <w:spacing w:after="20"/>
            </w:pPr>
            <w:r>
              <w:rPr>
                <w:sz w:val="15"/>
              </w:rPr>
              <w:t>Client service area and campaign plan</w:t>
            </w:r>
          </w:p>
        </w:tc>
      </w:tr>
      <w:tr>
        <w:tc>
          <w:tcPr>
            <w:tcW w:type="dxa" w:w="3389"/>
            <w:vAlign w:val="top"/>
            <w:shd w:fill="F4F7FA"/>
          </w:tcPr>
          <w:p>
            <w:pPr>
              <w:spacing w:after="20"/>
            </w:pPr>
            <w:r>
              <w:rPr>
                <w:sz w:val="15"/>
              </w:rPr>
              <w:t>Customer problems</w:t>
            </w:r>
          </w:p>
        </w:tc>
        <w:tc>
          <w:tcPr>
            <w:tcW w:type="dxa" w:w="3389"/>
            <w:vAlign w:val="top"/>
            <w:shd w:fill="F4F7FA"/>
          </w:tcPr>
          <w:p>
            <w:pPr>
              <w:spacing w:after="20"/>
            </w:pPr>
            <w:r>
              <w:rPr>
                <w:sz w:val="15"/>
              </w:rPr>
              <w:t>Recommended</w:t>
            </w:r>
          </w:p>
        </w:tc>
        <w:tc>
          <w:tcPr>
            <w:tcW w:type="dxa" w:w="3389"/>
            <w:vAlign w:val="top"/>
            <w:shd w:fill="F4F7FA"/>
          </w:tcPr>
          <w:p>
            <w:pPr>
              <w:spacing w:after="20"/>
            </w:pPr>
            <w:r>
              <w:rPr>
                <w:sz w:val="15"/>
              </w:rPr>
              <w:t>Service research and intake</w:t>
            </w:r>
          </w:p>
        </w:tc>
      </w:tr>
      <w:tr>
        <w:tc>
          <w:tcPr>
            <w:tcW w:type="dxa" w:w="3389"/>
            <w:vAlign w:val="top"/>
          </w:tcPr>
          <w:p>
            <w:pPr>
              <w:spacing w:after="20"/>
            </w:pPr>
            <w:r>
              <w:rPr>
                <w:sz w:val="15"/>
              </w:rPr>
              <w:t>Customer types</w:t>
            </w:r>
          </w:p>
        </w:tc>
        <w:tc>
          <w:tcPr>
            <w:tcW w:type="dxa" w:w="3389"/>
            <w:vAlign w:val="top"/>
          </w:tcPr>
          <w:p>
            <w:pPr>
              <w:spacing w:after="20"/>
            </w:pPr>
            <w:r>
              <w:rPr>
                <w:sz w:val="15"/>
              </w:rPr>
              <w:t>Recommended</w:t>
            </w:r>
          </w:p>
        </w:tc>
        <w:tc>
          <w:tcPr>
            <w:tcW w:type="dxa" w:w="3389"/>
            <w:vAlign w:val="top"/>
          </w:tcPr>
          <w:p>
            <w:pPr>
              <w:spacing w:after="20"/>
            </w:pPr>
            <w:r>
              <w:rPr>
                <w:sz w:val="15"/>
              </w:rPr>
              <w:t>Client intake</w:t>
            </w:r>
          </w:p>
        </w:tc>
      </w:tr>
      <w:tr>
        <w:tc>
          <w:tcPr>
            <w:tcW w:type="dxa" w:w="3389"/>
            <w:vAlign w:val="top"/>
            <w:shd w:fill="F4F7FA"/>
          </w:tcPr>
          <w:p>
            <w:pPr>
              <w:spacing w:after="20"/>
            </w:pPr>
            <w:r>
              <w:rPr>
                <w:sz w:val="15"/>
              </w:rPr>
              <w:t>Differentiators</w:t>
            </w:r>
          </w:p>
        </w:tc>
        <w:tc>
          <w:tcPr>
            <w:tcW w:type="dxa" w:w="3389"/>
            <w:vAlign w:val="top"/>
            <w:shd w:fill="F4F7FA"/>
          </w:tcPr>
          <w:p>
            <w:pPr>
              <w:spacing w:after="20"/>
            </w:pPr>
            <w:r>
              <w:rPr>
                <w:sz w:val="15"/>
              </w:rPr>
              <w:t>Recommended</w:t>
            </w:r>
          </w:p>
        </w:tc>
        <w:tc>
          <w:tcPr>
            <w:tcW w:type="dxa" w:w="3389"/>
            <w:vAlign w:val="top"/>
            <w:shd w:fill="F4F7FA"/>
          </w:tcPr>
          <w:p>
            <w:pPr>
              <w:spacing w:after="20"/>
            </w:pPr>
            <w:r>
              <w:rPr>
                <w:sz w:val="15"/>
              </w:rPr>
              <w:t>Approved positioning</w:t>
            </w:r>
          </w:p>
        </w:tc>
      </w:tr>
      <w:tr>
        <w:tc>
          <w:tcPr>
            <w:tcW w:type="dxa" w:w="3389"/>
            <w:vAlign w:val="top"/>
          </w:tcPr>
          <w:p>
            <w:pPr>
              <w:spacing w:after="20"/>
            </w:pPr>
            <w:r>
              <w:rPr>
                <w:sz w:val="15"/>
              </w:rPr>
              <w:t>GBP primary and secondary categories</w:t>
            </w:r>
          </w:p>
        </w:tc>
        <w:tc>
          <w:tcPr>
            <w:tcW w:type="dxa" w:w="3389"/>
            <w:vAlign w:val="top"/>
          </w:tcPr>
          <w:p>
            <w:pPr>
              <w:spacing w:after="20"/>
            </w:pPr>
            <w:r>
              <w:rPr>
                <w:sz w:val="15"/>
              </w:rPr>
              <w:t>Recommended</w:t>
            </w:r>
          </w:p>
        </w:tc>
        <w:tc>
          <w:tcPr>
            <w:tcW w:type="dxa" w:w="3389"/>
            <w:vAlign w:val="top"/>
          </w:tcPr>
          <w:p>
            <w:pPr>
              <w:spacing w:after="20"/>
            </w:pPr>
            <w:r>
              <w:rPr>
                <w:sz w:val="15"/>
              </w:rPr>
              <w:t>GBP data</w:t>
            </w:r>
          </w:p>
        </w:tc>
      </w:tr>
      <w:tr>
        <w:tc>
          <w:tcPr>
            <w:tcW w:type="dxa" w:w="3389"/>
            <w:vAlign w:val="top"/>
            <w:shd w:fill="F4F7FA"/>
          </w:tcPr>
          <w:p>
            <w:pPr>
              <w:spacing w:after="20"/>
            </w:pPr>
            <w:r>
              <w:rPr>
                <w:sz w:val="15"/>
              </w:rPr>
              <w:t>Competitors and priority</w:t>
            </w:r>
          </w:p>
        </w:tc>
        <w:tc>
          <w:tcPr>
            <w:tcW w:type="dxa" w:w="3389"/>
            <w:vAlign w:val="top"/>
            <w:shd w:fill="F4F7FA"/>
          </w:tcPr>
          <w:p>
            <w:pPr>
              <w:spacing w:after="20"/>
            </w:pPr>
            <w:r>
              <w:rPr>
                <w:sz w:val="15"/>
              </w:rPr>
              <w:t>Recommended</w:t>
            </w:r>
          </w:p>
        </w:tc>
        <w:tc>
          <w:tcPr>
            <w:tcW w:type="dxa" w:w="3389"/>
            <w:vAlign w:val="top"/>
            <w:shd w:fill="F4F7FA"/>
          </w:tcPr>
          <w:p>
            <w:pPr>
              <w:spacing w:after="20"/>
            </w:pPr>
            <w:r>
              <w:rPr>
                <w:sz w:val="15"/>
              </w:rPr>
              <w:t>Competitor configuration</w:t>
            </w:r>
          </w:p>
        </w:tc>
      </w:tr>
      <w:tr>
        <w:tc>
          <w:tcPr>
            <w:tcW w:type="dxa" w:w="3389"/>
            <w:vAlign w:val="top"/>
          </w:tcPr>
          <w:p>
            <w:pPr>
              <w:spacing w:after="20"/>
            </w:pPr>
            <w:r>
              <w:rPr>
                <w:sz w:val="15"/>
              </w:rPr>
              <w:t>Exclusions</w:t>
            </w:r>
          </w:p>
        </w:tc>
        <w:tc>
          <w:tcPr>
            <w:tcW w:type="dxa" w:w="3389"/>
            <w:vAlign w:val="top"/>
          </w:tcPr>
          <w:p>
            <w:pPr>
              <w:spacing w:after="20"/>
            </w:pPr>
            <w:r>
              <w:rPr>
                <w:sz w:val="15"/>
              </w:rPr>
              <w:t>Yes</w:t>
            </w:r>
          </w:p>
        </w:tc>
        <w:tc>
          <w:tcPr>
            <w:tcW w:type="dxa" w:w="3389"/>
            <w:vAlign w:val="top"/>
          </w:tcPr>
          <w:p>
            <w:pPr>
              <w:spacing w:after="20"/>
            </w:pPr>
            <w:r>
              <w:rPr>
                <w:sz w:val="15"/>
              </w:rPr>
              <w:t>Client exclusions and campaign rules</w:t>
            </w:r>
          </w:p>
        </w:tc>
      </w:tr>
      <w:tr>
        <w:tc>
          <w:tcPr>
            <w:tcW w:type="dxa" w:w="3389"/>
            <w:vAlign w:val="top"/>
            <w:shd w:fill="F4F7FA"/>
          </w:tcPr>
          <w:p>
            <w:pPr>
              <w:spacing w:after="20"/>
            </w:pPr>
            <w:r>
              <w:rPr>
                <w:sz w:val="15"/>
              </w:rPr>
              <w:t>Existing revenue pages</w:t>
            </w:r>
          </w:p>
        </w:tc>
        <w:tc>
          <w:tcPr>
            <w:tcW w:type="dxa" w:w="3389"/>
            <w:vAlign w:val="top"/>
            <w:shd w:fill="F4F7FA"/>
          </w:tcPr>
          <w:p>
            <w:pPr>
              <w:spacing w:after="20"/>
            </w:pPr>
            <w:r>
              <w:rPr>
                <w:sz w:val="15"/>
              </w:rPr>
              <w:t>Recommended</w:t>
            </w:r>
          </w:p>
        </w:tc>
        <w:tc>
          <w:tcPr>
            <w:tcW w:type="dxa" w:w="3389"/>
            <w:vAlign w:val="top"/>
            <w:shd w:fill="F4F7FA"/>
          </w:tcPr>
          <w:p>
            <w:pPr>
              <w:spacing w:after="20"/>
            </w:pPr>
            <w:r>
              <w:rPr>
                <w:sz w:val="15"/>
              </w:rPr>
              <w:t>Website crawl</w:t>
            </w:r>
          </w:p>
        </w:tc>
      </w:tr>
      <w:tr>
        <w:tc>
          <w:tcPr>
            <w:tcW w:type="dxa" w:w="3389"/>
            <w:vAlign w:val="top"/>
          </w:tcPr>
          <w:p>
            <w:pPr>
              <w:spacing w:after="20"/>
            </w:pPr>
            <w:r>
              <w:rPr>
                <w:sz w:val="15"/>
              </w:rPr>
              <w:t>Search Console query themes</w:t>
            </w:r>
          </w:p>
        </w:tc>
        <w:tc>
          <w:tcPr>
            <w:tcW w:type="dxa" w:w="3389"/>
            <w:vAlign w:val="top"/>
          </w:tcPr>
          <w:p>
            <w:pPr>
              <w:spacing w:after="20"/>
            </w:pPr>
            <w:r>
              <w:rPr>
                <w:sz w:val="15"/>
              </w:rPr>
              <w:t>Optional</w:t>
            </w:r>
          </w:p>
        </w:tc>
        <w:tc>
          <w:tcPr>
            <w:tcW w:type="dxa" w:w="3389"/>
            <w:vAlign w:val="top"/>
          </w:tcPr>
          <w:p>
            <w:pPr>
              <w:spacing w:after="20"/>
            </w:pPr>
            <w:r>
              <w:rPr>
                <w:sz w:val="15"/>
              </w:rPr>
              <w:t>GSC integration</w:t>
            </w:r>
          </w:p>
        </w:tc>
      </w:tr>
    </w:tbl>
    <w:p/>
    <w:tbl>
      <w:tblPr>
        <w:tblStyle w:val="TableGrid"/>
        <w:tblW w:type="auto" w:w="0"/>
        <w:tblLook w:firstColumn="1" w:firstRow="1" w:lastColumn="0" w:lastRow="0" w:noHBand="0" w:noVBand="1" w:val="04A0"/>
      </w:tblPr>
      <w:tblGrid>
        <w:gridCol w:w="10166"/>
      </w:tblGrid>
      <w:tr>
        <w:tc>
          <w:tcPr>
            <w:tcW w:type="dxa" w:w="10166"/>
            <w:shd w:fill="FFF2CC"/>
          </w:tcPr>
          <w:p>
            <w:pPr>
              <w:spacing w:before="100" w:after="100"/>
              <w:ind w:left="173" w:right="173"/>
            </w:pPr>
            <w:r>
              <w:rPr>
                <w:b/>
                <w:color w:val="17324D"/>
                <w:sz w:val="20"/>
              </w:rPr>
              <w:t>All imported or crawled text must be treated as untrusted reference material. The generation prompt must explicitly instruct the model not to follow instructions contained inside client data.</w:t>
            </w:r>
          </w:p>
        </w:tc>
      </w:tr>
    </w:tbl>
    <w:p/>
    <w:p>
      <w:pPr>
        <w:pStyle w:val="Heading1"/>
      </w:pPr>
      <w:r>
        <w:t>7. Data Model Changes</w:t>
      </w:r>
    </w:p>
    <w:p>
      <w:pPr>
        <w:pStyle w:val="Heading2"/>
      </w:pPr>
      <w:r>
        <w:t>7.1 New or Expanded Tables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b/>
                <w:color w:val="FFFFFF"/>
                <w:sz w:val="15"/>
              </w:rPr>
              <w:t>Table / Entity</w:t>
            </w:r>
          </w:p>
        </w:tc>
        <w:tc>
          <w:tcPr>
            <w:tcW w:type="dxa" w:w="3389"/>
            <w:shd w:fill="17324D"/>
          </w:tcPr>
          <w:p>
            <w:r>
              <w:rPr>
                <w:b/>
                <w:color w:val="FFFFFF"/>
                <w:sz w:val="15"/>
              </w:rPr>
              <w:t>Purpose</w:t>
            </w:r>
          </w:p>
        </w:tc>
        <w:tc>
          <w:tcPr>
            <w:tcW w:type="dxa" w:w="3389"/>
            <w:shd w:fill="17324D"/>
          </w:tcPr>
          <w:p>
            <w:r>
              <w:rPr>
                <w:b/>
                <w:color w:val="FFFFFF"/>
                <w:sz w:val="15"/>
              </w:rPr>
              <w:t>Key Fields</w:t>
            </w:r>
          </w:p>
        </w:tc>
      </w:tr>
      <w:tr>
        <w:tc>
          <w:tcPr>
            <w:tcW w:type="dxa" w:w="3389"/>
            <w:vAlign w:val="top"/>
          </w:tcPr>
          <w:p>
            <w:pPr>
              <w:spacing w:after="20"/>
            </w:pPr>
            <w:r>
              <w:rPr>
                <w:sz w:val="15"/>
              </w:rPr>
              <w:t>client_knowledge_profiles</w:t>
            </w:r>
          </w:p>
        </w:tc>
        <w:tc>
          <w:tcPr>
            <w:tcW w:type="dxa" w:w="3389"/>
            <w:vAlign w:val="top"/>
          </w:tcPr>
          <w:p>
            <w:pPr>
              <w:spacing w:after="20"/>
            </w:pPr>
            <w:r>
              <w:rPr>
                <w:sz w:val="15"/>
              </w:rPr>
              <w:t>Stores verified structured business context</w:t>
            </w:r>
          </w:p>
        </w:tc>
        <w:tc>
          <w:tcPr>
            <w:tcW w:type="dxa" w:w="3389"/>
            <w:vAlign w:val="top"/>
          </w:tcPr>
          <w:p>
            <w:pPr>
              <w:spacing w:after="20"/>
            </w:pPr>
            <w:r>
              <w:rPr>
                <w:sz w:val="15"/>
              </w:rPr>
              <w:t>client_id, profile_version, services, problems, audiences, differentiators, categories, exclusions, approved_at</w:t>
            </w:r>
          </w:p>
        </w:tc>
      </w:tr>
      <w:tr>
        <w:tc>
          <w:tcPr>
            <w:tcW w:type="dxa" w:w="3389"/>
            <w:vAlign w:val="top"/>
            <w:shd w:fill="F4F7FA"/>
          </w:tcPr>
          <w:p>
            <w:pPr>
              <w:spacing w:after="20"/>
            </w:pPr>
            <w:r>
              <w:rPr>
                <w:sz w:val="15"/>
              </w:rPr>
              <w:t>prompt_methodologies</w:t>
            </w:r>
          </w:p>
        </w:tc>
        <w:tc>
          <w:tcPr>
            <w:tcW w:type="dxa" w:w="3389"/>
            <w:vAlign w:val="top"/>
            <w:shd w:fill="F4F7FA"/>
          </w:tcPr>
          <w:p>
            <w:pPr>
              <w:spacing w:after="20"/>
            </w:pPr>
            <w:r>
              <w:rPr>
                <w:sz w:val="15"/>
              </w:rPr>
              <w:t>Defines standard panel rules</w:t>
            </w:r>
          </w:p>
        </w:tc>
        <w:tc>
          <w:tcPr>
            <w:tcW w:type="dxa" w:w="3389"/>
            <w:vAlign w:val="top"/>
            <w:shd w:fill="F4F7FA"/>
          </w:tcPr>
          <w:p>
            <w:pPr>
              <w:spacing w:after="20"/>
            </w:pPr>
            <w:r>
              <w:rPr>
                <w:sz w:val="15"/>
              </w:rPr>
              <w:t>version, status, quotas_json, validation_rules_json, effective_at</w:t>
            </w:r>
          </w:p>
        </w:tc>
      </w:tr>
      <w:tr>
        <w:tc>
          <w:tcPr>
            <w:tcW w:type="dxa" w:w="3389"/>
            <w:vAlign w:val="top"/>
          </w:tcPr>
          <w:p>
            <w:pPr>
              <w:spacing w:after="20"/>
            </w:pPr>
            <w:r>
              <w:rPr>
                <w:sz w:val="15"/>
              </w:rPr>
              <w:t>prompt_generation_runs</w:t>
            </w:r>
          </w:p>
        </w:tc>
        <w:tc>
          <w:tcPr>
            <w:tcW w:type="dxa" w:w="3389"/>
            <w:vAlign w:val="top"/>
          </w:tcPr>
          <w:p>
            <w:pPr>
              <w:spacing w:after="20"/>
            </w:pPr>
            <w:r>
              <w:rPr>
                <w:sz w:val="15"/>
              </w:rPr>
              <w:t>Preserves generation provenance</w:t>
            </w:r>
          </w:p>
        </w:tc>
        <w:tc>
          <w:tcPr>
            <w:tcW w:type="dxa" w:w="3389"/>
            <w:vAlign w:val="top"/>
          </w:tcPr>
          <w:p>
            <w:pPr>
              <w:spacing w:after="20"/>
            </w:pPr>
            <w:r>
              <w:rPr>
                <w:sz w:val="15"/>
              </w:rPr>
              <w:t>client_id, collection_id, methodology_version, adapter_slug, model_variant, context_json, system_prompt, raw_response, counts, created_by</w:t>
            </w:r>
          </w:p>
        </w:tc>
      </w:tr>
      <w:tr>
        <w:tc>
          <w:tcPr>
            <w:tcW w:type="dxa" w:w="3389"/>
            <w:vAlign w:val="top"/>
            <w:shd w:fill="F4F7FA"/>
          </w:tcPr>
          <w:p>
            <w:pPr>
              <w:spacing w:after="20"/>
            </w:pPr>
            <w:r>
              <w:rPr>
                <w:sz w:val="15"/>
              </w:rPr>
              <w:t>prompt_generation_candidates</w:t>
            </w:r>
          </w:p>
        </w:tc>
        <w:tc>
          <w:tcPr>
            <w:tcW w:type="dxa" w:w="3389"/>
            <w:vAlign w:val="top"/>
            <w:shd w:fill="F4F7FA"/>
          </w:tcPr>
          <w:p>
            <w:pPr>
              <w:spacing w:after="20"/>
            </w:pPr>
            <w:r>
              <w:rPr>
                <w:sz w:val="15"/>
              </w:rPr>
              <w:t>Stores original and analyst-reviewed candidates</w:t>
            </w:r>
          </w:p>
        </w:tc>
        <w:tc>
          <w:tcPr>
            <w:tcW w:type="dxa" w:w="3389"/>
            <w:vAlign w:val="top"/>
            <w:shd w:fill="F4F7FA"/>
          </w:tcPr>
          <w:p>
            <w:pPr>
              <w:spacing w:after="20"/>
            </w:pPr>
            <w:r>
              <w:rPr>
                <w:sz w:val="15"/>
              </w:rPr>
              <w:t>run_id, original_json, edited_json, quality_score, warnings, selected, rejection_reason</w:t>
            </w:r>
          </w:p>
        </w:tc>
      </w:tr>
      <w:tr>
        <w:tc>
          <w:tcPr>
            <w:tcW w:type="dxa" w:w="3389"/>
            <w:vAlign w:val="top"/>
          </w:tcPr>
          <w:p>
            <w:pPr>
              <w:spacing w:after="20"/>
            </w:pPr>
            <w:r>
              <w:rPr>
                <w:sz w:val="15"/>
              </w:rPr>
              <w:t>prompts</w:t>
            </w:r>
          </w:p>
        </w:tc>
        <w:tc>
          <w:tcPr>
            <w:tcW w:type="dxa" w:w="3389"/>
            <w:vAlign w:val="top"/>
          </w:tcPr>
          <w:p>
            <w:pPr>
              <w:spacing w:after="20"/>
            </w:pPr>
            <w:r>
              <w:rPr>
                <w:sz w:val="15"/>
              </w:rPr>
              <w:t>Expand active prompt metadata</w:t>
            </w:r>
          </w:p>
        </w:tc>
        <w:tc>
          <w:tcPr>
            <w:tcW w:type="dxa" w:w="3389"/>
            <w:vAlign w:val="top"/>
          </w:tcPr>
          <w:p>
            <w:pPr>
              <w:spacing w:after="20"/>
            </w:pPr>
            <w:r>
              <w:rPr>
                <w:sz w:val="15"/>
              </w:rPr>
              <w:t>intent_type, brand_in_prompt, service, location, prompt_family, commercial_value, measurement_purpose, generation_candidate_id</w:t>
            </w:r>
          </w:p>
        </w:tc>
      </w:tr>
    </w:tbl>
    <w:p/>
    <w:p>
      <w:pPr>
        <w:pStyle w:val="Heading2"/>
      </w:pPr>
      <w:r>
        <w:t>7.2 Proposed Candidate Type</w:t>
      </w:r>
    </w:p>
    <w:p>
      <w:r>
        <w:rPr>
          <w:rFonts w:ascii="Aptos Mono" w:hAnsi="Aptos Mono"/>
          <w:sz w:val="17"/>
        </w:rPr>
        <w:t>GeneratedPromptCandidate: text, intentType, brandInPrompt, funnelStage, service, location, promptFamily, commercialValue, priorityWeight, measurementPurpose, rationale, qualityScore, warnings.</w:t>
      </w:r>
    </w:p>
    <w:p>
      <w:pPr>
        <w:pStyle w:val="Heading1"/>
      </w:pPr>
      <w:r>
        <w:t>8. API and Service Specification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Pr>
          <w:p>
            <w:r>
              <w:rPr>
                <w:b/>
                <w:color w:val="FFFFFF"/>
                <w:sz w:val="15"/>
              </w:rPr>
              <w:t>Endpoint / Service</w:t>
            </w:r>
          </w:p>
        </w:tc>
        <w:tc>
          <w:tcPr>
            <w:tcW w:type="dxa" w:w="5083"/>
            <w:shd w:fill="17324D"/>
          </w:tcPr>
          <w:p>
            <w:r>
              <w:rPr>
                <w:b/>
                <w:color w:val="FFFFFF"/>
                <w:sz w:val="15"/>
              </w:rPr>
              <w:t>Recommendation</w:t>
            </w:r>
          </w:p>
        </w:tc>
      </w:tr>
      <w:tr>
        <w:tc>
          <w:tcPr>
            <w:tcW w:type="dxa" w:w="5083"/>
            <w:vAlign w:val="top"/>
          </w:tcPr>
          <w:p>
            <w:pPr>
              <w:spacing w:after="20"/>
            </w:pPr>
            <w:r>
              <w:rPr>
                <w:sz w:val="15"/>
              </w:rPr>
              <w:t>POST /api/clients/:clientId/prompt-collections/:id/generate-prompts</w:t>
            </w:r>
          </w:p>
        </w:tc>
        <w:tc>
          <w:tcPr>
            <w:tcW w:type="dxa" w:w="5083"/>
            <w:vAlign w:val="top"/>
          </w:tcPr>
          <w:p>
            <w:pPr>
              <w:spacing w:after="20"/>
            </w:pPr>
            <w:r>
              <w:rPr>
                <w:sz w:val="15"/>
              </w:rPr>
              <w:t>Verify collection.clientId matches clientId; accept methodologyVersion, adapterSlug, modelVariant, requestedPanelSize, and optional quota overrides restricted to admins.</w:t>
            </w:r>
          </w:p>
        </w:tc>
      </w:tr>
      <w:tr>
        <w:tc>
          <w:tcPr>
            <w:tcW w:type="dxa" w:w="5083"/>
            <w:vAlign w:val="top"/>
            <w:shd w:fill="F4F7FA"/>
          </w:tcPr>
          <w:p>
            <w:pPr>
              <w:spacing w:after="20"/>
            </w:pPr>
            <w:r>
              <w:rPr>
                <w:sz w:val="15"/>
              </w:rPr>
              <w:t>GET /api/prompt-generation-runs/:id</w:t>
            </w:r>
          </w:p>
        </w:tc>
        <w:tc>
          <w:tcPr>
            <w:tcW w:type="dxa" w:w="5083"/>
            <w:vAlign w:val="top"/>
            <w:shd w:fill="F4F7FA"/>
          </w:tcPr>
          <w:p>
            <w:pPr>
              <w:spacing w:after="20"/>
            </w:pPr>
            <w:r>
              <w:rPr>
                <w:sz w:val="15"/>
              </w:rPr>
              <w:t>Return provenance, context summary, candidate counts, warnings, and model information.</w:t>
            </w:r>
          </w:p>
        </w:tc>
      </w:tr>
      <w:tr>
        <w:tc>
          <w:tcPr>
            <w:tcW w:type="dxa" w:w="5083"/>
            <w:vAlign w:val="top"/>
          </w:tcPr>
          <w:p>
            <w:pPr>
              <w:spacing w:after="20"/>
            </w:pPr>
            <w:r>
              <w:rPr>
                <w:sz w:val="15"/>
              </w:rPr>
              <w:t>POST /api/prompt-generation-runs/:id/validate</w:t>
            </w:r>
          </w:p>
        </w:tc>
        <w:tc>
          <w:tcPr>
            <w:tcW w:type="dxa" w:w="5083"/>
            <w:vAlign w:val="top"/>
          </w:tcPr>
          <w:p>
            <w:pPr>
              <w:spacing w:after="20"/>
            </w:pPr>
            <w:r>
              <w:rPr>
                <w:sz w:val="15"/>
              </w:rPr>
              <w:t>Re-run deterministic validation and duplicate checks after analyst edits.</w:t>
            </w:r>
          </w:p>
        </w:tc>
      </w:tr>
      <w:tr>
        <w:tc>
          <w:tcPr>
            <w:tcW w:type="dxa" w:w="5083"/>
            <w:vAlign w:val="top"/>
            <w:shd w:fill="F4F7FA"/>
          </w:tcPr>
          <w:p>
            <w:pPr>
              <w:spacing w:after="20"/>
            </w:pPr>
            <w:r>
              <w:rPr>
                <w:sz w:val="15"/>
              </w:rPr>
              <w:t>POST /api/prompt-generation-runs/:id/save-selected</w:t>
            </w:r>
          </w:p>
        </w:tc>
        <w:tc>
          <w:tcPr>
            <w:tcW w:type="dxa" w:w="5083"/>
            <w:vAlign w:val="top"/>
            <w:shd w:fill="F4F7FA"/>
          </w:tcPr>
          <w:p>
            <w:pPr>
              <w:spacing w:after="20"/>
            </w:pPr>
            <w:r>
              <w:rPr>
                <w:sz w:val="15"/>
              </w:rPr>
              <w:t>Persist selected candidates transactionally into the target draft collection.</w:t>
            </w:r>
          </w:p>
        </w:tc>
      </w:tr>
      <w:tr>
        <w:tc>
          <w:tcPr>
            <w:tcW w:type="dxa" w:w="5083"/>
            <w:vAlign w:val="top"/>
          </w:tcPr>
          <w:p>
            <w:pPr>
              <w:spacing w:after="20"/>
            </w:pPr>
            <w:r>
              <w:rPr>
                <w:sz w:val="15"/>
              </w:rPr>
              <w:t>PromptGeneratorService</w:t>
            </w:r>
          </w:p>
        </w:tc>
        <w:tc>
          <w:tcPr>
            <w:tcW w:type="dxa" w:w="5083"/>
            <w:vAlign w:val="top"/>
          </w:tcPr>
          <w:p>
            <w:pPr>
              <w:spacing w:after="20"/>
            </w:pPr>
            <w:r>
              <w:rPr>
                <w:sz w:val="15"/>
              </w:rPr>
              <w:t>Split context assembly, generation, parsing, validation, scoring, balancing, and persistence into separate units.</w:t>
            </w:r>
          </w:p>
        </w:tc>
      </w:tr>
      <w:tr>
        <w:tc>
          <w:tcPr>
            <w:tcW w:type="dxa" w:w="5083"/>
            <w:vAlign w:val="top"/>
            <w:shd w:fill="F4F7FA"/>
          </w:tcPr>
          <w:p>
            <w:pPr>
              <w:spacing w:after="20"/>
            </w:pPr>
            <w:r>
              <w:rPr>
                <w:sz w:val="15"/>
              </w:rPr>
              <w:t>Adapter selection</w:t>
            </w:r>
          </w:p>
        </w:tc>
        <w:tc>
          <w:tcPr>
            <w:tcW w:type="dxa" w:w="5083"/>
            <w:vAlign w:val="top"/>
            <w:shd w:fill="F4F7FA"/>
          </w:tcPr>
          <w:p>
            <w:pPr>
              <w:spacing w:after="20"/>
            </w:pPr>
            <w:r>
              <w:rPr>
                <w:sz w:val="15"/>
              </w:rPr>
              <w:t>Require explicit configured default and record actual adapter/model used.</w:t>
            </w:r>
          </w:p>
        </w:tc>
      </w:tr>
    </w:tbl>
    <w:p/>
    <w:p>
      <w:pPr>
        <w:pStyle w:val="Heading1"/>
      </w:pPr>
      <w:r>
        <w:t>9. 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b/>
                <w:color w:val="FFFFFF"/>
                <w:sz w:val="14"/>
              </w:rPr>
              <w:t>ID</w:t>
            </w:r>
          </w:p>
        </w:tc>
        <w:tc>
          <w:tcPr>
            <w:tcW w:type="dxa" w:w="3389"/>
            <w:shd w:fill="17324D"/>
          </w:tcPr>
          <w:p>
            <w:r>
              <w:rPr>
                <w:b/>
                <w:color w:val="FFFFFF"/>
                <w:sz w:val="14"/>
              </w:rPr>
              <w:t>Requirement</w:t>
            </w:r>
          </w:p>
        </w:tc>
        <w:tc>
          <w:tcPr>
            <w:tcW w:type="dxa" w:w="3389"/>
            <w:shd w:fill="17324D"/>
          </w:tcPr>
          <w:p>
            <w:r>
              <w:rPr>
                <w:b/>
                <w:color w:val="FFFFFF"/>
                <w:sz w:val="14"/>
              </w:rPr>
              <w:t>Acceptance Summary</w:t>
            </w:r>
          </w:p>
        </w:tc>
      </w:tr>
      <w:tr>
        <w:tc>
          <w:tcPr>
            <w:tcW w:type="dxa" w:w="3389"/>
            <w:vAlign w:val="top"/>
          </w:tcPr>
          <w:p>
            <w:pPr>
              <w:spacing w:after="20"/>
            </w:pPr>
            <w:r>
              <w:rPr>
                <w:sz w:val="14"/>
              </w:rPr>
              <w:t>FR-01</w:t>
            </w:r>
          </w:p>
        </w:tc>
        <w:tc>
          <w:tcPr>
            <w:tcW w:type="dxa" w:w="3389"/>
            <w:vAlign w:val="top"/>
          </w:tcPr>
          <w:p>
            <w:pPr>
              <w:spacing w:after="20"/>
            </w:pPr>
            <w:r>
              <w:rPr>
                <w:sz w:val="14"/>
              </w:rPr>
              <w:t>Client/collection ownership</w:t>
            </w:r>
          </w:p>
        </w:tc>
        <w:tc>
          <w:tcPr>
            <w:tcW w:type="dxa" w:w="3389"/>
            <w:vAlign w:val="top"/>
          </w:tcPr>
          <w:p>
            <w:pPr>
              <w:spacing w:after="20"/>
            </w:pPr>
            <w:r>
              <w:rPr>
                <w:sz w:val="14"/>
              </w:rPr>
              <w:t>Generation must fail when the target collection does not belong to the URL client.</w:t>
            </w:r>
          </w:p>
        </w:tc>
      </w:tr>
      <w:tr>
        <w:tc>
          <w:tcPr>
            <w:tcW w:type="dxa" w:w="3389"/>
            <w:vAlign w:val="top"/>
            <w:shd w:fill="F4F7FA"/>
          </w:tcPr>
          <w:p>
            <w:pPr>
              <w:spacing w:after="20"/>
            </w:pPr>
            <w:r>
              <w:rPr>
                <w:sz w:val="14"/>
              </w:rPr>
              <w:t>FR-02</w:t>
            </w:r>
          </w:p>
        </w:tc>
        <w:tc>
          <w:tcPr>
            <w:tcW w:type="dxa" w:w="3389"/>
            <w:vAlign w:val="top"/>
            <w:shd w:fill="F4F7FA"/>
          </w:tcPr>
          <w:p>
            <w:pPr>
              <w:spacing w:after="20"/>
            </w:pPr>
            <w:r>
              <w:rPr>
                <w:sz w:val="14"/>
              </w:rPr>
              <w:t>Verified context</w:t>
            </w:r>
          </w:p>
        </w:tc>
        <w:tc>
          <w:tcPr>
            <w:tcW w:type="dxa" w:w="3389"/>
            <w:vAlign w:val="top"/>
            <w:shd w:fill="F4F7FA"/>
          </w:tcPr>
          <w:p>
            <w:pPr>
              <w:spacing w:after="20"/>
            </w:pPr>
            <w:r>
              <w:rPr>
                <w:sz w:val="14"/>
              </w:rPr>
              <w:t>Generation must require client name, domain, core services, approved geography, and exclusions.</w:t>
            </w:r>
          </w:p>
        </w:tc>
      </w:tr>
      <w:tr>
        <w:tc>
          <w:tcPr>
            <w:tcW w:type="dxa" w:w="3389"/>
            <w:vAlign w:val="top"/>
          </w:tcPr>
          <w:p>
            <w:pPr>
              <w:spacing w:after="20"/>
            </w:pPr>
            <w:r>
              <w:rPr>
                <w:sz w:val="14"/>
              </w:rPr>
              <w:t>FR-03</w:t>
            </w:r>
          </w:p>
        </w:tc>
        <w:tc>
          <w:tcPr>
            <w:tcW w:type="dxa" w:w="3389"/>
            <w:vAlign w:val="top"/>
          </w:tcPr>
          <w:p>
            <w:pPr>
              <w:spacing w:after="20"/>
            </w:pPr>
            <w:r>
              <w:rPr>
                <w:sz w:val="14"/>
              </w:rPr>
              <w:t>Methodology version</w:t>
            </w:r>
          </w:p>
        </w:tc>
        <w:tc>
          <w:tcPr>
            <w:tcW w:type="dxa" w:w="3389"/>
            <w:vAlign w:val="top"/>
          </w:tcPr>
          <w:p>
            <w:pPr>
              <w:spacing w:after="20"/>
            </w:pPr>
            <w:r>
              <w:rPr>
                <w:sz w:val="14"/>
              </w:rPr>
              <w:t>Every run must identify the methodology version used.</w:t>
            </w:r>
          </w:p>
        </w:tc>
      </w:tr>
      <w:tr>
        <w:tc>
          <w:tcPr>
            <w:tcW w:type="dxa" w:w="3389"/>
            <w:vAlign w:val="top"/>
            <w:shd w:fill="F4F7FA"/>
          </w:tcPr>
          <w:p>
            <w:pPr>
              <w:spacing w:after="20"/>
            </w:pPr>
            <w:r>
              <w:rPr>
                <w:sz w:val="14"/>
              </w:rPr>
              <w:t>FR-04</w:t>
            </w:r>
          </w:p>
        </w:tc>
        <w:tc>
          <w:tcPr>
            <w:tcW w:type="dxa" w:w="3389"/>
            <w:vAlign w:val="top"/>
            <w:shd w:fill="F4F7FA"/>
          </w:tcPr>
          <w:p>
            <w:pPr>
              <w:spacing w:after="20"/>
            </w:pPr>
            <w:r>
              <w:rPr>
                <w:sz w:val="14"/>
              </w:rPr>
              <w:t>Exact quotas</w:t>
            </w:r>
          </w:p>
        </w:tc>
        <w:tc>
          <w:tcPr>
            <w:tcW w:type="dxa" w:w="3389"/>
            <w:vAlign w:val="top"/>
            <w:shd w:fill="F4F7FA"/>
          </w:tcPr>
          <w:p>
            <w:pPr>
              <w:spacing w:after="20"/>
            </w:pPr>
            <w:r>
              <w:rPr>
                <w:sz w:val="14"/>
              </w:rPr>
              <w:t>The recommended panel must satisfy branded/non-branded and intent quotas.</w:t>
            </w:r>
          </w:p>
        </w:tc>
      </w:tr>
      <w:tr>
        <w:tc>
          <w:tcPr>
            <w:tcW w:type="dxa" w:w="3389"/>
            <w:vAlign w:val="top"/>
          </w:tcPr>
          <w:p>
            <w:pPr>
              <w:spacing w:after="20"/>
            </w:pPr>
            <w:r>
              <w:rPr>
                <w:sz w:val="14"/>
              </w:rPr>
              <w:t>FR-05</w:t>
            </w:r>
          </w:p>
        </w:tc>
        <w:tc>
          <w:tcPr>
            <w:tcW w:type="dxa" w:w="3389"/>
            <w:vAlign w:val="top"/>
          </w:tcPr>
          <w:p>
            <w:pPr>
              <w:spacing w:after="20"/>
            </w:pPr>
            <w:r>
              <w:rPr>
                <w:sz w:val="14"/>
              </w:rPr>
              <w:t>Oversized pool</w:t>
            </w:r>
          </w:p>
        </w:tc>
        <w:tc>
          <w:tcPr>
            <w:tcW w:type="dxa" w:w="3389"/>
            <w:vAlign w:val="top"/>
          </w:tcPr>
          <w:p>
            <w:pPr>
              <w:spacing w:after="20"/>
            </w:pPr>
            <w:r>
              <w:rPr>
                <w:sz w:val="14"/>
              </w:rPr>
              <w:t>The system generates more candidates than the final requested panel size.</w:t>
            </w:r>
          </w:p>
        </w:tc>
      </w:tr>
      <w:tr>
        <w:tc>
          <w:tcPr>
            <w:tcW w:type="dxa" w:w="3389"/>
            <w:vAlign w:val="top"/>
            <w:shd w:fill="F4F7FA"/>
          </w:tcPr>
          <w:p>
            <w:pPr>
              <w:spacing w:after="20"/>
            </w:pPr>
            <w:r>
              <w:rPr>
                <w:sz w:val="14"/>
              </w:rPr>
              <w:t>FR-06</w:t>
            </w:r>
          </w:p>
        </w:tc>
        <w:tc>
          <w:tcPr>
            <w:tcW w:type="dxa" w:w="3389"/>
            <w:vAlign w:val="top"/>
            <w:shd w:fill="F4F7FA"/>
          </w:tcPr>
          <w:p>
            <w:pPr>
              <w:spacing w:after="20"/>
            </w:pPr>
            <w:r>
              <w:rPr>
                <w:sz w:val="14"/>
              </w:rPr>
              <w:t>Validation diagnostics</w:t>
            </w:r>
          </w:p>
        </w:tc>
        <w:tc>
          <w:tcPr>
            <w:tcW w:type="dxa" w:w="3389"/>
            <w:vAlign w:val="top"/>
            <w:shd w:fill="F4F7FA"/>
          </w:tcPr>
          <w:p>
            <w:pPr>
              <w:spacing w:after="20"/>
            </w:pPr>
            <w:r>
              <w:rPr>
                <w:sz w:val="14"/>
              </w:rPr>
              <w:t>Invalid candidates produce visible reasons instead of silent deletion.</w:t>
            </w:r>
          </w:p>
        </w:tc>
      </w:tr>
      <w:tr>
        <w:tc>
          <w:tcPr>
            <w:tcW w:type="dxa" w:w="3389"/>
            <w:vAlign w:val="top"/>
          </w:tcPr>
          <w:p>
            <w:pPr>
              <w:spacing w:after="20"/>
            </w:pPr>
            <w:r>
              <w:rPr>
                <w:sz w:val="14"/>
              </w:rPr>
              <w:t>FR-07</w:t>
            </w:r>
          </w:p>
        </w:tc>
        <w:tc>
          <w:tcPr>
            <w:tcW w:type="dxa" w:w="3389"/>
            <w:vAlign w:val="top"/>
          </w:tcPr>
          <w:p>
            <w:pPr>
              <w:spacing w:after="20"/>
            </w:pPr>
            <w:r>
              <w:rPr>
                <w:sz w:val="14"/>
              </w:rPr>
              <w:t>Duplicate control</w:t>
            </w:r>
          </w:p>
        </w:tc>
        <w:tc>
          <w:tcPr>
            <w:tcW w:type="dxa" w:w="3389"/>
            <w:vAlign w:val="top"/>
          </w:tcPr>
          <w:p>
            <w:pPr>
              <w:spacing w:after="20"/>
            </w:pPr>
            <w:r>
              <w:rPr>
                <w:sz w:val="14"/>
              </w:rPr>
              <w:t>Exact and semantic duplicates are flagged within the pool and against existing prompts.</w:t>
            </w:r>
          </w:p>
        </w:tc>
      </w:tr>
      <w:tr>
        <w:tc>
          <w:tcPr>
            <w:tcW w:type="dxa" w:w="3389"/>
            <w:vAlign w:val="top"/>
            <w:shd w:fill="F4F7FA"/>
          </w:tcPr>
          <w:p>
            <w:pPr>
              <w:spacing w:after="20"/>
            </w:pPr>
            <w:r>
              <w:rPr>
                <w:sz w:val="14"/>
              </w:rPr>
              <w:t>FR-08</w:t>
            </w:r>
          </w:p>
        </w:tc>
        <w:tc>
          <w:tcPr>
            <w:tcW w:type="dxa" w:w="3389"/>
            <w:vAlign w:val="top"/>
            <w:shd w:fill="F4F7FA"/>
          </w:tcPr>
          <w:p>
            <w:pPr>
              <w:spacing w:after="20"/>
            </w:pPr>
            <w:r>
              <w:rPr>
                <w:sz w:val="14"/>
              </w:rPr>
              <w:t>Quality score</w:t>
            </w:r>
          </w:p>
        </w:tc>
        <w:tc>
          <w:tcPr>
            <w:tcW w:type="dxa" w:w="3389"/>
            <w:vAlign w:val="top"/>
            <w:shd w:fill="F4F7FA"/>
          </w:tcPr>
          <w:p>
            <w:pPr>
              <w:spacing w:after="20"/>
            </w:pPr>
            <w:r>
              <w:rPr>
                <w:sz w:val="14"/>
              </w:rPr>
              <w:t>Candidates receive deterministic quality factors and an overall score.</w:t>
            </w:r>
          </w:p>
        </w:tc>
      </w:tr>
      <w:tr>
        <w:tc>
          <w:tcPr>
            <w:tcW w:type="dxa" w:w="3389"/>
            <w:vAlign w:val="top"/>
          </w:tcPr>
          <w:p>
            <w:pPr>
              <w:spacing w:after="20"/>
            </w:pPr>
            <w:r>
              <w:rPr>
                <w:sz w:val="14"/>
              </w:rPr>
              <w:t>FR-09</w:t>
            </w:r>
          </w:p>
        </w:tc>
        <w:tc>
          <w:tcPr>
            <w:tcW w:type="dxa" w:w="3389"/>
            <w:vAlign w:val="top"/>
          </w:tcPr>
          <w:p>
            <w:pPr>
              <w:spacing w:after="20"/>
            </w:pPr>
            <w:r>
              <w:rPr>
                <w:sz w:val="14"/>
              </w:rPr>
              <w:t>Explicit model</w:t>
            </w:r>
          </w:p>
        </w:tc>
        <w:tc>
          <w:tcPr>
            <w:tcW w:type="dxa" w:w="3389"/>
            <w:vAlign w:val="top"/>
          </w:tcPr>
          <w:p>
            <w:pPr>
              <w:spacing w:after="20"/>
            </w:pPr>
            <w:r>
              <w:rPr>
                <w:sz w:val="14"/>
              </w:rPr>
              <w:t>The selected adapter and model are recorded and visible.</w:t>
            </w:r>
          </w:p>
        </w:tc>
      </w:tr>
      <w:tr>
        <w:tc>
          <w:tcPr>
            <w:tcW w:type="dxa" w:w="3389"/>
            <w:vAlign w:val="top"/>
            <w:shd w:fill="F4F7FA"/>
          </w:tcPr>
          <w:p>
            <w:pPr>
              <w:spacing w:after="20"/>
            </w:pPr>
            <w:r>
              <w:rPr>
                <w:sz w:val="14"/>
              </w:rPr>
              <w:t>FR-10</w:t>
            </w:r>
          </w:p>
        </w:tc>
        <w:tc>
          <w:tcPr>
            <w:tcW w:type="dxa" w:w="3389"/>
            <w:vAlign w:val="top"/>
            <w:shd w:fill="F4F7FA"/>
          </w:tcPr>
          <w:p>
            <w:pPr>
              <w:spacing w:after="20"/>
            </w:pPr>
            <w:r>
              <w:rPr>
                <w:sz w:val="14"/>
              </w:rPr>
              <w:t>Provenance</w:t>
            </w:r>
          </w:p>
        </w:tc>
        <w:tc>
          <w:tcPr>
            <w:tcW w:type="dxa" w:w="3389"/>
            <w:vAlign w:val="top"/>
            <w:shd w:fill="F4F7FA"/>
          </w:tcPr>
          <w:p>
            <w:pPr>
              <w:spacing w:after="20"/>
            </w:pPr>
            <w:r>
              <w:rPr>
                <w:sz w:val="14"/>
              </w:rPr>
              <w:t>Raw response, context, candidates, edits, and selection decisions are retained.</w:t>
            </w:r>
          </w:p>
        </w:tc>
      </w:tr>
      <w:tr>
        <w:tc>
          <w:tcPr>
            <w:tcW w:type="dxa" w:w="3389"/>
            <w:vAlign w:val="top"/>
          </w:tcPr>
          <w:p>
            <w:pPr>
              <w:spacing w:after="20"/>
            </w:pPr>
            <w:r>
              <w:rPr>
                <w:sz w:val="14"/>
              </w:rPr>
              <w:t>FR-11</w:t>
            </w:r>
          </w:p>
        </w:tc>
        <w:tc>
          <w:tcPr>
            <w:tcW w:type="dxa" w:w="3389"/>
            <w:vAlign w:val="top"/>
          </w:tcPr>
          <w:p>
            <w:pPr>
              <w:spacing w:after="20"/>
            </w:pPr>
            <w:r>
              <w:rPr>
                <w:sz w:val="14"/>
              </w:rPr>
              <w:t>Analyst review</w:t>
            </w:r>
          </w:p>
        </w:tc>
        <w:tc>
          <w:tcPr>
            <w:tcW w:type="dxa" w:w="3389"/>
            <w:vAlign w:val="top"/>
          </w:tcPr>
          <w:p>
            <w:pPr>
              <w:spacing w:after="20"/>
            </w:pPr>
            <w:r>
              <w:rPr>
                <w:sz w:val="14"/>
              </w:rPr>
              <w:t>No generated prompt becomes active without analyst selection.</w:t>
            </w:r>
          </w:p>
        </w:tc>
      </w:tr>
      <w:tr>
        <w:tc>
          <w:tcPr>
            <w:tcW w:type="dxa" w:w="3389"/>
            <w:vAlign w:val="top"/>
            <w:shd w:fill="F4F7FA"/>
          </w:tcPr>
          <w:p>
            <w:pPr>
              <w:spacing w:after="20"/>
            </w:pPr>
            <w:r>
              <w:rPr>
                <w:sz w:val="14"/>
              </w:rPr>
              <w:t>FR-12</w:t>
            </w:r>
          </w:p>
        </w:tc>
        <w:tc>
          <w:tcPr>
            <w:tcW w:type="dxa" w:w="3389"/>
            <w:vAlign w:val="top"/>
            <w:shd w:fill="F4F7FA"/>
          </w:tcPr>
          <w:p>
            <w:pPr>
              <w:spacing w:after="20"/>
            </w:pPr>
            <w:r>
              <w:rPr>
                <w:sz w:val="14"/>
              </w:rPr>
              <w:t>Exclusion enforcement</w:t>
            </w:r>
          </w:p>
        </w:tc>
        <w:tc>
          <w:tcPr>
            <w:tcW w:type="dxa" w:w="3389"/>
            <w:vAlign w:val="top"/>
            <w:shd w:fill="F4F7FA"/>
          </w:tcPr>
          <w:p>
            <w:pPr>
              <w:spacing w:after="20"/>
            </w:pPr>
            <w:r>
              <w:rPr>
                <w:sz w:val="14"/>
              </w:rPr>
              <w:t>Disallowed services, locations, topics, and audiences cannot be saved without override.</w:t>
            </w:r>
          </w:p>
        </w:tc>
      </w:tr>
      <w:tr>
        <w:tc>
          <w:tcPr>
            <w:tcW w:type="dxa" w:w="3389"/>
            <w:vAlign w:val="top"/>
          </w:tcPr>
          <w:p>
            <w:pPr>
              <w:spacing w:after="20"/>
            </w:pPr>
            <w:r>
              <w:rPr>
                <w:sz w:val="14"/>
              </w:rPr>
              <w:t>FR-13</w:t>
            </w:r>
          </w:p>
        </w:tc>
        <w:tc>
          <w:tcPr>
            <w:tcW w:type="dxa" w:w="3389"/>
            <w:vAlign w:val="top"/>
          </w:tcPr>
          <w:p>
            <w:pPr>
              <w:spacing w:after="20"/>
            </w:pPr>
            <w:r>
              <w:rPr>
                <w:sz w:val="14"/>
              </w:rPr>
              <w:t>Panel balance</w:t>
            </w:r>
          </w:p>
        </w:tc>
        <w:tc>
          <w:tcPr>
            <w:tcW w:type="dxa" w:w="3389"/>
            <w:vAlign w:val="top"/>
          </w:tcPr>
          <w:p>
            <w:pPr>
              <w:spacing w:after="20"/>
            </w:pPr>
            <w:r>
              <w:rPr>
                <w:sz w:val="14"/>
              </w:rPr>
              <w:t>The save operation rejects panels that fail required quotas unless an authorized override is documented.</w:t>
            </w:r>
          </w:p>
        </w:tc>
      </w:tr>
      <w:tr>
        <w:tc>
          <w:tcPr>
            <w:tcW w:type="dxa" w:w="3389"/>
            <w:vAlign w:val="top"/>
            <w:shd w:fill="F4F7FA"/>
          </w:tcPr>
          <w:p>
            <w:pPr>
              <w:spacing w:after="20"/>
            </w:pPr>
            <w:r>
              <w:rPr>
                <w:sz w:val="14"/>
              </w:rPr>
              <w:t>FR-14</w:t>
            </w:r>
          </w:p>
        </w:tc>
        <w:tc>
          <w:tcPr>
            <w:tcW w:type="dxa" w:w="3389"/>
            <w:vAlign w:val="top"/>
            <w:shd w:fill="F4F7FA"/>
          </w:tcPr>
          <w:p>
            <w:pPr>
              <w:spacing w:after="20"/>
            </w:pPr>
            <w:r>
              <w:rPr>
                <w:sz w:val="14"/>
              </w:rPr>
              <w:t>Version safety</w:t>
            </w:r>
          </w:p>
        </w:tc>
        <w:tc>
          <w:tcPr>
            <w:tcW w:type="dxa" w:w="3389"/>
            <w:vAlign w:val="top"/>
            <w:shd w:fill="F4F7FA"/>
          </w:tcPr>
          <w:p>
            <w:pPr>
              <w:spacing w:after="20"/>
            </w:pPr>
            <w:r>
              <w:rPr>
                <w:sz w:val="14"/>
              </w:rPr>
              <w:t>Generated prompts are saved to a draft or new panel version, never silently into a locked active baseline.</w:t>
            </w:r>
          </w:p>
        </w:tc>
      </w:tr>
    </w:tbl>
    <w:p/>
    <w:p>
      <w:pPr>
        <w:pStyle w:val="Heading1"/>
      </w:pPr>
      <w:r>
        <w:t>10. Validation and Quality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Pr>
          <w:p>
            <w:r>
              <w:rPr>
                <w:b/>
                <w:color w:val="FFFFFF"/>
                <w:sz w:val="15"/>
              </w:rPr>
              <w:t>Rule</w:t>
            </w:r>
          </w:p>
        </w:tc>
        <w:tc>
          <w:tcPr>
            <w:tcW w:type="dxa" w:w="5083"/>
            <w:shd w:fill="17324D"/>
          </w:tcPr>
          <w:p>
            <w:r>
              <w:rPr>
                <w:b/>
                <w:color w:val="FFFFFF"/>
                <w:sz w:val="15"/>
              </w:rPr>
              <w:t>Recommended Behavior</w:t>
            </w:r>
          </w:p>
        </w:tc>
      </w:tr>
      <w:tr>
        <w:tc>
          <w:tcPr>
            <w:tcW w:type="dxa" w:w="5083"/>
            <w:vAlign w:val="top"/>
          </w:tcPr>
          <w:p>
            <w:pPr>
              <w:spacing w:after="20"/>
            </w:pPr>
            <w:r>
              <w:rPr>
                <w:sz w:val="15"/>
              </w:rPr>
              <w:t>Count completeness</w:t>
            </w:r>
          </w:p>
        </w:tc>
        <w:tc>
          <w:tcPr>
            <w:tcW w:type="dxa" w:w="5083"/>
            <w:vAlign w:val="top"/>
          </w:tcPr>
          <w:p>
            <w:pPr>
              <w:spacing w:after="20"/>
            </w:pPr>
            <w:r>
              <w:rPr>
                <w:sz w:val="15"/>
              </w:rPr>
              <w:t>Retry once when fewer than 80% of the requested candidate count survives validation.</w:t>
            </w:r>
          </w:p>
        </w:tc>
      </w:tr>
      <w:tr>
        <w:tc>
          <w:tcPr>
            <w:tcW w:type="dxa" w:w="5083"/>
            <w:vAlign w:val="top"/>
            <w:shd w:fill="F4F7FA"/>
          </w:tcPr>
          <w:p>
            <w:pPr>
              <w:spacing w:after="20"/>
            </w:pPr>
            <w:r>
              <w:rPr>
                <w:sz w:val="15"/>
              </w:rPr>
              <w:t>Exact duplicates</w:t>
            </w:r>
          </w:p>
        </w:tc>
        <w:tc>
          <w:tcPr>
            <w:tcW w:type="dxa" w:w="5083"/>
            <w:vAlign w:val="top"/>
            <w:shd w:fill="F4F7FA"/>
          </w:tcPr>
          <w:p>
            <w:pPr>
              <w:spacing w:after="20"/>
            </w:pPr>
            <w:r>
              <w:rPr>
                <w:sz w:val="15"/>
              </w:rPr>
              <w:t>Normalize case, punctuation, spacing, and surrounding numbering; keep one.</w:t>
            </w:r>
          </w:p>
        </w:tc>
      </w:tr>
      <w:tr>
        <w:tc>
          <w:tcPr>
            <w:tcW w:type="dxa" w:w="5083"/>
            <w:vAlign w:val="top"/>
          </w:tcPr>
          <w:p>
            <w:pPr>
              <w:spacing w:after="20"/>
            </w:pPr>
            <w:r>
              <w:rPr>
                <w:sz w:val="15"/>
              </w:rPr>
              <w:t>Semantic duplicates</w:t>
            </w:r>
          </w:p>
        </w:tc>
        <w:tc>
          <w:tcPr>
            <w:tcW w:type="dxa" w:w="5083"/>
            <w:vAlign w:val="top"/>
          </w:tcPr>
          <w:p>
            <w:pPr>
              <w:spacing w:after="20"/>
            </w:pPr>
            <w:r>
              <w:rPr>
                <w:sz w:val="15"/>
              </w:rPr>
              <w:t>Flag highly similar candidates; retain intentional variants only when assigned to the same prompt family.</w:t>
            </w:r>
          </w:p>
        </w:tc>
      </w:tr>
      <w:tr>
        <w:tc>
          <w:tcPr>
            <w:tcW w:type="dxa" w:w="5083"/>
            <w:vAlign w:val="top"/>
            <w:shd w:fill="F4F7FA"/>
          </w:tcPr>
          <w:p>
            <w:pPr>
              <w:spacing w:after="20"/>
            </w:pPr>
            <w:r>
              <w:rPr>
                <w:sz w:val="15"/>
              </w:rPr>
              <w:t>Approved services</w:t>
            </w:r>
          </w:p>
        </w:tc>
        <w:tc>
          <w:tcPr>
            <w:tcW w:type="dxa" w:w="5083"/>
            <w:vAlign w:val="top"/>
            <w:shd w:fill="F4F7FA"/>
          </w:tcPr>
          <w:p>
            <w:pPr>
              <w:spacing w:after="20"/>
            </w:pPr>
            <w:r>
              <w:rPr>
                <w:sz w:val="15"/>
              </w:rPr>
              <w:t>Reject prompts for services absent from the verified profile.</w:t>
            </w:r>
          </w:p>
        </w:tc>
      </w:tr>
      <w:tr>
        <w:tc>
          <w:tcPr>
            <w:tcW w:type="dxa" w:w="5083"/>
            <w:vAlign w:val="top"/>
          </w:tcPr>
          <w:p>
            <w:pPr>
              <w:spacing w:after="20"/>
            </w:pPr>
            <w:r>
              <w:rPr>
                <w:sz w:val="15"/>
              </w:rPr>
              <w:t>Approved locations</w:t>
            </w:r>
          </w:p>
        </w:tc>
        <w:tc>
          <w:tcPr>
            <w:tcW w:type="dxa" w:w="5083"/>
            <w:vAlign w:val="top"/>
          </w:tcPr>
          <w:p>
            <w:pPr>
              <w:spacing w:after="20"/>
            </w:pPr>
            <w:r>
              <w:rPr>
                <w:sz w:val="15"/>
              </w:rPr>
              <w:t>Reject or warn on locations outside the configured market.</w:t>
            </w:r>
          </w:p>
        </w:tc>
      </w:tr>
      <w:tr>
        <w:tc>
          <w:tcPr>
            <w:tcW w:type="dxa" w:w="5083"/>
            <w:vAlign w:val="top"/>
            <w:shd w:fill="F4F7FA"/>
          </w:tcPr>
          <w:p>
            <w:pPr>
              <w:spacing w:after="20"/>
            </w:pPr>
            <w:r>
              <w:rPr>
                <w:sz w:val="15"/>
              </w:rPr>
              <w:t>Exclusions</w:t>
            </w:r>
          </w:p>
        </w:tc>
        <w:tc>
          <w:tcPr>
            <w:tcW w:type="dxa" w:w="5083"/>
            <w:vAlign w:val="top"/>
            <w:shd w:fill="F4F7FA"/>
          </w:tcPr>
          <w:p>
            <w:pPr>
              <w:spacing w:after="20"/>
            </w:pPr>
            <w:r>
              <w:rPr>
                <w:sz w:val="15"/>
              </w:rPr>
              <w:t>Reject prompts matching exclusion rules.</w:t>
            </w:r>
          </w:p>
        </w:tc>
      </w:tr>
      <w:tr>
        <w:tc>
          <w:tcPr>
            <w:tcW w:type="dxa" w:w="5083"/>
            <w:vAlign w:val="top"/>
          </w:tcPr>
          <w:p>
            <w:pPr>
              <w:spacing w:after="20"/>
            </w:pPr>
            <w:r>
              <w:rPr>
                <w:sz w:val="15"/>
              </w:rPr>
              <w:t>Brand-state consistency</w:t>
            </w:r>
          </w:p>
        </w:tc>
        <w:tc>
          <w:tcPr>
            <w:tcW w:type="dxa" w:w="5083"/>
            <w:vAlign w:val="top"/>
          </w:tcPr>
          <w:p>
            <w:pPr>
              <w:spacing w:after="20"/>
            </w:pPr>
            <w:r>
              <w:rPr>
                <w:sz w:val="15"/>
              </w:rPr>
              <w:t>Validate brandInPrompt against actual client and competitor names present in text.</w:t>
            </w:r>
          </w:p>
        </w:tc>
      </w:tr>
      <w:tr>
        <w:tc>
          <w:tcPr>
            <w:tcW w:type="dxa" w:w="5083"/>
            <w:vAlign w:val="top"/>
            <w:shd w:fill="F4F7FA"/>
          </w:tcPr>
          <w:p>
            <w:pPr>
              <w:spacing w:after="20"/>
            </w:pPr>
            <w:r>
              <w:rPr>
                <w:sz w:val="15"/>
              </w:rPr>
              <w:t>Naturalness</w:t>
            </w:r>
          </w:p>
        </w:tc>
        <w:tc>
          <w:tcPr>
            <w:tcW w:type="dxa" w:w="5083"/>
            <w:vAlign w:val="top"/>
            <w:shd w:fill="F4F7FA"/>
          </w:tcPr>
          <w:p>
            <w:pPr>
              <w:spacing w:after="20"/>
            </w:pPr>
            <w:r>
              <w:rPr>
                <w:sz w:val="15"/>
              </w:rPr>
              <w:t>Reject keyword fragments and prompts unlikely to be asked conversationally.</w:t>
            </w:r>
          </w:p>
        </w:tc>
      </w:tr>
      <w:tr>
        <w:tc>
          <w:tcPr>
            <w:tcW w:type="dxa" w:w="5083"/>
            <w:vAlign w:val="top"/>
          </w:tcPr>
          <w:p>
            <w:pPr>
              <w:spacing w:after="20"/>
            </w:pPr>
            <w:r>
              <w:rPr>
                <w:sz w:val="15"/>
              </w:rPr>
              <w:t>Measurement value</w:t>
            </w:r>
          </w:p>
        </w:tc>
        <w:tc>
          <w:tcPr>
            <w:tcW w:type="dxa" w:w="5083"/>
            <w:vAlign w:val="top"/>
          </w:tcPr>
          <w:p>
            <w:pPr>
              <w:spacing w:after="20"/>
            </w:pPr>
            <w:r>
              <w:rPr>
                <w:sz w:val="15"/>
              </w:rPr>
              <w:t>Every prompt must have a defined measurement purpose.</w:t>
            </w:r>
          </w:p>
        </w:tc>
      </w:tr>
      <w:tr>
        <w:tc>
          <w:tcPr>
            <w:tcW w:type="dxa" w:w="5083"/>
            <w:vAlign w:val="top"/>
            <w:shd w:fill="F4F7FA"/>
          </w:tcPr>
          <w:p>
            <w:pPr>
              <w:spacing w:after="20"/>
            </w:pPr>
            <w:r>
              <w:rPr>
                <w:sz w:val="15"/>
              </w:rPr>
              <w:t>Existing panel overlap</w:t>
            </w:r>
          </w:p>
        </w:tc>
        <w:tc>
          <w:tcPr>
            <w:tcW w:type="dxa" w:w="5083"/>
            <w:vAlign w:val="top"/>
            <w:shd w:fill="F4F7FA"/>
          </w:tcPr>
          <w:p>
            <w:pPr>
              <w:spacing w:after="20"/>
            </w:pPr>
            <w:r>
              <w:rPr>
                <w:sz w:val="15"/>
              </w:rPr>
              <w:t>Warn when a candidate duplicates or closely mirrors an existing active prompt.</w:t>
            </w:r>
          </w:p>
        </w:tc>
      </w:tr>
    </w:tbl>
    <w:p/>
    <w:p>
      <w:pPr>
        <w:pStyle w:val="Heading1"/>
      </w:pPr>
      <w:r>
        <w:t>11. Candidate Quality Scoring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Pr>
          <w:p>
            <w:r>
              <w:rPr>
                <w:b/>
                <w:color w:val="FFFFFF"/>
                <w:sz w:val="15"/>
              </w:rPr>
              <w:t>Dimension</w:t>
            </w:r>
          </w:p>
        </w:tc>
        <w:tc>
          <w:tcPr>
            <w:tcW w:type="dxa" w:w="3389"/>
            <w:shd w:fill="17324D"/>
          </w:tcPr>
          <w:p>
            <w:r>
              <w:rPr>
                <w:b/>
                <w:color w:val="FFFFFF"/>
                <w:sz w:val="15"/>
              </w:rPr>
              <w:t>Weight</w:t>
            </w:r>
          </w:p>
        </w:tc>
        <w:tc>
          <w:tcPr>
            <w:tcW w:type="dxa" w:w="3389"/>
            <w:shd w:fill="17324D"/>
          </w:tcPr>
          <w:p>
            <w:r>
              <w:rPr>
                <w:b/>
                <w:color w:val="FFFFFF"/>
                <w:sz w:val="15"/>
              </w:rPr>
              <w:t>Question</w:t>
            </w:r>
          </w:p>
        </w:tc>
      </w:tr>
      <w:tr>
        <w:tc>
          <w:tcPr>
            <w:tcW w:type="dxa" w:w="3389"/>
            <w:vAlign w:val="top"/>
          </w:tcPr>
          <w:p>
            <w:pPr>
              <w:spacing w:after="20"/>
            </w:pPr>
            <w:r>
              <w:rPr>
                <w:sz w:val="15"/>
              </w:rPr>
              <w:t>Business validity</w:t>
            </w:r>
          </w:p>
        </w:tc>
        <w:tc>
          <w:tcPr>
            <w:tcW w:type="dxa" w:w="3389"/>
            <w:vAlign w:val="top"/>
          </w:tcPr>
          <w:p>
            <w:pPr>
              <w:spacing w:after="20"/>
            </w:pPr>
            <w:r>
              <w:rPr>
                <w:sz w:val="15"/>
              </w:rPr>
              <w:t>25</w:t>
            </w:r>
          </w:p>
        </w:tc>
        <w:tc>
          <w:tcPr>
            <w:tcW w:type="dxa" w:w="3389"/>
            <w:vAlign w:val="top"/>
          </w:tcPr>
          <w:p>
            <w:pPr>
              <w:spacing w:after="20"/>
            </w:pPr>
            <w:r>
              <w:rPr>
                <w:sz w:val="15"/>
              </w:rPr>
              <w:t>Does the prompt reflect a real service, customer, problem, and market?</w:t>
            </w:r>
          </w:p>
        </w:tc>
      </w:tr>
      <w:tr>
        <w:tc>
          <w:tcPr>
            <w:tcW w:type="dxa" w:w="3389"/>
            <w:vAlign w:val="top"/>
            <w:shd w:fill="F4F7FA"/>
          </w:tcPr>
          <w:p>
            <w:pPr>
              <w:spacing w:after="20"/>
            </w:pPr>
            <w:r>
              <w:rPr>
                <w:sz w:val="15"/>
              </w:rPr>
              <w:t>Measurement value</w:t>
            </w:r>
          </w:p>
        </w:tc>
        <w:tc>
          <w:tcPr>
            <w:tcW w:type="dxa" w:w="3389"/>
            <w:vAlign w:val="top"/>
            <w:shd w:fill="F4F7FA"/>
          </w:tcPr>
          <w:p>
            <w:pPr>
              <w:spacing w:after="20"/>
            </w:pPr>
            <w:r>
              <w:rPr>
                <w:sz w:val="15"/>
              </w:rPr>
              <w:t>20</w:t>
            </w:r>
          </w:p>
        </w:tc>
        <w:tc>
          <w:tcPr>
            <w:tcW w:type="dxa" w:w="3389"/>
            <w:vAlign w:val="top"/>
            <w:shd w:fill="F4F7FA"/>
          </w:tcPr>
          <w:p>
            <w:pPr>
              <w:spacing w:after="20"/>
            </w:pPr>
            <w:r>
              <w:rPr>
                <w:sz w:val="15"/>
              </w:rPr>
              <w:t>Does it test a defined mention, recommendation, citation, comparison, or validation outcome?</w:t>
            </w:r>
          </w:p>
        </w:tc>
      </w:tr>
      <w:tr>
        <w:tc>
          <w:tcPr>
            <w:tcW w:type="dxa" w:w="3389"/>
            <w:vAlign w:val="top"/>
          </w:tcPr>
          <w:p>
            <w:pPr>
              <w:spacing w:after="20"/>
            </w:pPr>
            <w:r>
              <w:rPr>
                <w:sz w:val="15"/>
              </w:rPr>
              <w:t>Naturalness</w:t>
            </w:r>
          </w:p>
        </w:tc>
        <w:tc>
          <w:tcPr>
            <w:tcW w:type="dxa" w:w="3389"/>
            <w:vAlign w:val="top"/>
          </w:tcPr>
          <w:p>
            <w:pPr>
              <w:spacing w:after="20"/>
            </w:pPr>
            <w:r>
              <w:rPr>
                <w:sz w:val="15"/>
              </w:rPr>
              <w:t>15</w:t>
            </w:r>
          </w:p>
        </w:tc>
        <w:tc>
          <w:tcPr>
            <w:tcW w:type="dxa" w:w="3389"/>
            <w:vAlign w:val="top"/>
          </w:tcPr>
          <w:p>
            <w:pPr>
              <w:spacing w:after="20"/>
            </w:pPr>
            <w:r>
              <w:rPr>
                <w:sz w:val="15"/>
              </w:rPr>
              <w:t>Would a real customer plausibly ask this?</w:t>
            </w:r>
          </w:p>
        </w:tc>
      </w:tr>
      <w:tr>
        <w:tc>
          <w:tcPr>
            <w:tcW w:type="dxa" w:w="3389"/>
            <w:vAlign w:val="top"/>
            <w:shd w:fill="F4F7FA"/>
          </w:tcPr>
          <w:p>
            <w:pPr>
              <w:spacing w:after="20"/>
            </w:pPr>
            <w:r>
              <w:rPr>
                <w:sz w:val="15"/>
              </w:rPr>
              <w:t>Commercial relevance</w:t>
            </w:r>
          </w:p>
        </w:tc>
        <w:tc>
          <w:tcPr>
            <w:tcW w:type="dxa" w:w="3389"/>
            <w:vAlign w:val="top"/>
            <w:shd w:fill="F4F7FA"/>
          </w:tcPr>
          <w:p>
            <w:pPr>
              <w:spacing w:after="20"/>
            </w:pPr>
            <w:r>
              <w:rPr>
                <w:sz w:val="15"/>
              </w:rPr>
              <w:t>15</w:t>
            </w:r>
          </w:p>
        </w:tc>
        <w:tc>
          <w:tcPr>
            <w:tcW w:type="dxa" w:w="3389"/>
            <w:vAlign w:val="top"/>
            <w:shd w:fill="F4F7FA"/>
          </w:tcPr>
          <w:p>
            <w:pPr>
              <w:spacing w:after="20"/>
            </w:pPr>
            <w:r>
              <w:rPr>
                <w:sz w:val="15"/>
              </w:rPr>
              <w:t>Is it connected to meaningful revenue opportunity?</w:t>
            </w:r>
          </w:p>
        </w:tc>
      </w:tr>
      <w:tr>
        <w:tc>
          <w:tcPr>
            <w:tcW w:type="dxa" w:w="3389"/>
            <w:vAlign w:val="top"/>
          </w:tcPr>
          <w:p>
            <w:pPr>
              <w:spacing w:after="20"/>
            </w:pPr>
            <w:r>
              <w:rPr>
                <w:sz w:val="15"/>
              </w:rPr>
              <w:t>Uniqueness</w:t>
            </w:r>
          </w:p>
        </w:tc>
        <w:tc>
          <w:tcPr>
            <w:tcW w:type="dxa" w:w="3389"/>
            <w:vAlign w:val="top"/>
          </w:tcPr>
          <w:p>
            <w:pPr>
              <w:spacing w:after="20"/>
            </w:pPr>
            <w:r>
              <w:rPr>
                <w:sz w:val="15"/>
              </w:rPr>
              <w:t>10</w:t>
            </w:r>
          </w:p>
        </w:tc>
        <w:tc>
          <w:tcPr>
            <w:tcW w:type="dxa" w:w="3389"/>
            <w:vAlign w:val="top"/>
          </w:tcPr>
          <w:p>
            <w:pPr>
              <w:spacing w:after="20"/>
            </w:pPr>
            <w:r>
              <w:rPr>
                <w:sz w:val="15"/>
              </w:rPr>
              <w:t>Does it add coverage rather than duplicate another prompt?</w:t>
            </w:r>
          </w:p>
        </w:tc>
      </w:tr>
      <w:tr>
        <w:tc>
          <w:tcPr>
            <w:tcW w:type="dxa" w:w="3389"/>
            <w:vAlign w:val="top"/>
            <w:shd w:fill="F4F7FA"/>
          </w:tcPr>
          <w:p>
            <w:pPr>
              <w:spacing w:after="20"/>
            </w:pPr>
            <w:r>
              <w:rPr>
                <w:sz w:val="15"/>
              </w:rPr>
              <w:t>Specificity</w:t>
            </w:r>
          </w:p>
        </w:tc>
        <w:tc>
          <w:tcPr>
            <w:tcW w:type="dxa" w:w="3389"/>
            <w:vAlign w:val="top"/>
            <w:shd w:fill="F4F7FA"/>
          </w:tcPr>
          <w:p>
            <w:pPr>
              <w:spacing w:after="20"/>
            </w:pPr>
            <w:r>
              <w:rPr>
                <w:sz w:val="15"/>
              </w:rPr>
              <w:t>10</w:t>
            </w:r>
          </w:p>
        </w:tc>
        <w:tc>
          <w:tcPr>
            <w:tcW w:type="dxa" w:w="3389"/>
            <w:vAlign w:val="top"/>
            <w:shd w:fill="F4F7FA"/>
          </w:tcPr>
          <w:p>
            <w:pPr>
              <w:spacing w:after="20"/>
            </w:pPr>
            <w:r>
              <w:rPr>
                <w:sz w:val="15"/>
              </w:rPr>
              <w:t>Is the intent clear enough to interpret the result?</w:t>
            </w:r>
          </w:p>
        </w:tc>
      </w:tr>
      <w:tr>
        <w:tc>
          <w:tcPr>
            <w:tcW w:type="dxa" w:w="3389"/>
            <w:vAlign w:val="top"/>
          </w:tcPr>
          <w:p>
            <w:pPr>
              <w:spacing w:after="20"/>
            </w:pPr>
            <w:r>
              <w:rPr>
                <w:sz w:val="15"/>
              </w:rPr>
              <w:t>Panel fit</w:t>
            </w:r>
          </w:p>
        </w:tc>
        <w:tc>
          <w:tcPr>
            <w:tcW w:type="dxa" w:w="3389"/>
            <w:vAlign w:val="top"/>
          </w:tcPr>
          <w:p>
            <w:pPr>
              <w:spacing w:after="20"/>
            </w:pPr>
            <w:r>
              <w:rPr>
                <w:sz w:val="15"/>
              </w:rPr>
              <w:t>5</w:t>
            </w:r>
          </w:p>
        </w:tc>
        <w:tc>
          <w:tcPr>
            <w:tcW w:type="dxa" w:w="3389"/>
            <w:vAlign w:val="top"/>
          </w:tcPr>
          <w:p>
            <w:pPr>
              <w:spacing w:after="20"/>
            </w:pPr>
            <w:r>
              <w:rPr>
                <w:sz w:val="15"/>
              </w:rPr>
              <w:t>Does it help satisfy the methodology quota and balance?</w:t>
            </w:r>
          </w:p>
        </w:tc>
      </w:tr>
    </w:tbl>
    <w:p/>
    <w:p>
      <w:pPr>
        <w:pStyle w:val="SmallNote"/>
      </w:pPr>
      <w:r>
        <w:t>Recommended automatic-selection threshold: 75 or higher, with no critical validation errors. Scores should rank candidates, not override analyst judgment.</w:t>
      </w:r>
    </w:p>
    <w:p>
      <w:pPr>
        <w:pStyle w:val="Heading1"/>
      </w:pPr>
      <w:r>
        <w:t>12. Security and Integrity Requirements</w:t>
      </w:r>
    </w:p>
    <w:p>
      <w:pPr>
        <w:pStyle w:val="ListBullet"/>
        <w:spacing w:after="40"/>
      </w:pPr>
      <w:r>
        <w:t>Verify the target collection belongs to the specified client before generation or saving.</w:t>
      </w:r>
    </w:p>
    <w:p>
      <w:pPr>
        <w:pStyle w:val="ListBullet"/>
        <w:spacing w:after="40"/>
      </w:pPr>
      <w:r>
        <w:t>Apply client-scoped authorization in addition to role-level authorization.</w:t>
      </w:r>
    </w:p>
    <w:p>
      <w:pPr>
        <w:pStyle w:val="ListBullet"/>
        <w:spacing w:after="40"/>
      </w:pPr>
      <w:r>
        <w:t>Treat website, imported, and external content as untrusted data.</w:t>
      </w:r>
    </w:p>
    <w:p>
      <w:pPr>
        <w:pStyle w:val="ListBullet"/>
        <w:spacing w:after="40"/>
      </w:pPr>
      <w:r>
        <w:t>Do not include credentials, API keys, passwords, or private tokens in prompts or generation logs.</w:t>
      </w:r>
    </w:p>
    <w:p>
      <w:pPr>
        <w:pStyle w:val="ListBullet"/>
        <w:spacing w:after="40"/>
      </w:pPr>
      <w:r>
        <w:t>Store generation context in a way that supports audit while respecting client data retention rules.</w:t>
      </w:r>
    </w:p>
    <w:p>
      <w:pPr>
        <w:pStyle w:val="ListBullet"/>
        <w:spacing w:after="40"/>
      </w:pPr>
      <w:r>
        <w:t>Use transactional saves so a partially failed bulk operation does not create an incomplete panel.</w:t>
      </w:r>
    </w:p>
    <w:p>
      <w:pPr>
        <w:pStyle w:val="Heading1"/>
      </w:pPr>
      <w:r>
        <w:t>13. Project Delivery Plan</w:t>
      </w:r>
    </w:p>
    <w:p>
      <w:pPr>
        <w:pStyle w:val="Heading2"/>
      </w:pPr>
      <w:r>
        <w:t>Phase 0 - Methodology and Schema Freeze</w:t>
      </w:r>
    </w:p>
    <w:p>
      <w:pPr>
        <w:pStyle w:val="ListBullet"/>
        <w:spacing w:after="40"/>
      </w:pPr>
      <w:r>
        <w:t>Approve standard 30-prompt distribution and 80/20 non-branded ratio.</w:t>
      </w:r>
    </w:p>
    <w:p>
      <w:pPr>
        <w:pStyle w:val="ListBullet"/>
        <w:spacing w:after="40"/>
      </w:pPr>
      <w:r>
        <w:t>Approve prompt intent taxonomy and required candidate fields.</w:t>
      </w:r>
    </w:p>
    <w:p>
      <w:pPr>
        <w:pStyle w:val="ListBullet"/>
        <w:spacing w:after="40"/>
      </w:pPr>
      <w:r>
        <w:t>Approve client knowledge profile fields and minimum readiness rules.</w:t>
      </w:r>
    </w:p>
    <w:p>
      <w:pPr>
        <w:pStyle w:val="ListBullet"/>
        <w:spacing w:after="40"/>
      </w:pPr>
      <w:r>
        <w:t>Create methodology version 1.0.</w:t>
      </w:r>
    </w:p>
    <w:tbl>
      <w:tblPr>
        <w:tblStyle w:val="TableGrid"/>
        <w:tblW w:type="auto" w:w="0"/>
        <w:tblLook w:firstColumn="1" w:firstRow="1" w:lastColumn="0" w:lastRow="0" w:noHBand="0" w:noVBand="1" w:val="04A0"/>
      </w:tblPr>
      <w:tblGrid>
        <w:gridCol w:w="10166"/>
      </w:tblGrid>
      <w:tr>
        <w:tc>
          <w:tcPr>
            <w:tcW w:type="dxa" w:w="10166"/>
            <w:shd w:fill="F4F7FA"/>
          </w:tcPr>
          <w:p>
            <w:pPr>
              <w:spacing w:before="100" w:after="100"/>
              <w:ind w:left="173" w:right="173"/>
            </w:pPr>
            <w:r>
              <w:rPr>
                <w:b/>
                <w:color w:val="17324D"/>
                <w:sz w:val="20"/>
              </w:rPr>
              <w:t>Exit criterion: a written specification defines exactly what a valid YLG prompt panel contains.</w:t>
            </w:r>
          </w:p>
        </w:tc>
      </w:tr>
    </w:tbl>
    <w:p/>
    <w:p>
      <w:pPr>
        <w:pStyle w:val="Heading2"/>
      </w:pPr>
      <w:r>
        <w:t>Phase 1 - Safety and Data Integrity</w:t>
      </w:r>
    </w:p>
    <w:p>
      <w:pPr>
        <w:pStyle w:val="ListBullet"/>
        <w:spacing w:after="40"/>
      </w:pPr>
      <w:r>
        <w:t>Add client/collection ownership validation.</w:t>
      </w:r>
    </w:p>
    <w:p>
      <w:pPr>
        <w:pStyle w:val="ListBullet"/>
        <w:spacing w:after="40"/>
      </w:pPr>
      <w:r>
        <w:t>Pass and enforce client exclusions.</w:t>
      </w:r>
    </w:p>
    <w:p>
      <w:pPr>
        <w:pStyle w:val="ListBullet"/>
        <w:spacing w:after="40"/>
      </w:pPr>
      <w:r>
        <w:t>Require core services and approved geographies.</w:t>
      </w:r>
    </w:p>
    <w:p>
      <w:pPr>
        <w:pStyle w:val="ListBullet"/>
        <w:spacing w:after="40"/>
      </w:pPr>
      <w:r>
        <w:t>Return parsing diagnostics instead of silently dropping candidates.</w:t>
      </w:r>
    </w:p>
    <w:p>
      <w:pPr>
        <w:pStyle w:val="ListBullet"/>
        <w:spacing w:after="40"/>
      </w:pPr>
      <w:r>
        <w:t>Add requested-count and low-valid-count warnings.</w:t>
      </w:r>
    </w:p>
    <w:tbl>
      <w:tblPr>
        <w:tblStyle w:val="TableGrid"/>
        <w:tblW w:type="auto" w:w="0"/>
        <w:tblLook w:firstColumn="1" w:firstRow="1" w:lastColumn="0" w:lastRow="0" w:noHBand="0" w:noVBand="1" w:val="04A0"/>
      </w:tblPr>
      <w:tblGrid>
        <w:gridCol w:w="10166"/>
      </w:tblGrid>
      <w:tr>
        <w:tc>
          <w:tcPr>
            <w:tcW w:type="dxa" w:w="10166"/>
            <w:shd w:fill="F4F7FA"/>
          </w:tcPr>
          <w:p>
            <w:pPr>
              <w:spacing w:before="100" w:after="100"/>
              <w:ind w:left="173" w:right="173"/>
            </w:pPr>
            <w:r>
              <w:rPr>
                <w:b/>
                <w:color w:val="17324D"/>
                <w:sz w:val="20"/>
              </w:rPr>
              <w:t>Exit criterion: generation cannot cross client boundaries or quietly return an incomplete, invalid panel.</w:t>
            </w:r>
          </w:p>
        </w:tc>
      </w:tr>
    </w:tbl>
    <w:p/>
    <w:p>
      <w:pPr>
        <w:pStyle w:val="Heading2"/>
      </w:pPr>
      <w:r>
        <w:t>Phase 2 - Measurement-Ready Candidate Model</w:t>
      </w:r>
    </w:p>
    <w:p>
      <w:pPr>
        <w:pStyle w:val="ListBullet"/>
        <w:spacing w:after="40"/>
      </w:pPr>
      <w:r>
        <w:t>Add intentType, brandInPrompt, service, location, promptFamily, commercialValue, measurementPurpose, rationale, qualityScore, and warnings.</w:t>
      </w:r>
    </w:p>
    <w:p>
      <w:pPr>
        <w:pStyle w:val="ListBullet"/>
        <w:spacing w:after="40"/>
      </w:pPr>
      <w:r>
        <w:t>Expand Zod schemas and database fields.</w:t>
      </w:r>
    </w:p>
    <w:p>
      <w:pPr>
        <w:pStyle w:val="ListBullet"/>
        <w:spacing w:after="40"/>
      </w:pPr>
      <w:r>
        <w:t>Update analyst review UI to display and edit metadata.</w:t>
      </w:r>
    </w:p>
    <w:p>
      <w:pPr>
        <w:pStyle w:val="ListBullet"/>
        <w:spacing w:after="40"/>
      </w:pPr>
      <w:r>
        <w:t>Add branded-state validation.</w:t>
      </w:r>
    </w:p>
    <w:tbl>
      <w:tblPr>
        <w:tblStyle w:val="TableGrid"/>
        <w:tblW w:type="auto" w:w="0"/>
        <w:tblLook w:firstColumn="1" w:firstRow="1" w:lastColumn="0" w:lastRow="0" w:noHBand="0" w:noVBand="1" w:val="04A0"/>
      </w:tblPr>
      <w:tblGrid>
        <w:gridCol w:w="10166"/>
      </w:tblGrid>
      <w:tr>
        <w:tc>
          <w:tcPr>
            <w:tcW w:type="dxa" w:w="10166"/>
            <w:shd w:fill="F4F7FA"/>
          </w:tcPr>
          <w:p>
            <w:pPr>
              <w:spacing w:before="100" w:after="100"/>
              <w:ind w:left="173" w:right="173"/>
            </w:pPr>
            <w:r>
              <w:rPr>
                <w:b/>
                <w:color w:val="17324D"/>
                <w:sz w:val="20"/>
              </w:rPr>
              <w:t>Exit criterion: every candidate explains what it measures and where it belongs in the panel.</w:t>
            </w:r>
          </w:p>
        </w:tc>
      </w:tr>
    </w:tbl>
    <w:p/>
    <w:p>
      <w:pPr>
        <w:pStyle w:val="Heading2"/>
      </w:pPr>
      <w:r>
        <w:t>Phase 3 - Balanced Generation and Validation</w:t>
      </w:r>
    </w:p>
    <w:p>
      <w:pPr>
        <w:pStyle w:val="ListBullet"/>
        <w:spacing w:after="40"/>
      </w:pPr>
      <w:r>
        <w:t>Generate an oversized pool.</w:t>
      </w:r>
    </w:p>
    <w:p>
      <w:pPr>
        <w:pStyle w:val="ListBullet"/>
        <w:spacing w:after="40"/>
      </w:pPr>
      <w:r>
        <w:t>Enforce exact intent and branded/non-branded quotas.</w:t>
      </w:r>
    </w:p>
    <w:p>
      <w:pPr>
        <w:pStyle w:val="ListBullet"/>
        <w:spacing w:after="40"/>
      </w:pPr>
      <w:r>
        <w:t>Add service, geography, and exclusion validation.</w:t>
      </w:r>
    </w:p>
    <w:p>
      <w:pPr>
        <w:pStyle w:val="ListBullet"/>
        <w:spacing w:after="40"/>
      </w:pPr>
      <w:r>
        <w:t>Add exact and semantic duplicate detection.</w:t>
      </w:r>
    </w:p>
    <w:p>
      <w:pPr>
        <w:pStyle w:val="ListBullet"/>
        <w:spacing w:after="40"/>
      </w:pPr>
      <w:r>
        <w:t>Implement candidate quality scoring and recommended selection.</w:t>
      </w:r>
    </w:p>
    <w:tbl>
      <w:tblPr>
        <w:tblStyle w:val="TableGrid"/>
        <w:tblW w:type="auto" w:w="0"/>
        <w:tblLook w:firstColumn="1" w:firstRow="1" w:lastColumn="0" w:lastRow="0" w:noHBand="0" w:noVBand="1" w:val="04A0"/>
      </w:tblPr>
      <w:tblGrid>
        <w:gridCol w:w="10166"/>
      </w:tblGrid>
      <w:tr>
        <w:tc>
          <w:tcPr>
            <w:tcW w:type="dxa" w:w="10166"/>
            <w:shd w:fill="F4F7FA"/>
          </w:tcPr>
          <w:p>
            <w:pPr>
              <w:spacing w:before="100" w:after="100"/>
              <w:ind w:left="173" w:right="173"/>
            </w:pPr>
            <w:r>
              <w:rPr>
                <w:b/>
                <w:color w:val="17324D"/>
                <w:sz w:val="20"/>
              </w:rPr>
              <w:t>Exit criterion: the system recommends a complete, balanced, non-duplicative panel.</w:t>
            </w:r>
          </w:p>
        </w:tc>
      </w:tr>
    </w:tbl>
    <w:p/>
    <w:p>
      <w:pPr>
        <w:pStyle w:val="Heading2"/>
      </w:pPr>
      <w:r>
        <w:t>Phase 4 - Provenance and Version Safety</w:t>
      </w:r>
    </w:p>
    <w:p>
      <w:pPr>
        <w:pStyle w:val="ListBullet"/>
        <w:spacing w:after="40"/>
      </w:pPr>
      <w:r>
        <w:t>Create prompt generation run and candidate audit tables.</w:t>
      </w:r>
    </w:p>
    <w:p>
      <w:pPr>
        <w:pStyle w:val="ListBullet"/>
        <w:spacing w:after="40"/>
      </w:pPr>
      <w:r>
        <w:t>Persist adapter, model, methodology, context, raw output, diagnostics, edits, and decisions.</w:t>
      </w:r>
    </w:p>
    <w:p>
      <w:pPr>
        <w:pStyle w:val="ListBullet"/>
        <w:spacing w:after="40"/>
      </w:pPr>
      <w:r>
        <w:t>Save selected prompts only into a draft or new collection version.</w:t>
      </w:r>
    </w:p>
    <w:p>
      <w:pPr>
        <w:pStyle w:val="ListBullet"/>
        <w:spacing w:after="40"/>
      </w:pPr>
      <w:r>
        <w:t>Expose generation-run details to analysts.</w:t>
      </w:r>
    </w:p>
    <w:tbl>
      <w:tblPr>
        <w:tblStyle w:val="TableGrid"/>
        <w:tblW w:type="auto" w:w="0"/>
        <w:tblLook w:firstColumn="1" w:firstRow="1" w:lastColumn="0" w:lastRow="0" w:noHBand="0" w:noVBand="1" w:val="04A0"/>
      </w:tblPr>
      <w:tblGrid>
        <w:gridCol w:w="10166"/>
      </w:tblGrid>
      <w:tr>
        <w:tc>
          <w:tcPr>
            <w:tcW w:type="dxa" w:w="10166"/>
            <w:shd w:fill="F4F7FA"/>
          </w:tcPr>
          <w:p>
            <w:pPr>
              <w:spacing w:before="100" w:after="100"/>
              <w:ind w:left="173" w:right="173"/>
            </w:pPr>
            <w:r>
              <w:rPr>
                <w:b/>
                <w:color w:val="17324D"/>
                <w:sz w:val="20"/>
              </w:rPr>
              <w:t>Exit criterion: every saved prompt can be traced to its source and review history.</w:t>
            </w:r>
          </w:p>
        </w:tc>
      </w:tr>
    </w:tbl>
    <w:p/>
    <w:p>
      <w:pPr>
        <w:pStyle w:val="Heading2"/>
      </w:pPr>
      <w:r>
        <w:t>Phase 5 - Context Enrichment</w:t>
      </w:r>
    </w:p>
    <w:p>
      <w:pPr>
        <w:pStyle w:val="ListBullet"/>
        <w:spacing w:after="40"/>
      </w:pPr>
      <w:r>
        <w:t>Build the verified client knowledge profile.</w:t>
      </w:r>
    </w:p>
    <w:p>
      <w:pPr>
        <w:pStyle w:val="ListBullet"/>
        <w:spacing w:after="40"/>
      </w:pPr>
      <w:r>
        <w:t>Add website crawl and GBP-derived fact ingestion with analyst approval.</w:t>
      </w:r>
    </w:p>
    <w:p>
      <w:pPr>
        <w:pStyle w:val="ListBullet"/>
        <w:spacing w:after="40"/>
      </w:pPr>
      <w:r>
        <w:t>Add Search Console query themes and revenue-page context where available.</w:t>
      </w:r>
    </w:p>
    <w:p>
      <w:pPr>
        <w:pStyle w:val="ListBullet"/>
        <w:spacing w:after="40"/>
      </w:pPr>
      <w:r>
        <w:t>Use existing prompt panels and historical analyst decisions to improve candidate selection.</w:t>
      </w:r>
    </w:p>
    <w:tbl>
      <w:tblPr>
        <w:tblStyle w:val="TableGrid"/>
        <w:tblW w:type="auto" w:w="0"/>
        <w:tblLook w:firstColumn="1" w:firstRow="1" w:lastColumn="0" w:lastRow="0" w:noHBand="0" w:noVBand="1" w:val="04A0"/>
      </w:tblPr>
      <w:tblGrid>
        <w:gridCol w:w="10166"/>
      </w:tblGrid>
      <w:tr>
        <w:tc>
          <w:tcPr>
            <w:tcW w:type="dxa" w:w="10166"/>
            <w:shd w:fill="F4F7FA"/>
          </w:tcPr>
          <w:p>
            <w:pPr>
              <w:spacing w:before="100" w:after="100"/>
              <w:ind w:left="173" w:right="173"/>
            </w:pPr>
            <w:r>
              <w:rPr>
                <w:b/>
                <w:color w:val="17324D"/>
                <w:sz w:val="20"/>
              </w:rPr>
              <w:t>Exit criterion: generation uses verified, campaign-specific knowledge rather than guessing from a name and domain.</w:t>
            </w:r>
          </w:p>
        </w:tc>
      </w:tr>
    </w:tbl>
    <w:p/>
    <w:p>
      <w:pPr>
        <w:pStyle w:val="Heading1"/>
      </w:pPr>
      <w:r>
        <w:t>14. Prioritized Backlog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Pr>
          <w:p>
            <w:r>
              <w:rPr>
                <w:b/>
                <w:color w:val="FFFFFF"/>
                <w:sz w:val="15"/>
              </w:rPr>
              <w:t>Priority</w:t>
            </w:r>
          </w:p>
        </w:tc>
        <w:tc>
          <w:tcPr>
            <w:tcW w:type="dxa" w:w="2541"/>
            <w:shd w:fill="17324D"/>
          </w:tcPr>
          <w:p>
            <w:r>
              <w:rPr>
                <w:b/>
                <w:color w:val="FFFFFF"/>
                <w:sz w:val="15"/>
              </w:rPr>
              <w:t>Backlog Item</w:t>
            </w:r>
          </w:p>
        </w:tc>
        <w:tc>
          <w:tcPr>
            <w:tcW w:type="dxa" w:w="2541"/>
            <w:shd w:fill="17324D"/>
          </w:tcPr>
          <w:p>
            <w:r>
              <w:rPr>
                <w:b/>
                <w:color w:val="FFFFFF"/>
                <w:sz w:val="15"/>
              </w:rPr>
              <w:t>Value</w:t>
            </w:r>
          </w:p>
        </w:tc>
        <w:tc>
          <w:tcPr>
            <w:tcW w:type="dxa" w:w="2541"/>
            <w:shd w:fill="17324D"/>
          </w:tcPr>
          <w:p>
            <w:r>
              <w:rPr>
                <w:b/>
                <w:color w:val="FFFFFF"/>
                <w:sz w:val="15"/>
              </w:rPr>
              <w:t>Effort</w:t>
            </w:r>
          </w:p>
        </w:tc>
      </w:tr>
      <w:tr>
        <w:tc>
          <w:tcPr>
            <w:tcW w:type="dxa" w:w="2541"/>
            <w:vAlign w:val="top"/>
          </w:tcPr>
          <w:p>
            <w:pPr>
              <w:spacing w:after="20"/>
            </w:pPr>
            <w:r>
              <w:rPr>
                <w:sz w:val="15"/>
              </w:rPr>
              <w:t>P0</w:t>
            </w:r>
          </w:p>
        </w:tc>
        <w:tc>
          <w:tcPr>
            <w:tcW w:type="dxa" w:w="2541"/>
            <w:vAlign w:val="top"/>
          </w:tcPr>
          <w:p>
            <w:pPr>
              <w:spacing w:after="20"/>
            </w:pPr>
            <w:r>
              <w:rPr>
                <w:sz w:val="15"/>
              </w:rPr>
              <w:t>Validate collection ownership</w:t>
            </w:r>
          </w:p>
        </w:tc>
        <w:tc>
          <w:tcPr>
            <w:tcW w:type="dxa" w:w="2541"/>
            <w:vAlign w:val="top"/>
          </w:tcPr>
          <w:p>
            <w:pPr>
              <w:spacing w:after="20"/>
            </w:pPr>
            <w:r>
              <w:rPr>
                <w:sz w:val="15"/>
              </w:rPr>
              <w:t>Critical</w:t>
            </w:r>
          </w:p>
        </w:tc>
        <w:tc>
          <w:tcPr>
            <w:tcW w:type="dxa" w:w="2541"/>
            <w:vAlign w:val="top"/>
          </w:tcPr>
          <w:p>
            <w:pPr>
              <w:spacing w:after="20"/>
            </w:pPr>
            <w:r>
              <w:rPr>
                <w:sz w:val="15"/>
              </w:rPr>
              <w:t>Low</w:t>
            </w:r>
          </w:p>
        </w:tc>
      </w:tr>
      <w:tr>
        <w:tc>
          <w:tcPr>
            <w:tcW w:type="dxa" w:w="2541"/>
            <w:vAlign w:val="top"/>
            <w:shd w:fill="F4F7FA"/>
          </w:tcPr>
          <w:p>
            <w:pPr>
              <w:spacing w:after="20"/>
            </w:pPr>
            <w:r>
              <w:rPr>
                <w:sz w:val="15"/>
              </w:rPr>
              <w:t>P0</w:t>
            </w:r>
          </w:p>
        </w:tc>
        <w:tc>
          <w:tcPr>
            <w:tcW w:type="dxa" w:w="2541"/>
            <w:vAlign w:val="top"/>
            <w:shd w:fill="F4F7FA"/>
          </w:tcPr>
          <w:p>
            <w:pPr>
              <w:spacing w:after="20"/>
            </w:pPr>
            <w:r>
              <w:rPr>
                <w:sz w:val="15"/>
              </w:rPr>
              <w:t>Pass services, geographies, and exclusions into context</w:t>
            </w:r>
          </w:p>
        </w:tc>
        <w:tc>
          <w:tcPr>
            <w:tcW w:type="dxa" w:w="2541"/>
            <w:vAlign w:val="top"/>
            <w:shd w:fill="F4F7FA"/>
          </w:tcPr>
          <w:p>
            <w:pPr>
              <w:spacing w:after="20"/>
            </w:pPr>
            <w:r>
              <w:rPr>
                <w:sz w:val="15"/>
              </w:rPr>
              <w:t>Critical</w:t>
            </w:r>
          </w:p>
        </w:tc>
        <w:tc>
          <w:tcPr>
            <w:tcW w:type="dxa" w:w="2541"/>
            <w:vAlign w:val="top"/>
            <w:shd w:fill="F4F7FA"/>
          </w:tcPr>
          <w:p>
            <w:pPr>
              <w:spacing w:after="20"/>
            </w:pPr>
            <w:r>
              <w:rPr>
                <w:sz w:val="15"/>
              </w:rPr>
              <w:t>Medium</w:t>
            </w:r>
          </w:p>
        </w:tc>
      </w:tr>
      <w:tr>
        <w:tc>
          <w:tcPr>
            <w:tcW w:type="dxa" w:w="2541"/>
            <w:vAlign w:val="top"/>
          </w:tcPr>
          <w:p>
            <w:pPr>
              <w:spacing w:after="20"/>
            </w:pPr>
            <w:r>
              <w:rPr>
                <w:sz w:val="15"/>
              </w:rPr>
              <w:t>P0</w:t>
            </w:r>
          </w:p>
        </w:tc>
        <w:tc>
          <w:tcPr>
            <w:tcW w:type="dxa" w:w="2541"/>
            <w:vAlign w:val="top"/>
          </w:tcPr>
          <w:p>
            <w:pPr>
              <w:spacing w:after="20"/>
            </w:pPr>
            <w:r>
              <w:rPr>
                <w:sz w:val="15"/>
              </w:rPr>
              <w:t>Return invalid-item diagnostics</w:t>
            </w:r>
          </w:p>
        </w:tc>
        <w:tc>
          <w:tcPr>
            <w:tcW w:type="dxa" w:w="2541"/>
            <w:vAlign w:val="top"/>
          </w:tcPr>
          <w:p>
            <w:pPr>
              <w:spacing w:after="20"/>
            </w:pPr>
            <w:r>
              <w:rPr>
                <w:sz w:val="15"/>
              </w:rPr>
              <w:t>High</w:t>
            </w:r>
          </w:p>
        </w:tc>
        <w:tc>
          <w:tcPr>
            <w:tcW w:type="dxa" w:w="2541"/>
            <w:vAlign w:val="top"/>
          </w:tcPr>
          <w:p>
            <w:pPr>
              <w:spacing w:after="20"/>
            </w:pPr>
            <w:r>
              <w:rPr>
                <w:sz w:val="15"/>
              </w:rPr>
              <w:t>Low-Medium</w:t>
            </w:r>
          </w:p>
        </w:tc>
      </w:tr>
      <w:tr>
        <w:tc>
          <w:tcPr>
            <w:tcW w:type="dxa" w:w="2541"/>
            <w:vAlign w:val="top"/>
            <w:shd w:fill="F4F7FA"/>
          </w:tcPr>
          <w:p>
            <w:pPr>
              <w:spacing w:after="20"/>
            </w:pPr>
            <w:r>
              <w:rPr>
                <w:sz w:val="15"/>
              </w:rPr>
              <w:t>P0</w:t>
            </w:r>
          </w:p>
        </w:tc>
        <w:tc>
          <w:tcPr>
            <w:tcW w:type="dxa" w:w="2541"/>
            <w:vAlign w:val="top"/>
            <w:shd w:fill="F4F7FA"/>
          </w:tcPr>
          <w:p>
            <w:pPr>
              <w:spacing w:after="20"/>
            </w:pPr>
            <w:r>
              <w:rPr>
                <w:sz w:val="15"/>
              </w:rPr>
              <w:t>Add branded/non-branded metadata</w:t>
            </w:r>
          </w:p>
        </w:tc>
        <w:tc>
          <w:tcPr>
            <w:tcW w:type="dxa" w:w="2541"/>
            <w:vAlign w:val="top"/>
            <w:shd w:fill="F4F7FA"/>
          </w:tcPr>
          <w:p>
            <w:pPr>
              <w:spacing w:after="20"/>
            </w:pPr>
            <w:r>
              <w:rPr>
                <w:sz w:val="15"/>
              </w:rPr>
              <w:t>Critical</w:t>
            </w:r>
          </w:p>
        </w:tc>
        <w:tc>
          <w:tcPr>
            <w:tcW w:type="dxa" w:w="2541"/>
            <w:vAlign w:val="top"/>
            <w:shd w:fill="F4F7FA"/>
          </w:tcPr>
          <w:p>
            <w:pPr>
              <w:spacing w:after="20"/>
            </w:pPr>
            <w:r>
              <w:rPr>
                <w:sz w:val="15"/>
              </w:rPr>
              <w:t>Medium</w:t>
            </w:r>
          </w:p>
        </w:tc>
      </w:tr>
      <w:tr>
        <w:tc>
          <w:tcPr>
            <w:tcW w:type="dxa" w:w="2541"/>
            <w:vAlign w:val="top"/>
          </w:tcPr>
          <w:p>
            <w:pPr>
              <w:spacing w:after="20"/>
            </w:pPr>
            <w:r>
              <w:rPr>
                <w:sz w:val="15"/>
              </w:rPr>
              <w:t>P0</w:t>
            </w:r>
          </w:p>
        </w:tc>
        <w:tc>
          <w:tcPr>
            <w:tcW w:type="dxa" w:w="2541"/>
            <w:vAlign w:val="top"/>
          </w:tcPr>
          <w:p>
            <w:pPr>
              <w:spacing w:after="20"/>
            </w:pPr>
            <w:r>
              <w:rPr>
                <w:sz w:val="15"/>
              </w:rPr>
              <w:t>Expand candidate schema</w:t>
            </w:r>
          </w:p>
        </w:tc>
        <w:tc>
          <w:tcPr>
            <w:tcW w:type="dxa" w:w="2541"/>
            <w:vAlign w:val="top"/>
          </w:tcPr>
          <w:p>
            <w:pPr>
              <w:spacing w:after="20"/>
            </w:pPr>
            <w:r>
              <w:rPr>
                <w:sz w:val="15"/>
              </w:rPr>
              <w:t>Critical</w:t>
            </w:r>
          </w:p>
        </w:tc>
        <w:tc>
          <w:tcPr>
            <w:tcW w:type="dxa" w:w="2541"/>
            <w:vAlign w:val="top"/>
          </w:tcPr>
          <w:p>
            <w:pPr>
              <w:spacing w:after="20"/>
            </w:pPr>
            <w:r>
              <w:rPr>
                <w:sz w:val="15"/>
              </w:rPr>
              <w:t>Medium</w:t>
            </w:r>
          </w:p>
        </w:tc>
      </w:tr>
      <w:tr>
        <w:tc>
          <w:tcPr>
            <w:tcW w:type="dxa" w:w="2541"/>
            <w:vAlign w:val="top"/>
            <w:shd w:fill="F4F7FA"/>
          </w:tcPr>
          <w:p>
            <w:pPr>
              <w:spacing w:after="20"/>
            </w:pPr>
            <w:r>
              <w:rPr>
                <w:sz w:val="15"/>
              </w:rPr>
              <w:t>P1</w:t>
            </w:r>
          </w:p>
        </w:tc>
        <w:tc>
          <w:tcPr>
            <w:tcW w:type="dxa" w:w="2541"/>
            <w:vAlign w:val="top"/>
            <w:shd w:fill="F4F7FA"/>
          </w:tcPr>
          <w:p>
            <w:pPr>
              <w:spacing w:after="20"/>
            </w:pPr>
            <w:r>
              <w:rPr>
                <w:sz w:val="15"/>
              </w:rPr>
              <w:t>Methodology quotas and panel validation</w:t>
            </w:r>
          </w:p>
        </w:tc>
        <w:tc>
          <w:tcPr>
            <w:tcW w:type="dxa" w:w="2541"/>
            <w:vAlign w:val="top"/>
            <w:shd w:fill="F4F7FA"/>
          </w:tcPr>
          <w:p>
            <w:pPr>
              <w:spacing w:after="20"/>
            </w:pPr>
            <w:r>
              <w:rPr>
                <w:sz w:val="15"/>
              </w:rPr>
              <w:t>High</w:t>
            </w:r>
          </w:p>
        </w:tc>
        <w:tc>
          <w:tcPr>
            <w:tcW w:type="dxa" w:w="2541"/>
            <w:vAlign w:val="top"/>
            <w:shd w:fill="F4F7FA"/>
          </w:tcPr>
          <w:p>
            <w:pPr>
              <w:spacing w:after="20"/>
            </w:pPr>
            <w:r>
              <w:rPr>
                <w:sz w:val="15"/>
              </w:rPr>
              <w:t>Medium</w:t>
            </w:r>
          </w:p>
        </w:tc>
      </w:tr>
      <w:tr>
        <w:tc>
          <w:tcPr>
            <w:tcW w:type="dxa" w:w="2541"/>
            <w:vAlign w:val="top"/>
          </w:tcPr>
          <w:p>
            <w:pPr>
              <w:spacing w:after="20"/>
            </w:pPr>
            <w:r>
              <w:rPr>
                <w:sz w:val="15"/>
              </w:rPr>
              <w:t>P1</w:t>
            </w:r>
          </w:p>
        </w:tc>
        <w:tc>
          <w:tcPr>
            <w:tcW w:type="dxa" w:w="2541"/>
            <w:vAlign w:val="top"/>
          </w:tcPr>
          <w:p>
            <w:pPr>
              <w:spacing w:after="20"/>
            </w:pPr>
            <w:r>
              <w:rPr>
                <w:sz w:val="15"/>
              </w:rPr>
              <w:t>Exact duplicate detection</w:t>
            </w:r>
          </w:p>
        </w:tc>
        <w:tc>
          <w:tcPr>
            <w:tcW w:type="dxa" w:w="2541"/>
            <w:vAlign w:val="top"/>
          </w:tcPr>
          <w:p>
            <w:pPr>
              <w:spacing w:after="20"/>
            </w:pPr>
            <w:r>
              <w:rPr>
                <w:sz w:val="15"/>
              </w:rPr>
              <w:t>High</w:t>
            </w:r>
          </w:p>
        </w:tc>
        <w:tc>
          <w:tcPr>
            <w:tcW w:type="dxa" w:w="2541"/>
            <w:vAlign w:val="top"/>
          </w:tcPr>
          <w:p>
            <w:pPr>
              <w:spacing w:after="20"/>
            </w:pPr>
            <w:r>
              <w:rPr>
                <w:sz w:val="15"/>
              </w:rPr>
              <w:t>Low</w:t>
            </w:r>
          </w:p>
        </w:tc>
      </w:tr>
      <w:tr>
        <w:tc>
          <w:tcPr>
            <w:tcW w:type="dxa" w:w="2541"/>
            <w:vAlign w:val="top"/>
            <w:shd w:fill="F4F7FA"/>
          </w:tcPr>
          <w:p>
            <w:pPr>
              <w:spacing w:after="20"/>
            </w:pPr>
            <w:r>
              <w:rPr>
                <w:sz w:val="15"/>
              </w:rPr>
              <w:t>P1</w:t>
            </w:r>
          </w:p>
        </w:tc>
        <w:tc>
          <w:tcPr>
            <w:tcW w:type="dxa" w:w="2541"/>
            <w:vAlign w:val="top"/>
            <w:shd w:fill="F4F7FA"/>
          </w:tcPr>
          <w:p>
            <w:pPr>
              <w:spacing w:after="20"/>
            </w:pPr>
            <w:r>
              <w:rPr>
                <w:sz w:val="15"/>
              </w:rPr>
              <w:t>Semantic duplicate detection</w:t>
            </w:r>
          </w:p>
        </w:tc>
        <w:tc>
          <w:tcPr>
            <w:tcW w:type="dxa" w:w="2541"/>
            <w:vAlign w:val="top"/>
            <w:shd w:fill="F4F7FA"/>
          </w:tcPr>
          <w:p>
            <w:pPr>
              <w:spacing w:after="20"/>
            </w:pPr>
            <w:r>
              <w:rPr>
                <w:sz w:val="15"/>
              </w:rPr>
              <w:t>High</w:t>
            </w:r>
          </w:p>
        </w:tc>
        <w:tc>
          <w:tcPr>
            <w:tcW w:type="dxa" w:w="2541"/>
            <w:vAlign w:val="top"/>
            <w:shd w:fill="F4F7FA"/>
          </w:tcPr>
          <w:p>
            <w:pPr>
              <w:spacing w:after="20"/>
            </w:pPr>
            <w:r>
              <w:rPr>
                <w:sz w:val="15"/>
              </w:rPr>
              <w:t>Medium</w:t>
            </w:r>
          </w:p>
        </w:tc>
      </w:tr>
      <w:tr>
        <w:tc>
          <w:tcPr>
            <w:tcW w:type="dxa" w:w="2541"/>
            <w:vAlign w:val="top"/>
          </w:tcPr>
          <w:p>
            <w:pPr>
              <w:spacing w:after="20"/>
            </w:pPr>
            <w:r>
              <w:rPr>
                <w:sz w:val="15"/>
              </w:rPr>
              <w:t>P1</w:t>
            </w:r>
          </w:p>
        </w:tc>
        <w:tc>
          <w:tcPr>
            <w:tcW w:type="dxa" w:w="2541"/>
            <w:vAlign w:val="top"/>
          </w:tcPr>
          <w:p>
            <w:pPr>
              <w:spacing w:after="20"/>
            </w:pPr>
            <w:r>
              <w:rPr>
                <w:sz w:val="15"/>
              </w:rPr>
              <w:t>Explicit adapter/model selection</w:t>
            </w:r>
          </w:p>
        </w:tc>
        <w:tc>
          <w:tcPr>
            <w:tcW w:type="dxa" w:w="2541"/>
            <w:vAlign w:val="top"/>
          </w:tcPr>
          <w:p>
            <w:pPr>
              <w:spacing w:after="20"/>
            </w:pPr>
            <w:r>
              <w:rPr>
                <w:sz w:val="15"/>
              </w:rPr>
              <w:t>High</w:t>
            </w:r>
          </w:p>
        </w:tc>
        <w:tc>
          <w:tcPr>
            <w:tcW w:type="dxa" w:w="2541"/>
            <w:vAlign w:val="top"/>
          </w:tcPr>
          <w:p>
            <w:pPr>
              <w:spacing w:after="20"/>
            </w:pPr>
            <w:r>
              <w:rPr>
                <w:sz w:val="15"/>
              </w:rPr>
              <w:t>Low-Medium</w:t>
            </w:r>
          </w:p>
        </w:tc>
      </w:tr>
      <w:tr>
        <w:tc>
          <w:tcPr>
            <w:tcW w:type="dxa" w:w="2541"/>
            <w:vAlign w:val="top"/>
            <w:shd w:fill="F4F7FA"/>
          </w:tcPr>
          <w:p>
            <w:pPr>
              <w:spacing w:after="20"/>
            </w:pPr>
            <w:r>
              <w:rPr>
                <w:sz w:val="15"/>
              </w:rPr>
              <w:t>P1</w:t>
            </w:r>
          </w:p>
        </w:tc>
        <w:tc>
          <w:tcPr>
            <w:tcW w:type="dxa" w:w="2541"/>
            <w:vAlign w:val="top"/>
            <w:shd w:fill="F4F7FA"/>
          </w:tcPr>
          <w:p>
            <w:pPr>
              <w:spacing w:after="20"/>
            </w:pPr>
            <w:r>
              <w:rPr>
                <w:sz w:val="15"/>
              </w:rPr>
              <w:t>Generation provenance tables</w:t>
            </w:r>
          </w:p>
        </w:tc>
        <w:tc>
          <w:tcPr>
            <w:tcW w:type="dxa" w:w="2541"/>
            <w:vAlign w:val="top"/>
            <w:shd w:fill="F4F7FA"/>
          </w:tcPr>
          <w:p>
            <w:pPr>
              <w:spacing w:after="20"/>
            </w:pPr>
            <w:r>
              <w:rPr>
                <w:sz w:val="15"/>
              </w:rPr>
              <w:t>High</w:t>
            </w:r>
          </w:p>
        </w:tc>
        <w:tc>
          <w:tcPr>
            <w:tcW w:type="dxa" w:w="2541"/>
            <w:vAlign w:val="top"/>
            <w:shd w:fill="F4F7FA"/>
          </w:tcPr>
          <w:p>
            <w:pPr>
              <w:spacing w:after="20"/>
            </w:pPr>
            <w:r>
              <w:rPr>
                <w:sz w:val="15"/>
              </w:rPr>
              <w:t>Medium</w:t>
            </w:r>
          </w:p>
        </w:tc>
      </w:tr>
      <w:tr>
        <w:tc>
          <w:tcPr>
            <w:tcW w:type="dxa" w:w="2541"/>
            <w:vAlign w:val="top"/>
          </w:tcPr>
          <w:p>
            <w:pPr>
              <w:spacing w:after="20"/>
            </w:pPr>
            <w:r>
              <w:rPr>
                <w:sz w:val="15"/>
              </w:rPr>
              <w:t>P1</w:t>
            </w:r>
          </w:p>
        </w:tc>
        <w:tc>
          <w:tcPr>
            <w:tcW w:type="dxa" w:w="2541"/>
            <w:vAlign w:val="top"/>
          </w:tcPr>
          <w:p>
            <w:pPr>
              <w:spacing w:after="20"/>
            </w:pPr>
            <w:r>
              <w:rPr>
                <w:sz w:val="15"/>
              </w:rPr>
              <w:t>Oversized candidate generation</w:t>
            </w:r>
          </w:p>
        </w:tc>
        <w:tc>
          <w:tcPr>
            <w:tcW w:type="dxa" w:w="2541"/>
            <w:vAlign w:val="top"/>
          </w:tcPr>
          <w:p>
            <w:pPr>
              <w:spacing w:after="20"/>
            </w:pPr>
            <w:r>
              <w:rPr>
                <w:sz w:val="15"/>
              </w:rPr>
              <w:t>High</w:t>
            </w:r>
          </w:p>
        </w:tc>
        <w:tc>
          <w:tcPr>
            <w:tcW w:type="dxa" w:w="2541"/>
            <w:vAlign w:val="top"/>
          </w:tcPr>
          <w:p>
            <w:pPr>
              <w:spacing w:after="20"/>
            </w:pPr>
            <w:r>
              <w:rPr>
                <w:sz w:val="15"/>
              </w:rPr>
              <w:t>Low-Medium</w:t>
            </w:r>
          </w:p>
        </w:tc>
      </w:tr>
      <w:tr>
        <w:tc>
          <w:tcPr>
            <w:tcW w:type="dxa" w:w="2541"/>
            <w:vAlign w:val="top"/>
            <w:shd w:fill="F4F7FA"/>
          </w:tcPr>
          <w:p>
            <w:pPr>
              <w:spacing w:after="20"/>
            </w:pPr>
            <w:r>
              <w:rPr>
                <w:sz w:val="15"/>
              </w:rPr>
              <w:t>P2</w:t>
            </w:r>
          </w:p>
        </w:tc>
        <w:tc>
          <w:tcPr>
            <w:tcW w:type="dxa" w:w="2541"/>
            <w:vAlign w:val="top"/>
            <w:shd w:fill="F4F7FA"/>
          </w:tcPr>
          <w:p>
            <w:pPr>
              <w:spacing w:after="20"/>
            </w:pPr>
            <w:r>
              <w:rPr>
                <w:sz w:val="15"/>
              </w:rPr>
              <w:t>Candidate quality scoring</w:t>
            </w:r>
          </w:p>
        </w:tc>
        <w:tc>
          <w:tcPr>
            <w:tcW w:type="dxa" w:w="2541"/>
            <w:vAlign w:val="top"/>
            <w:shd w:fill="F4F7FA"/>
          </w:tcPr>
          <w:p>
            <w:pPr>
              <w:spacing w:after="20"/>
            </w:pPr>
            <w:r>
              <w:rPr>
                <w:sz w:val="15"/>
              </w:rPr>
              <w:t>High</w:t>
            </w:r>
          </w:p>
        </w:tc>
        <w:tc>
          <w:tcPr>
            <w:tcW w:type="dxa" w:w="2541"/>
            <w:vAlign w:val="top"/>
            <w:shd w:fill="F4F7FA"/>
          </w:tcPr>
          <w:p>
            <w:pPr>
              <w:spacing w:after="20"/>
            </w:pPr>
            <w:r>
              <w:rPr>
                <w:sz w:val="15"/>
              </w:rPr>
              <w:t>Medium</w:t>
            </w:r>
          </w:p>
        </w:tc>
      </w:tr>
      <w:tr>
        <w:tc>
          <w:tcPr>
            <w:tcW w:type="dxa" w:w="2541"/>
            <w:vAlign w:val="top"/>
          </w:tcPr>
          <w:p>
            <w:pPr>
              <w:spacing w:after="20"/>
            </w:pPr>
            <w:r>
              <w:rPr>
                <w:sz w:val="15"/>
              </w:rPr>
              <w:t>P2</w:t>
            </w:r>
          </w:p>
        </w:tc>
        <w:tc>
          <w:tcPr>
            <w:tcW w:type="dxa" w:w="2541"/>
            <w:vAlign w:val="top"/>
          </w:tcPr>
          <w:p>
            <w:pPr>
              <w:spacing w:after="20"/>
            </w:pPr>
            <w:r>
              <w:rPr>
                <w:sz w:val="15"/>
              </w:rPr>
              <w:t>Prompt family support</w:t>
            </w:r>
          </w:p>
        </w:tc>
        <w:tc>
          <w:tcPr>
            <w:tcW w:type="dxa" w:w="2541"/>
            <w:vAlign w:val="top"/>
          </w:tcPr>
          <w:p>
            <w:pPr>
              <w:spacing w:after="20"/>
            </w:pPr>
            <w:r>
              <w:rPr>
                <w:sz w:val="15"/>
              </w:rPr>
              <w:t>Medium-High</w:t>
            </w:r>
          </w:p>
        </w:tc>
        <w:tc>
          <w:tcPr>
            <w:tcW w:type="dxa" w:w="2541"/>
            <w:vAlign w:val="top"/>
          </w:tcPr>
          <w:p>
            <w:pPr>
              <w:spacing w:after="20"/>
            </w:pPr>
            <w:r>
              <w:rPr>
                <w:sz w:val="15"/>
              </w:rPr>
              <w:t>Medium</w:t>
            </w:r>
          </w:p>
        </w:tc>
      </w:tr>
      <w:tr>
        <w:tc>
          <w:tcPr>
            <w:tcW w:type="dxa" w:w="2541"/>
            <w:vAlign w:val="top"/>
            <w:shd w:fill="F4F7FA"/>
          </w:tcPr>
          <w:p>
            <w:pPr>
              <w:spacing w:after="20"/>
            </w:pPr>
            <w:r>
              <w:rPr>
                <w:sz w:val="15"/>
              </w:rPr>
              <w:t>P2</w:t>
            </w:r>
          </w:p>
        </w:tc>
        <w:tc>
          <w:tcPr>
            <w:tcW w:type="dxa" w:w="2541"/>
            <w:vAlign w:val="top"/>
            <w:shd w:fill="F4F7FA"/>
          </w:tcPr>
          <w:p>
            <w:pPr>
              <w:spacing w:after="20"/>
            </w:pPr>
            <w:r>
              <w:rPr>
                <w:sz w:val="15"/>
              </w:rPr>
              <w:t>Analyst rejection reasons</w:t>
            </w:r>
          </w:p>
        </w:tc>
        <w:tc>
          <w:tcPr>
            <w:tcW w:type="dxa" w:w="2541"/>
            <w:vAlign w:val="top"/>
            <w:shd w:fill="F4F7FA"/>
          </w:tcPr>
          <w:p>
            <w:pPr>
              <w:spacing w:after="20"/>
            </w:pPr>
            <w:r>
              <w:rPr>
                <w:sz w:val="15"/>
              </w:rPr>
              <w:t>Medium</w:t>
            </w:r>
          </w:p>
        </w:tc>
        <w:tc>
          <w:tcPr>
            <w:tcW w:type="dxa" w:w="2541"/>
            <w:vAlign w:val="top"/>
            <w:shd w:fill="F4F7FA"/>
          </w:tcPr>
          <w:p>
            <w:pPr>
              <w:spacing w:after="20"/>
            </w:pPr>
            <w:r>
              <w:rPr>
                <w:sz w:val="15"/>
              </w:rPr>
              <w:t>Low</w:t>
            </w:r>
          </w:p>
        </w:tc>
      </w:tr>
      <w:tr>
        <w:tc>
          <w:tcPr>
            <w:tcW w:type="dxa" w:w="2541"/>
            <w:vAlign w:val="top"/>
          </w:tcPr>
          <w:p>
            <w:pPr>
              <w:spacing w:after="20"/>
            </w:pPr>
            <w:r>
              <w:rPr>
                <w:sz w:val="15"/>
              </w:rPr>
              <w:t>P2</w:t>
            </w:r>
          </w:p>
        </w:tc>
        <w:tc>
          <w:tcPr>
            <w:tcW w:type="dxa" w:w="2541"/>
            <w:vAlign w:val="top"/>
          </w:tcPr>
          <w:p>
            <w:pPr>
              <w:spacing w:after="20"/>
            </w:pPr>
            <w:r>
              <w:rPr>
                <w:sz w:val="15"/>
              </w:rPr>
              <w:t>Verified client knowledge profile</w:t>
            </w:r>
          </w:p>
        </w:tc>
        <w:tc>
          <w:tcPr>
            <w:tcW w:type="dxa" w:w="2541"/>
            <w:vAlign w:val="top"/>
          </w:tcPr>
          <w:p>
            <w:pPr>
              <w:spacing w:after="20"/>
            </w:pPr>
            <w:r>
              <w:rPr>
                <w:sz w:val="15"/>
              </w:rPr>
              <w:t>High</w:t>
            </w:r>
          </w:p>
        </w:tc>
        <w:tc>
          <w:tcPr>
            <w:tcW w:type="dxa" w:w="2541"/>
            <w:vAlign w:val="top"/>
          </w:tcPr>
          <w:p>
            <w:pPr>
              <w:spacing w:after="20"/>
            </w:pPr>
            <w:r>
              <w:rPr>
                <w:sz w:val="15"/>
              </w:rPr>
              <w:t>High</w:t>
            </w:r>
          </w:p>
        </w:tc>
      </w:tr>
      <w:tr>
        <w:tc>
          <w:tcPr>
            <w:tcW w:type="dxa" w:w="2541"/>
            <w:vAlign w:val="top"/>
            <w:shd w:fill="F4F7FA"/>
          </w:tcPr>
          <w:p>
            <w:pPr>
              <w:spacing w:after="20"/>
            </w:pPr>
            <w:r>
              <w:rPr>
                <w:sz w:val="15"/>
              </w:rPr>
              <w:t>P3</w:t>
            </w:r>
          </w:p>
        </w:tc>
        <w:tc>
          <w:tcPr>
            <w:tcW w:type="dxa" w:w="2541"/>
            <w:vAlign w:val="top"/>
            <w:shd w:fill="F4F7FA"/>
          </w:tcPr>
          <w:p>
            <w:pPr>
              <w:spacing w:after="20"/>
            </w:pPr>
            <w:r>
              <w:rPr>
                <w:sz w:val="15"/>
              </w:rPr>
              <w:t>Website/GBP/GSC enrichment</w:t>
            </w:r>
          </w:p>
        </w:tc>
        <w:tc>
          <w:tcPr>
            <w:tcW w:type="dxa" w:w="2541"/>
            <w:vAlign w:val="top"/>
            <w:shd w:fill="F4F7FA"/>
          </w:tcPr>
          <w:p>
            <w:pPr>
              <w:spacing w:after="20"/>
            </w:pPr>
            <w:r>
              <w:rPr>
                <w:sz w:val="15"/>
              </w:rPr>
              <w:t>High</w:t>
            </w:r>
          </w:p>
        </w:tc>
        <w:tc>
          <w:tcPr>
            <w:tcW w:type="dxa" w:w="2541"/>
            <w:vAlign w:val="top"/>
            <w:shd w:fill="F4F7FA"/>
          </w:tcPr>
          <w:p>
            <w:pPr>
              <w:spacing w:after="20"/>
            </w:pPr>
            <w:r>
              <w:rPr>
                <w:sz w:val="15"/>
              </w:rPr>
              <w:t>High</w:t>
            </w:r>
          </w:p>
        </w:tc>
      </w:tr>
      <w:tr>
        <w:tc>
          <w:tcPr>
            <w:tcW w:type="dxa" w:w="2541"/>
            <w:vAlign w:val="top"/>
          </w:tcPr>
          <w:p>
            <w:pPr>
              <w:spacing w:after="20"/>
            </w:pPr>
            <w:r>
              <w:rPr>
                <w:sz w:val="15"/>
              </w:rPr>
              <w:t>P3</w:t>
            </w:r>
          </w:p>
        </w:tc>
        <w:tc>
          <w:tcPr>
            <w:tcW w:type="dxa" w:w="2541"/>
            <w:vAlign w:val="top"/>
          </w:tcPr>
          <w:p>
            <w:pPr>
              <w:spacing w:after="20"/>
            </w:pPr>
            <w:r>
              <w:rPr>
                <w:sz w:val="15"/>
              </w:rPr>
              <w:t>Learning from analyst choices</w:t>
            </w:r>
          </w:p>
        </w:tc>
        <w:tc>
          <w:tcPr>
            <w:tcW w:type="dxa" w:w="2541"/>
            <w:vAlign w:val="top"/>
          </w:tcPr>
          <w:p>
            <w:pPr>
              <w:spacing w:after="20"/>
            </w:pPr>
            <w:r>
              <w:rPr>
                <w:sz w:val="15"/>
              </w:rPr>
              <w:t>Medium</w:t>
            </w:r>
          </w:p>
        </w:tc>
        <w:tc>
          <w:tcPr>
            <w:tcW w:type="dxa" w:w="2541"/>
            <w:vAlign w:val="top"/>
          </w:tcPr>
          <w:p>
            <w:pPr>
              <w:spacing w:after="20"/>
            </w:pPr>
            <w:r>
              <w:rPr>
                <w:sz w:val="15"/>
              </w:rPr>
              <w:t>High</w:t>
            </w:r>
          </w:p>
        </w:tc>
      </w:tr>
    </w:tbl>
    <w:p/>
    <w:p>
      <w:pPr>
        <w:pStyle w:val="Heading1"/>
      </w:pPr>
      <w:r>
        <w:t>15. Test Specification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Pr>
          <w:p>
            <w:r>
              <w:rPr>
                <w:b/>
                <w:color w:val="FFFFFF"/>
                <w:sz w:val="15"/>
              </w:rPr>
              <w:t>Test Area</w:t>
            </w:r>
          </w:p>
        </w:tc>
        <w:tc>
          <w:tcPr>
            <w:tcW w:type="dxa" w:w="5083"/>
            <w:shd w:fill="17324D"/>
          </w:tcPr>
          <w:p>
            <w:r>
              <w:rPr>
                <w:b/>
                <w:color w:val="FFFFFF"/>
                <w:sz w:val="15"/>
              </w:rPr>
              <w:t>Required Cases</w:t>
            </w:r>
          </w:p>
        </w:tc>
      </w:tr>
      <w:tr>
        <w:tc>
          <w:tcPr>
            <w:tcW w:type="dxa" w:w="5083"/>
            <w:vAlign w:val="top"/>
          </w:tcPr>
          <w:p>
            <w:pPr>
              <w:spacing w:after="20"/>
            </w:pPr>
            <w:r>
              <w:rPr>
                <w:sz w:val="15"/>
              </w:rPr>
              <w:t>Security</w:t>
            </w:r>
          </w:p>
        </w:tc>
        <w:tc>
          <w:tcPr>
            <w:tcW w:type="dxa" w:w="5083"/>
            <w:vAlign w:val="top"/>
          </w:tcPr>
          <w:p>
            <w:pPr>
              <w:spacing w:after="20"/>
            </w:pPr>
            <w:r>
              <w:rPr>
                <w:sz w:val="15"/>
              </w:rPr>
              <w:t>Mismatched client/collection, unauthorized client access, archived/locked panel behavior.</w:t>
            </w:r>
          </w:p>
        </w:tc>
      </w:tr>
      <w:tr>
        <w:tc>
          <w:tcPr>
            <w:tcW w:type="dxa" w:w="5083"/>
            <w:vAlign w:val="top"/>
            <w:shd w:fill="F4F7FA"/>
          </w:tcPr>
          <w:p>
            <w:pPr>
              <w:spacing w:after="20"/>
            </w:pPr>
            <w:r>
              <w:rPr>
                <w:sz w:val="15"/>
              </w:rPr>
              <w:t>Context</w:t>
            </w:r>
          </w:p>
        </w:tc>
        <w:tc>
          <w:tcPr>
            <w:tcW w:type="dxa" w:w="5083"/>
            <w:vAlign w:val="top"/>
            <w:shd w:fill="F4F7FA"/>
          </w:tcPr>
          <w:p>
            <w:pPr>
              <w:spacing w:after="20"/>
            </w:pPr>
            <w:r>
              <w:rPr>
                <w:sz w:val="15"/>
              </w:rPr>
              <w:t>Missing services, empty geography, exclusions, competitor absence, untrusted imported text.</w:t>
            </w:r>
          </w:p>
        </w:tc>
      </w:tr>
      <w:tr>
        <w:tc>
          <w:tcPr>
            <w:tcW w:type="dxa" w:w="5083"/>
            <w:vAlign w:val="top"/>
          </w:tcPr>
          <w:p>
            <w:pPr>
              <w:spacing w:after="20"/>
            </w:pPr>
            <w:r>
              <w:rPr>
                <w:sz w:val="15"/>
              </w:rPr>
              <w:t>Parsing</w:t>
            </w:r>
          </w:p>
        </w:tc>
        <w:tc>
          <w:tcPr>
            <w:tcW w:type="dxa" w:w="5083"/>
            <w:vAlign w:val="top"/>
          </w:tcPr>
          <w:p>
            <w:pPr>
              <w:spacing w:after="20"/>
            </w:pPr>
            <w:r>
              <w:rPr>
                <w:sz w:val="15"/>
              </w:rPr>
              <w:t>Clean JSON, fenced JSON, prose wrapper, malformed JSON, extra fields, object instead of array, partial invalid items.</w:t>
            </w:r>
          </w:p>
        </w:tc>
      </w:tr>
      <w:tr>
        <w:tc>
          <w:tcPr>
            <w:tcW w:type="dxa" w:w="5083"/>
            <w:vAlign w:val="top"/>
            <w:shd w:fill="F4F7FA"/>
          </w:tcPr>
          <w:p>
            <w:pPr>
              <w:spacing w:after="20"/>
            </w:pPr>
            <w:r>
              <w:rPr>
                <w:sz w:val="15"/>
              </w:rPr>
              <w:t>Count and quotas</w:t>
            </w:r>
          </w:p>
        </w:tc>
        <w:tc>
          <w:tcPr>
            <w:tcW w:type="dxa" w:w="5083"/>
            <w:vAlign w:val="top"/>
            <w:shd w:fill="F4F7FA"/>
          </w:tcPr>
          <w:p>
            <w:pPr>
              <w:spacing w:after="20"/>
            </w:pPr>
            <w:r>
              <w:rPr>
                <w:sz w:val="15"/>
              </w:rPr>
              <w:t>Too few items, too many items, missing intent category, incorrect branded ratio, repair attempt.</w:t>
            </w:r>
          </w:p>
        </w:tc>
      </w:tr>
      <w:tr>
        <w:tc>
          <w:tcPr>
            <w:tcW w:type="dxa" w:w="5083"/>
            <w:vAlign w:val="top"/>
          </w:tcPr>
          <w:p>
            <w:pPr>
              <w:spacing w:after="20"/>
            </w:pPr>
            <w:r>
              <w:rPr>
                <w:sz w:val="15"/>
              </w:rPr>
              <w:t>Duplicates</w:t>
            </w:r>
          </w:p>
        </w:tc>
        <w:tc>
          <w:tcPr>
            <w:tcW w:type="dxa" w:w="5083"/>
            <w:vAlign w:val="top"/>
          </w:tcPr>
          <w:p>
            <w:pPr>
              <w:spacing w:after="20"/>
            </w:pPr>
            <w:r>
              <w:rPr>
                <w:sz w:val="15"/>
              </w:rPr>
              <w:t>Exact, punctuation/case variants, semantic near duplicates, intentional family variants, overlap with existing panel.</w:t>
            </w:r>
          </w:p>
        </w:tc>
      </w:tr>
      <w:tr>
        <w:tc>
          <w:tcPr>
            <w:tcW w:type="dxa" w:w="5083"/>
            <w:vAlign w:val="top"/>
            <w:shd w:fill="F4F7FA"/>
          </w:tcPr>
          <w:p>
            <w:pPr>
              <w:spacing w:after="20"/>
            </w:pPr>
            <w:r>
              <w:rPr>
                <w:sz w:val="15"/>
              </w:rPr>
              <w:t>Validation</w:t>
            </w:r>
          </w:p>
        </w:tc>
        <w:tc>
          <w:tcPr>
            <w:tcW w:type="dxa" w:w="5083"/>
            <w:vAlign w:val="top"/>
            <w:shd w:fill="F4F7FA"/>
          </w:tcPr>
          <w:p>
            <w:pPr>
              <w:spacing w:after="20"/>
            </w:pPr>
            <w:r>
              <w:rPr>
                <w:sz w:val="15"/>
              </w:rPr>
              <w:t>Unsupported service, unapproved location, excluded topic, brandInPrompt mismatch.</w:t>
            </w:r>
          </w:p>
        </w:tc>
      </w:tr>
      <w:tr>
        <w:tc>
          <w:tcPr>
            <w:tcW w:type="dxa" w:w="5083"/>
            <w:vAlign w:val="top"/>
          </w:tcPr>
          <w:p>
            <w:pPr>
              <w:spacing w:after="20"/>
            </w:pPr>
            <w:r>
              <w:rPr>
                <w:sz w:val="15"/>
              </w:rPr>
              <w:t>Scoring</w:t>
            </w:r>
          </w:p>
        </w:tc>
        <w:tc>
          <w:tcPr>
            <w:tcW w:type="dxa" w:w="5083"/>
            <w:vAlign w:val="top"/>
          </w:tcPr>
          <w:p>
            <w:pPr>
              <w:spacing w:after="20"/>
            </w:pPr>
            <w:r>
              <w:rPr>
                <w:sz w:val="15"/>
              </w:rPr>
              <w:t>Deterministic dimension scoring, critical-error cap, tie handling.</w:t>
            </w:r>
          </w:p>
        </w:tc>
      </w:tr>
      <w:tr>
        <w:tc>
          <w:tcPr>
            <w:tcW w:type="dxa" w:w="5083"/>
            <w:vAlign w:val="top"/>
            <w:shd w:fill="F4F7FA"/>
          </w:tcPr>
          <w:p>
            <w:pPr>
              <w:spacing w:after="20"/>
            </w:pPr>
            <w:r>
              <w:rPr>
                <w:sz w:val="15"/>
              </w:rPr>
              <w:t>Provenance</w:t>
            </w:r>
          </w:p>
        </w:tc>
        <w:tc>
          <w:tcPr>
            <w:tcW w:type="dxa" w:w="5083"/>
            <w:vAlign w:val="top"/>
            <w:shd w:fill="F4F7FA"/>
          </w:tcPr>
          <w:p>
            <w:pPr>
              <w:spacing w:after="20"/>
            </w:pPr>
            <w:r>
              <w:rPr>
                <w:sz w:val="15"/>
              </w:rPr>
              <w:t>Run persistence, raw response retention, model metadata, analyst edits, rejection reason.</w:t>
            </w:r>
          </w:p>
        </w:tc>
      </w:tr>
      <w:tr>
        <w:tc>
          <w:tcPr>
            <w:tcW w:type="dxa" w:w="5083"/>
            <w:vAlign w:val="top"/>
          </w:tcPr>
          <w:p>
            <w:pPr>
              <w:spacing w:after="20"/>
            </w:pPr>
            <w:r>
              <w:rPr>
                <w:sz w:val="15"/>
              </w:rPr>
              <w:t>Saving</w:t>
            </w:r>
          </w:p>
        </w:tc>
        <w:tc>
          <w:tcPr>
            <w:tcW w:type="dxa" w:w="5083"/>
            <w:vAlign w:val="top"/>
          </w:tcPr>
          <w:p>
            <w:pPr>
              <w:spacing w:after="20"/>
            </w:pPr>
            <w:r>
              <w:rPr>
                <w:sz w:val="15"/>
              </w:rPr>
              <w:t>Transactional save, draft-only behavior, quota rejection, authorized override.</w:t>
            </w:r>
          </w:p>
        </w:tc>
      </w:tr>
      <w:tr>
        <w:tc>
          <w:tcPr>
            <w:tcW w:type="dxa" w:w="5083"/>
            <w:vAlign w:val="top"/>
            <w:shd w:fill="F4F7FA"/>
          </w:tcPr>
          <w:p>
            <w:pPr>
              <w:spacing w:after="20"/>
            </w:pPr>
            <w:r>
              <w:rPr>
                <w:sz w:val="15"/>
              </w:rPr>
              <w:t>Regression</w:t>
            </w:r>
          </w:p>
        </w:tc>
        <w:tc>
          <w:tcPr>
            <w:tcW w:type="dxa" w:w="5083"/>
            <w:vAlign w:val="top"/>
            <w:shd w:fill="F4F7FA"/>
          </w:tcPr>
          <w:p>
            <w:pPr>
              <w:spacing w:after="20"/>
            </w:pPr>
            <w:r>
              <w:rPr>
                <w:sz w:val="15"/>
              </w:rPr>
              <w:t>Existing parser, adapter selection, and review/save tests continue passing.</w:t>
            </w:r>
          </w:p>
        </w:tc>
      </w:tr>
    </w:tbl>
    <w:p/>
    <w:p>
      <w:pPr>
        <w:pStyle w:val="Heading1"/>
      </w:pPr>
      <w:r>
        <w:t>16. Acceptance Criteria</w:t>
      </w:r>
    </w:p>
    <w:p>
      <w:pPr>
        <w:pStyle w:val="ListNumber"/>
        <w:spacing w:after="40"/>
      </w:pPr>
      <w:r>
        <w:t>A generation request cannot use a prompt collection owned by another client.</w:t>
      </w:r>
    </w:p>
    <w:p>
      <w:pPr>
        <w:pStyle w:val="ListNumber"/>
        <w:spacing w:after="40"/>
      </w:pPr>
      <w:r>
        <w:t>Every generation run records methodology version, adapter, model, context, raw output, and candidate diagnostics.</w:t>
      </w:r>
    </w:p>
    <w:p>
      <w:pPr>
        <w:pStyle w:val="ListNumber"/>
        <w:spacing w:after="40"/>
      </w:pPr>
      <w:r>
        <w:t>The generator receives verified services, approved geographies, and exclusions.</w:t>
      </w:r>
    </w:p>
    <w:p>
      <w:pPr>
        <w:pStyle w:val="ListNumber"/>
        <w:spacing w:after="40"/>
      </w:pPr>
      <w:r>
        <w:t>The recommended panel satisfies the configured intent and branded/non-branded quotas.</w:t>
      </w:r>
    </w:p>
    <w:p>
      <w:pPr>
        <w:pStyle w:val="ListNumber"/>
        <w:spacing w:after="40"/>
      </w:pPr>
      <w:r>
        <w:t>Invalid candidates are reported with reasons rather than silently discarded.</w:t>
      </w:r>
    </w:p>
    <w:p>
      <w:pPr>
        <w:pStyle w:val="ListNumber"/>
        <w:spacing w:after="40"/>
      </w:pPr>
      <w:r>
        <w:t>Exact and semantic duplicates are identified before saving.</w:t>
      </w:r>
    </w:p>
    <w:p>
      <w:pPr>
        <w:pStyle w:val="ListNumber"/>
        <w:spacing w:after="40"/>
      </w:pPr>
      <w:r>
        <w:t>Every saved prompt includes intent, branded state, service/location metadata where applicable, family, value, and measurement purpose.</w:t>
      </w:r>
    </w:p>
    <w:p>
      <w:pPr>
        <w:pStyle w:val="ListNumber"/>
        <w:spacing w:after="40"/>
      </w:pPr>
      <w:r>
        <w:t>Analysts can edit, deselect, and document rejection reasons.</w:t>
      </w:r>
    </w:p>
    <w:p>
      <w:pPr>
        <w:pStyle w:val="ListNumber"/>
        <w:spacing w:after="40"/>
      </w:pPr>
      <w:r>
        <w:t>Selected prompts are saved only to a draft or new panel version.</w:t>
      </w:r>
    </w:p>
    <w:p>
      <w:pPr>
        <w:pStyle w:val="ListNumber"/>
        <w:spacing w:after="40"/>
      </w:pPr>
      <w:r>
        <w:t>The final panel passes deterministic validation before activation.</w:t>
      </w:r>
    </w:p>
    <w:p>
      <w:pPr>
        <w:pStyle w:val="Heading1"/>
      </w:pPr>
      <w:r>
        <w:t>17. Recommended Next Sprint</w:t>
      </w:r>
    </w:p>
    <w:p>
      <w:r>
        <w:t>The next sprint should establish safety and measurement-ready metadata before attempting website research or advanced AI scoring.</w:t>
      </w:r>
    </w:p>
    <w:p>
      <w:pPr>
        <w:pStyle w:val="ListNumber"/>
        <w:spacing w:after="40"/>
      </w:pPr>
      <w:r>
        <w:t>Add collection.clientId validation to the generate-prompts route.</w:t>
      </w:r>
    </w:p>
    <w:p>
      <w:pPr>
        <w:pStyle w:val="ListNumber"/>
        <w:spacing w:after="40"/>
      </w:pPr>
      <w:r>
        <w:t>Expand GenerationContext with coreServices, priorityServices, exclusions, and approved geographies.</w:t>
      </w:r>
    </w:p>
    <w:p>
      <w:pPr>
        <w:pStyle w:val="ListNumber"/>
        <w:spacing w:after="40"/>
      </w:pPr>
      <w:r>
        <w:t>Replace the existing category-only output with intentType and brandInPrompt while retaining backward compatibility during migration.</w:t>
      </w:r>
    </w:p>
    <w:p>
      <w:pPr>
        <w:pStyle w:val="ListNumber"/>
        <w:spacing w:after="40"/>
      </w:pPr>
      <w:r>
        <w:t>Return valid and invalid candidate arrays with item-level errors.</w:t>
      </w:r>
    </w:p>
    <w:p>
      <w:pPr>
        <w:pStyle w:val="ListNumber"/>
        <w:spacing w:after="40"/>
      </w:pPr>
      <w:r>
        <w:t>Enforce requested count and warn when valid output falls below 80%.</w:t>
      </w:r>
    </w:p>
    <w:p>
      <w:pPr>
        <w:pStyle w:val="ListNumber"/>
        <w:spacing w:after="40"/>
      </w:pPr>
      <w:r>
        <w:t>Add normalized exact-duplicate detection against generated and existing prompts.</w:t>
      </w:r>
    </w:p>
    <w:p>
      <w:pPr>
        <w:pStyle w:val="ListNumber"/>
        <w:spacing w:after="40"/>
      </w:pPr>
      <w:r>
        <w:t>Record adapter slug, model variant, methodology version, and raw response in prompt_generation_runs.</w:t>
      </w:r>
    </w:p>
    <w:p>
      <w:pPr>
        <w:pStyle w:val="ListNumber"/>
        <w:spacing w:after="40"/>
      </w:pPr>
      <w:r>
        <w:t>Update tests for ownership, exclusions, diagnostics, count, duplicates, and provenance.</w:t>
      </w:r>
    </w:p>
    <w:p>
      <w:pPr>
        <w:pStyle w:val="Heading2"/>
      </w:pPr>
      <w:r>
        <w:t>17.1 Sprint Definition of Done</w:t>
      </w:r>
    </w:p>
    <w:p>
      <w:pPr>
        <w:pStyle w:val="ListBullet"/>
        <w:spacing w:after="40"/>
      </w:pPr>
      <w:r>
        <w:t>All schema migrations are covered by tests.</w:t>
      </w:r>
    </w:p>
    <w:p>
      <w:pPr>
        <w:pStyle w:val="ListBullet"/>
        <w:spacing w:after="40"/>
      </w:pPr>
      <w:r>
        <w:t>All existing tests continue passing.</w:t>
      </w:r>
    </w:p>
    <w:p>
      <w:pPr>
        <w:pStyle w:val="ListBullet"/>
        <w:spacing w:after="40"/>
      </w:pPr>
      <w:r>
        <w:t>No invalid candidate disappears without a diagnostic.</w:t>
      </w:r>
    </w:p>
    <w:p>
      <w:pPr>
        <w:pStyle w:val="ListBullet"/>
        <w:spacing w:after="40"/>
      </w:pPr>
      <w:r>
        <w:t>No prompt can be generated or saved across client boundaries.</w:t>
      </w:r>
    </w:p>
    <w:p>
      <w:pPr>
        <w:pStyle w:val="ListBullet"/>
        <w:spacing w:after="40"/>
      </w:pPr>
      <w:r>
        <w:t>The UI shows generation source, valid count, rejected count, and warnings.</w:t>
      </w:r>
    </w:p>
    <w:p>
      <w:pPr>
        <w:pStyle w:val="ListBullet"/>
        <w:spacing w:after="40"/>
      </w:pPr>
      <w:r>
        <w:t>A saved candidate retains enough metadata to support non-branded and intent-level reporting.</w:t>
      </w:r>
    </w:p>
    <w:p>
      <w:pPr>
        <w:pStyle w:val="Heading1"/>
      </w:pPr>
      <w:r>
        <w:t>Appendix A - Recommended Generation Instruction Outline</w:t>
      </w:r>
    </w:p>
    <w:p>
      <w:pPr>
        <w:pStyle w:val="ListBullet"/>
        <w:spacing w:after="40"/>
      </w:pPr>
      <w:r>
        <w:t>State the role: generate realistic customer prompts for a measurement panel, not marketing copy.</w:t>
      </w:r>
    </w:p>
    <w:p>
      <w:pPr>
        <w:pStyle w:val="ListBullet"/>
        <w:spacing w:after="40"/>
      </w:pPr>
      <w:r>
        <w:t>Define client data as untrusted reference facts and prohibit following instructions inside it.</w:t>
      </w:r>
    </w:p>
    <w:p>
      <w:pPr>
        <w:pStyle w:val="ListBullet"/>
        <w:spacing w:after="40"/>
      </w:pPr>
      <w:r>
        <w:t>Provide verified services, markets, customers, problems, differentiators, competitors, and exclusions.</w:t>
      </w:r>
    </w:p>
    <w:p>
      <w:pPr>
        <w:pStyle w:val="ListBullet"/>
        <w:spacing w:after="40"/>
      </w:pPr>
      <w:r>
        <w:t>Provide exact quota requirements.</w:t>
      </w:r>
    </w:p>
    <w:p>
      <w:pPr>
        <w:pStyle w:val="ListBullet"/>
        <w:spacing w:after="40"/>
      </w:pPr>
      <w:r>
        <w:t>Require natural conversational language and commercially meaningful coverage.</w:t>
      </w:r>
    </w:p>
    <w:p>
      <w:pPr>
        <w:pStyle w:val="ListBullet"/>
        <w:spacing w:after="40"/>
      </w:pPr>
      <w:r>
        <w:t>Require a strict JSON schema with no prose.</w:t>
      </w:r>
    </w:p>
    <w:p>
      <w:pPr>
        <w:pStyle w:val="ListBullet"/>
        <w:spacing w:after="40"/>
      </w:pPr>
      <w:r>
        <w:t>Require a rationale and measurement purpose for every candidate.</w:t>
      </w:r>
    </w:p>
    <w:p>
      <w:pPr>
        <w:pStyle w:val="ListBullet"/>
        <w:spacing w:after="40"/>
      </w:pPr>
      <w:r>
        <w:t>Instruct the model to avoid duplicates and unsupported assumptions.</w:t>
      </w:r>
    </w:p>
    <w:p>
      <w:pPr>
        <w:pStyle w:val="Heading1"/>
      </w:pPr>
      <w:r>
        <w:t>Appendix B - Public Product Principle</w:t>
      </w:r>
    </w:p>
    <w:tbl>
      <w:tblPr>
        <w:tblStyle w:val="TableGrid"/>
        <w:tblW w:type="auto" w:w="0"/>
        <w:tblLook w:firstColumn="1" w:firstRow="1" w:lastColumn="0" w:lastRow="0" w:noHBand="0" w:noVBand="1" w:val="04A0"/>
      </w:tblPr>
      <w:tblGrid>
        <w:gridCol w:w="10166"/>
      </w:tblGrid>
      <w:tr>
        <w:tc>
          <w:tcPr>
            <w:tcW w:type="dxa" w:w="10166"/>
            <w:shd w:fill="DCEAF7"/>
          </w:tcPr>
          <w:p>
            <w:pPr>
              <w:spacing w:before="100" w:after="100"/>
              <w:ind w:left="173" w:right="173"/>
            </w:pPr>
            <w:r>
              <w:rPr>
                <w:b/>
                <w:color w:val="17324D"/>
                <w:sz w:val="20"/>
              </w:rPr>
              <w:t>YLG prompt panels are designed as measurement instruments. Each prompt has a defined business purpose, an approved place in the panel, and sufficient metadata to explain what the resulting AI response does or does not demonstrate.</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Plan and Development Specification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YLG AI Prompt Generation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