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YLG AI Visibility</w:t>
        <w:br/>
        <w:t>Measurement Platform</w:t>
      </w:r>
    </w:p>
    <w:p>
      <w:pPr>
        <w:pStyle w:val="Subtitle"/>
      </w:pPr>
      <w:r>
        <w:t>Project Plan and Development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AF7"/>
          </w:tcPr>
          <w:p>
            <w:r>
              <w:rPr>
                <w:b/>
                <w:sz w:val="21"/>
              </w:rPr>
              <w:t>Development direction: expand YLG's proprietary AI visibility capabilities across collection, normalization, scoring, evidence, and reporting while retaining direct control over the methodology and historical data.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4F7FA"/>
          </w:tcPr>
          <w:p>
            <w:r>
              <w:rPr>
                <w:b/>
                <w:sz w:val="18"/>
              </w:rPr>
              <w:t>Prepared for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Your Local Genius (YLG)</w:t>
            </w:r>
          </w:p>
        </w:tc>
      </w:tr>
      <w:tr>
        <w:tc>
          <w:tcPr>
            <w:tcW w:type="dxa" w:w="5083"/>
            <w:shd w:fill="F4F7FA"/>
          </w:tcPr>
          <w:p>
            <w:r>
              <w:rPr>
                <w:b/>
                <w:sz w:val="18"/>
              </w:rPr>
              <w:t>Source system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PenZenMaster/workflow-portal</w:t>
            </w:r>
          </w:p>
        </w:tc>
      </w:tr>
      <w:tr>
        <w:tc>
          <w:tcPr>
            <w:tcW w:type="dxa" w:w="5083"/>
            <w:shd w:fill="F4F7FA"/>
          </w:tcPr>
          <w:p>
            <w:r>
              <w:rPr>
                <w:b/>
                <w:sz w:val="18"/>
              </w:rPr>
              <w:t>Document status</w:t>
            </w:r>
          </w:p>
        </w:tc>
        <w:tc>
          <w:tcPr>
            <w:tcW w:type="dxa" w:w="5083"/>
          </w:tcPr>
          <w:p>
            <w:r>
              <w:t>Approved development direction / development specification</w:t>
            </w:r>
          </w:p>
        </w:tc>
      </w:tr>
      <w:tr>
        <w:tc>
          <w:tcPr>
            <w:tcW w:type="dxa" w:w="5083"/>
            <w:shd w:fill="F4F7FA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083"/>
          </w:tcPr>
          <w:p>
            <w:r>
              <w:t>1.1</w:t>
            </w:r>
          </w:p>
        </w:tc>
      </w:tr>
      <w:tr>
        <w:tc>
          <w:tcPr>
            <w:tcW w:type="dxa" w:w="5083"/>
            <w:shd w:fill="F4F7FA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July 12, 2026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existing workflow-portal AI Visibility module provides a credible technical foundation for measuring brand mentions, client-domain citations, AI share of voice, sentiment, competitor appearances, evidence excerpts, and a weighted visibility score. It is not yet sufficient as a defensible agency-grade AI visibility product because it lacks robust recommendation classification, prompt taxonomy, non-branded discovery segmentation, repeated-run consistency, source-quality classification, consumer-interface parity, and detailed platform/model reporting.</w:t>
      </w:r>
    </w:p>
    <w:p>
      <w:r>
        <w:t>YLG will continue expanding the platform into a proprietary AI visibility measurement system. The architecture will use direct provider connections and controlled collection methods while keeping prompt methodology, normalization, evidence, classification, scoring, and reporting under YLG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AF7"/>
          </w:tcPr>
          <w:p>
            <w:pPr>
              <w:pStyle w:val="Callout"/>
            </w:pPr>
            <w:r>
              <w:t>The product is not 'another AI rank tracker.' It is YLG's proprietary measurement and interpretation engine for connecting AI visibility to Search, Maps, website performance, and qualified opportunities.</w:t>
            </w:r>
          </w:p>
        </w:tc>
      </w:tr>
    </w:tbl>
    <w:p>
      <w:pPr>
        <w:spacing w:after="20"/>
      </w:pPr>
    </w:p>
    <w:p>
      <w:pPr>
        <w:pStyle w:val="Heading2"/>
      </w:pPr>
      <w:r>
        <w:t>1.1 Development Direction</w:t>
      </w:r>
    </w:p>
    <w:p>
      <w:r>
        <w:t>YLG will own and expand the complete measurement methodology and product capabilities required to collect, normalize, interpret, and report AI visibility observations.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6"/>
              </w:rPr>
              <w:t>Capability Area</w:t>
            </w:r>
          </w:p>
        </w:tc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6"/>
              </w:rPr>
              <w:t>Development Direction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Measurement methodology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Define, document, version, and maintain within YLG.</w:t>
            </w:r>
          </w:p>
        </w:tc>
      </w:tr>
      <w:tr>
        <w:tc>
          <w:tcPr>
            <w:tcW w:type="dxa" w:w="4320"/>
            <w:shd w:fill="F4F7FA"/>
          </w:tcPr>
          <w:p>
            <w:r>
              <w:rPr>
                <w:sz w:val="16"/>
              </w:rPr>
              <w:t>Prompt panels and sampling</w:t>
            </w:r>
          </w:p>
        </w:tc>
        <w:tc>
          <w:tcPr>
            <w:tcW w:type="dxa" w:w="4320"/>
            <w:shd w:fill="F4F7FA"/>
          </w:tcPr>
          <w:p>
            <w:r>
              <w:rPr>
                <w:sz w:val="16"/>
              </w:rPr>
              <w:t>Build configurable, locked, and repeatable campaign panels.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Entity and competitor resolution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Maintain client, alias, domain, competitor, and exclusion dictionaries.</w:t>
            </w:r>
          </w:p>
        </w:tc>
      </w:tr>
      <w:tr>
        <w:tc>
          <w:tcPr>
            <w:tcW w:type="dxa" w:w="4320"/>
            <w:shd w:fill="F4F7FA"/>
          </w:tcPr>
          <w:p>
            <w:r>
              <w:rPr>
                <w:sz w:val="16"/>
              </w:rPr>
              <w:t>Collection</w:t>
            </w:r>
          </w:p>
        </w:tc>
        <w:tc>
          <w:tcPr>
            <w:tcW w:type="dxa" w:w="4320"/>
            <w:shd w:fill="F4F7FA"/>
          </w:tcPr>
          <w:p>
            <w:r>
              <w:rPr>
                <w:sz w:val="16"/>
              </w:rPr>
              <w:t>Expand direct provider adapters and controlled consumer-surface collection.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Normalization and raw evidence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Preserve a provider-neutral observation model and auditable evidence.</w:t>
            </w:r>
          </w:p>
        </w:tc>
      </w:tr>
      <w:tr>
        <w:tc>
          <w:tcPr>
            <w:tcW w:type="dxa" w:w="4320"/>
            <w:shd w:fill="F4F7FA"/>
          </w:tcPr>
          <w:p>
            <w:r>
              <w:rPr>
                <w:sz w:val="16"/>
              </w:rPr>
              <w:t>Classification and scoring</w:t>
            </w:r>
          </w:p>
        </w:tc>
        <w:tc>
          <w:tcPr>
            <w:tcW w:type="dxa" w:w="4320"/>
            <w:shd w:fill="F4F7FA"/>
          </w:tcPr>
          <w:p>
            <w:r>
              <w:rPr>
                <w:sz w:val="16"/>
              </w:rPr>
              <w:t>Develop recommendation, citation, sentiment, prominence, probability, and volatility measures.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Cross-channel reporting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Connect AI visibility with Search Console, GA4, GBP, local visibility, calls, and CRM outcomes.</w:t>
            </w:r>
          </w:p>
        </w:tc>
      </w:tr>
    </w:tbl>
    <w:p>
      <w:pPr>
        <w:pStyle w:val="Heading2"/>
      </w:pPr>
      <w:r>
        <w:t>1.2 Project Outcomes</w:t>
      </w:r>
    </w:p>
    <w:p>
      <w:pPr>
        <w:pStyle w:val="ListBullet"/>
        <w:spacing w:after="40"/>
      </w:pPr>
      <w:r>
        <w:t>A transparent and versioned AI visibility methodology that YLG can explain to clients.</w:t>
      </w:r>
    </w:p>
    <w:p>
      <w:pPr>
        <w:pStyle w:val="ListBullet"/>
        <w:spacing w:after="40"/>
      </w:pPr>
      <w:r>
        <w:t>Repeatable baseline and 30/60/90-day reporting using fixed prompt panels.</w:t>
      </w:r>
    </w:p>
    <w:p>
      <w:pPr>
        <w:pStyle w:val="ListBullet"/>
        <w:spacing w:after="40"/>
      </w:pPr>
      <w:r>
        <w:t>Separate measurement of mentions, recommendations, citations, prominence, sentiment, and competitive share.</w:t>
      </w:r>
    </w:p>
    <w:p>
      <w:pPr>
        <w:pStyle w:val="ListBullet"/>
        <w:spacing w:after="40"/>
      </w:pPr>
      <w:r>
        <w:t>Clear distinction between API prompt visibility and consumer-product visibility.</w:t>
      </w:r>
    </w:p>
    <w:p>
      <w:pPr>
        <w:pStyle w:val="ListBullet"/>
        <w:spacing w:after="40"/>
      </w:pPr>
      <w:r>
        <w:t>Provider-neutral ingestion so YLG can replace vendors without losing historical continuity.</w:t>
      </w:r>
    </w:p>
    <w:p>
      <w:pPr>
        <w:pStyle w:val="ListBullet"/>
        <w:spacing w:after="40"/>
      </w:pPr>
      <w:r>
        <w:t>Cross-channel reporting that connects AI visibility with Google Search Console, GA4, GBP, local grid data, call tracking, and CRM outcomes.</w:t>
      </w:r>
    </w:p>
    <w:p>
      <w:pPr>
        <w:pStyle w:val="Heading1"/>
      </w:pPr>
      <w:r>
        <w:t>2. Project Scope</w:t>
      </w:r>
    </w:p>
    <w:p>
      <w:pPr>
        <w:pStyle w:val="Heading2"/>
      </w:pPr>
      <w:r>
        <w:t>2.1 In Scope</w:t>
      </w:r>
    </w:p>
    <w:p>
      <w:pPr>
        <w:pStyle w:val="ListBullet"/>
        <w:spacing w:after="40"/>
      </w:pPr>
      <w:r>
        <w:t>Prompt panel creation, classification, locking, and versioning.</w:t>
      </w:r>
    </w:p>
    <w:p>
      <w:pPr>
        <w:pStyle w:val="ListBullet"/>
        <w:spacing w:after="40"/>
      </w:pPr>
      <w:r>
        <w:t>Provider API and consumer-surface observation ingestion.</w:t>
      </w:r>
    </w:p>
    <w:p>
      <w:pPr>
        <w:pStyle w:val="ListBullet"/>
        <w:spacing w:after="40"/>
      </w:pPr>
      <w:r>
        <w:t>Raw response and citation preservation.</w:t>
      </w:r>
    </w:p>
    <w:p>
      <w:pPr>
        <w:pStyle w:val="ListBullet"/>
        <w:spacing w:after="40"/>
      </w:pPr>
      <w:r>
        <w:t>Client, competitor, alias, domain, and false-positive entity management.</w:t>
      </w:r>
    </w:p>
    <w:p>
      <w:pPr>
        <w:pStyle w:val="ListBullet"/>
        <w:spacing w:after="40"/>
      </w:pPr>
      <w:r>
        <w:t>Brand mention and recommendation classification.</w:t>
      </w:r>
    </w:p>
    <w:p>
      <w:pPr>
        <w:pStyle w:val="ListBullet"/>
        <w:spacing w:after="40"/>
      </w:pPr>
      <w:r>
        <w:t>Citation extraction and source-quality classification.</w:t>
      </w:r>
    </w:p>
    <w:p>
      <w:pPr>
        <w:pStyle w:val="ListBullet"/>
        <w:spacing w:after="40"/>
      </w:pPr>
      <w:r>
        <w:t>Repeated observations and answer-volatility calculations.</w:t>
      </w:r>
    </w:p>
    <w:p>
      <w:pPr>
        <w:pStyle w:val="ListBullet"/>
        <w:spacing w:after="40"/>
      </w:pPr>
      <w:r>
        <w:t>Metric calculation, methodology versioning, and trend snapshots.</w:t>
      </w:r>
    </w:p>
    <w:p>
      <w:pPr>
        <w:pStyle w:val="ListBullet"/>
        <w:spacing w:after="40"/>
      </w:pPr>
      <w:r>
        <w:t>Client-level, platform-level, service-level, location-level, and prompt-family reporting.</w:t>
      </w:r>
    </w:p>
    <w:p>
      <w:pPr>
        <w:pStyle w:val="ListBullet"/>
        <w:spacing w:after="40"/>
      </w:pPr>
      <w:r>
        <w:t>CSV/JSON imports and additional provider/collector adapters.</w:t>
      </w:r>
    </w:p>
    <w:p>
      <w:pPr>
        <w:pStyle w:val="ListBullet"/>
        <w:spacing w:after="40"/>
      </w:pPr>
      <w:r>
        <w:t>Audit evidence, exports, and methodology documentation.</w:t>
      </w:r>
    </w:p>
    <w:p>
      <w:pPr>
        <w:pStyle w:val="Heading2"/>
      </w:pPr>
      <w:r>
        <w:t>2.2 Out of Scope</w:t>
      </w:r>
    </w:p>
    <w:p>
      <w:pPr>
        <w:pStyle w:val="ListBullet"/>
        <w:spacing w:after="40"/>
      </w:pPr>
      <w:r>
        <w:t>Guaranteeing rankings, recommendations, leads, revenue, or inclusion in any AI answer.</w:t>
      </w:r>
    </w:p>
    <w:p>
      <w:pPr>
        <w:pStyle w:val="ListBullet"/>
        <w:spacing w:after="40"/>
      </w:pPr>
      <w:r>
        <w:t>Uncontrolled or undocumented collection methods that cannot preserve repeatability, evidence, or compliance.</w:t>
      </w:r>
    </w:p>
    <w:p>
      <w:pPr>
        <w:pStyle w:val="ListBullet"/>
        <w:spacing w:after="40"/>
      </w:pPr>
      <w:r>
        <w:t>Claiming API responses are identical to consumer-facing ChatGPT, Gemini, Claude, or other products.</w:t>
      </w:r>
    </w:p>
    <w:p>
      <w:pPr>
        <w:pStyle w:val="ListBullet"/>
        <w:spacing w:after="40"/>
      </w:pPr>
      <w:r>
        <w:t>Client-specific hidden changes to scoring weights that damage cross-client comparability.</w:t>
      </w:r>
    </w:p>
    <w:p>
      <w:pPr>
        <w:pStyle w:val="ListBullet"/>
        <w:spacing w:after="40"/>
      </w:pPr>
      <w:r>
        <w:t>Replacing call tracking, CRM, Search Console, GA4, or local-grid tracking systems.</w:t>
      </w:r>
    </w:p>
    <w:p>
      <w:pPr>
        <w:pStyle w:val="ListBullet"/>
        <w:spacing w:after="40"/>
      </w:pPr>
      <w:r>
        <w:t>Building a standalone SaaS product during the initial agency implementation.</w:t>
      </w:r>
    </w:p>
    <w:p>
      <w:pPr>
        <w:pStyle w:val="Heading2"/>
      </w:pPr>
      <w:r>
        <w:t>2.3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5083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Implementation Rule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Evidence before score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sz w:val="16"/>
              </w:rPr>
              <w:t>Every metric must be traceable to stored responses, citations, prompt metadata, and parser/classifier output.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Stable methodology</w:t>
            </w:r>
          </w:p>
        </w:tc>
        <w:tc>
          <w:tcPr>
            <w:tcW w:type="dxa" w:w="7488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Scoring formulas and prompt panels are versioned; historical reports retain their original methodology version.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Provider neutrality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sz w:val="16"/>
              </w:rPr>
              <w:t>Collection sources are adapters. No provider or vendor owns the YLG data model.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Honest labeling</w:t>
            </w:r>
          </w:p>
        </w:tc>
        <w:tc>
          <w:tcPr>
            <w:tcW w:type="dxa" w:w="7488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API prompt visibility and consumer-interface visibility are reported as different surfaces.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6"/>
              </w:rPr>
              <w:t>Repeatability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sz w:val="16"/>
              </w:rPr>
              <w:t>The system records multiple observations and reports probability and volatility rather than treating one answer as a rank.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Client relevance</w:t>
            </w:r>
          </w:p>
        </w:tc>
        <w:tc>
          <w:tcPr>
            <w:tcW w:type="dxa" w:w="7488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Non-branded discovery, commercial intent, service, and geography receive priority over vanity totals.</w:t>
            </w:r>
          </w:p>
        </w:tc>
      </w:tr>
    </w:tbl>
    <w:p>
      <w:pPr>
        <w:spacing w:after="20"/>
      </w:pPr>
    </w:p>
    <w:p>
      <w:pPr>
        <w:pStyle w:val="Heading1"/>
      </w:pPr>
      <w:r>
        <w:t>3. Current-State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Current State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Required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Brand mention rate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5"/>
              </w:rPr>
              <w:t>Retain; split branded and non-branded.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Client-domain citation rate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Implemented where provider returns citations</w:t>
            </w:r>
          </w:p>
        </w:tc>
        <w:tc>
          <w:tcPr>
            <w:tcW w:type="dxa" w:w="44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Rename clearly and retain.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AI share of voice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Implemented; formula recently corrected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5"/>
              </w:rPr>
              <w:t>Add recommendation and first-choice share of voice.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Weighted visibility score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44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Version formula and improve inputs before making it primary client KPI.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Sentiment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Implemented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5"/>
              </w:rPr>
              <w:t>Add human review queue and confidence thresholds.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Competitor tracking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Implemented through associated brands</w:t>
            </w:r>
          </w:p>
        </w:tc>
        <w:tc>
          <w:tcPr>
            <w:tcW w:type="dxa" w:w="44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Add competitor win/loss and prompt-family reporting.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Recommendation detection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Numbered-list rank heuristic only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5"/>
              </w:rPr>
              <w:t>Build response-level recommendation classifier.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Fuzzy matching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Label exists; actual logic is substring matching</w:t>
            </w:r>
          </w:p>
        </w:tc>
        <w:tc>
          <w:tcPr>
            <w:tcW w:type="dxa" w:w="44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Implement true fuzzy matching or relabel behavior.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Summary prominence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First-third heuristic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5"/>
              </w:rPr>
              <w:t>Replace with structural placement features.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Trusted third-party citations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Data field exists but always false</w:t>
            </w:r>
          </w:p>
        </w:tc>
        <w:tc>
          <w:tcPr>
            <w:tcW w:type="dxa" w:w="44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Build source-domain registry and classification.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Prompt intent taxonomy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Not explicit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5"/>
              </w:rPr>
              <w:t>Add immutable prompt metadata.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Repeated runs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Not implemented</w:t>
            </w:r>
          </w:p>
        </w:tc>
        <w:tc>
          <w:tcPr>
            <w:tcW w:type="dxa" w:w="44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Add replicate observations and volatility metrics.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Platform/model segmentation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Partially available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5"/>
              </w:rPr>
              <w:t>Expose in metrics, trends, filters, and exports.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Consumer UI visibility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Not implemented</w:t>
            </w:r>
          </w:p>
        </w:tc>
        <w:tc>
          <w:tcPr>
            <w:tcW w:type="dxa" w:w="44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Integrate vendor/manual observations and label separately.</w:t>
            </w:r>
          </w:p>
        </w:tc>
      </w:tr>
    </w:tbl>
    <w:p>
      <w:pPr>
        <w:spacing w:after="20"/>
      </w:pPr>
    </w:p>
    <w:p>
      <w:pPr>
        <w:pStyle w:val="Heading1"/>
      </w:pPr>
      <w:r>
        <w:t>4. Target Architecture</w:t>
      </w:r>
    </w:p>
    <w:p>
      <w:r>
        <w:t>The target system separates collection, normalization, evidence, classification, metrics, and reporting into stable layers. Direct provider APIs and controlled consumer-surface collectors feed a normalized observation model, while parsing, scoring, and reporting remain consistent across 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A"/>
          </w:tcPr>
          <w:p>
            <w:pPr>
              <w:pStyle w:val="Callout"/>
            </w:pPr>
            <w:r>
              <w:t>Collectors → Normalized Observations → Parsing and Classification → Versioned Metrics → Cross-Channel Reporting</w:t>
            </w:r>
          </w:p>
        </w:tc>
      </w:tr>
    </w:tbl>
    <w:p>
      <w:pPr>
        <w:spacing w:after="20"/>
      </w:pPr>
    </w:p>
    <w:p>
      <w:pPr>
        <w:pStyle w:val="Heading2"/>
      </w:pPr>
      <w:r>
        <w:t>4.1 Architectural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Responsibilities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Ownership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5"/>
              </w:rPr>
              <w:t>Collection adapters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5"/>
              </w:rPr>
              <w:t>Execute prompts or import responses, citations, screenshots, model details, geo, locale, and timestamps.</w:t>
            </w:r>
          </w:p>
        </w:tc>
        <w:tc>
          <w:tcPr>
            <w:tcW w:type="dxa" w:w="1728"/>
            <w:vAlign w:val="top"/>
          </w:tcPr>
          <w:p>
            <w:r>
              <w:t>YLG</w:t>
            </w:r>
          </w:p>
        </w:tc>
      </w:tr>
      <w:tr>
        <w:tc>
          <w:tcPr>
            <w:tcW w:type="dxa" w:w="187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Normalization</w:t>
            </w:r>
          </w:p>
        </w:tc>
        <w:tc>
          <w:tcPr>
            <w:tcW w:type="dxa" w:w="60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Convert every source into one stable observation contract.</w:t>
            </w:r>
          </w:p>
        </w:tc>
        <w:tc>
          <w:tcPr>
            <w:tcW w:type="dxa" w:w="172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YLG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5"/>
              </w:rPr>
              <w:t>Raw evidence store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5"/>
              </w:rPr>
              <w:t>Preserve response text, raw payload, citations, screenshots/links, errors, and collection metadata.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YLG</w:t>
            </w:r>
          </w:p>
        </w:tc>
      </w:tr>
      <w:tr>
        <w:tc>
          <w:tcPr>
            <w:tcW w:type="dxa" w:w="187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Entity resolution</w:t>
            </w:r>
          </w:p>
        </w:tc>
        <w:tc>
          <w:tcPr>
            <w:tcW w:type="dxa" w:w="60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Match clients, aliases, competitors, domains, exclusions, and geographic entities.</w:t>
            </w:r>
          </w:p>
        </w:tc>
        <w:tc>
          <w:tcPr>
            <w:tcW w:type="dxa" w:w="172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YLG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5"/>
              </w:rPr>
              <w:t>Determine mention type, recommendation status, placement, sentiment, and citation classes.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YLG</w:t>
            </w:r>
          </w:p>
        </w:tc>
      </w:tr>
      <w:tr>
        <w:tc>
          <w:tcPr>
            <w:tcW w:type="dxa" w:w="187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Metrics engine</w:t>
            </w:r>
          </w:p>
        </w:tc>
        <w:tc>
          <w:tcPr>
            <w:tcW w:type="dxa" w:w="60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Calculate rates, share of voice, probability, volatility, score, and trend deltas.</w:t>
            </w:r>
          </w:p>
        </w:tc>
        <w:tc>
          <w:tcPr>
            <w:tcW w:type="dxa" w:w="172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YLG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5"/>
              </w:rPr>
              <w:t>Reporting layer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5"/>
              </w:rPr>
              <w:t>Client dashboards, analyst detail, exports, methodology, and guarantee scorecards.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YLG</w:t>
            </w:r>
          </w:p>
        </w:tc>
      </w:tr>
    </w:tbl>
    <w:p>
      <w:pPr>
        <w:spacing w:after="20"/>
      </w:pPr>
    </w:p>
    <w:p>
      <w:pPr>
        <w:pStyle w:val="Heading2"/>
      </w:pPr>
      <w:r>
        <w:t>4.2 Collection Source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Source Type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2160"/>
            <w:vAlign w:val="top"/>
          </w:tcPr>
          <w:p>
            <w:r>
              <w:t>Official provider APIs</w:t>
            </w:r>
          </w:p>
        </w:tc>
        <w:tc>
          <w:tcPr>
            <w:tcW w:type="dxa" w:w="3600"/>
            <w:vAlign w:val="top"/>
          </w:tcPr>
          <w:p>
            <w:r>
              <w:t>Perplexity, OpenAI, Gemini, Anthropic</w:t>
            </w:r>
          </w:p>
        </w:tc>
        <w:tc>
          <w:tcPr>
            <w:tcW w:type="dxa" w:w="4464"/>
            <w:vAlign w:val="top"/>
          </w:tcPr>
          <w:p>
            <w:r>
              <w:t>Repeatable provider-API observations with model and source metadata.</w:t>
            </w:r>
          </w:p>
        </w:tc>
      </w:tr>
      <w:tr>
        <w:tc>
          <w:tcPr>
            <w:tcW w:type="dxa" w:w="2160"/>
            <w:vAlign w:val="top"/>
            <w:shd w:fill="F4F7FA"/>
          </w:tcPr>
          <w:p>
            <w:r>
              <w:t>Consumer-surface collectors</w:t>
            </w:r>
          </w:p>
        </w:tc>
        <w:tc>
          <w:tcPr>
            <w:tcW w:type="dxa" w:w="3600"/>
            <w:vAlign w:val="top"/>
            <w:shd w:fill="F4F7FA"/>
          </w:tcPr>
          <w:p>
            <w:r>
              <w:t>ChatGPT search, Gemini, Perplexity, Google AI surfaces</w:t>
            </w:r>
          </w:p>
        </w:tc>
        <w:tc>
          <w:tcPr>
            <w:tcW w:type="dxa" w:w="4464"/>
            <w:vAlign w:val="top"/>
            <w:shd w:fill="F4F7FA"/>
          </w:tcPr>
          <w:p>
            <w:r>
              <w:t>Controlled observation of the experiences customers actually use.</w:t>
            </w:r>
          </w:p>
        </w:tc>
      </w:tr>
      <w:tr>
        <w:tc>
          <w:tcPr>
            <w:tcW w:type="dxa" w:w="2160"/>
            <w:vAlign w:val="top"/>
          </w:tcPr>
          <w:p>
            <w:r>
              <w:t>Manual validation</w:t>
            </w:r>
          </w:p>
        </w:tc>
        <w:tc>
          <w:tcPr>
            <w:tcW w:type="dxa" w:w="3600"/>
            <w:vAlign w:val="top"/>
          </w:tcPr>
          <w:p>
            <w:r>
              <w:t>Clean-session UI tests and screenshots</w:t>
            </w:r>
          </w:p>
        </w:tc>
        <w:tc>
          <w:tcPr>
            <w:tcW w:type="dxa" w:w="4464"/>
            <w:vAlign w:val="top"/>
          </w:tcPr>
          <w:p>
            <w:r>
              <w:t>QA, disputed findings, and collector-validation samples.</w:t>
            </w:r>
          </w:p>
        </w:tc>
      </w:tr>
      <w:tr>
        <w:tc>
          <w:tcPr>
            <w:tcW w:type="dxa" w:w="2160"/>
            <w:vAlign w:val="top"/>
            <w:shd w:fill="F4F7FA"/>
          </w:tcPr>
          <w:p>
            <w:r>
              <w:t>File imports</w:t>
            </w:r>
          </w:p>
        </w:tc>
        <w:tc>
          <w:tcPr>
            <w:tcW w:type="dxa" w:w="3600"/>
            <w:vAlign w:val="top"/>
            <w:shd w:fill="F4F7FA"/>
          </w:tcPr>
          <w:p>
            <w:r>
              <w:t>CSV or JSON historical observations</w:t>
            </w:r>
          </w:p>
        </w:tc>
        <w:tc>
          <w:tcPr>
            <w:tcW w:type="dxa" w:w="4464"/>
            <w:vAlign w:val="top"/>
            <w:shd w:fill="F4F7FA"/>
          </w:tcPr>
          <w:p>
            <w:r>
              <w:t>Backfill, migration, and bulk ingestion.</w:t>
            </w:r>
          </w:p>
        </w:tc>
      </w:tr>
      <w:tr>
        <w:tc>
          <w:tcPr>
            <w:tcW w:type="dxa" w:w="2160"/>
            <w:vAlign w:val="top"/>
          </w:tcPr>
          <w:p>
            <w:r>
              <w:t>Scheduled internal collectors</w:t>
            </w:r>
          </w:p>
        </w:tc>
        <w:tc>
          <w:tcPr>
            <w:tcW w:type="dxa" w:w="3600"/>
            <w:vAlign w:val="top"/>
          </w:tcPr>
          <w:p>
            <w:r>
              <w:t>Provider-specific collection workers</w:t>
            </w:r>
          </w:p>
        </w:tc>
        <w:tc>
          <w:tcPr>
            <w:tcW w:type="dxa" w:w="4464"/>
            <w:vAlign w:val="top"/>
          </w:tcPr>
          <w:p>
            <w:r>
              <w:t>Automated recurring observations with versioned collector behavior.</w:t>
            </w:r>
          </w:p>
        </w:tc>
      </w:tr>
    </w:tbl>
    <w:p>
      <w:pPr>
        <w:spacing w:after="20"/>
      </w:pPr>
    </w:p>
    <w:p>
      <w:pPr>
        <w:pStyle w:val="Heading1"/>
      </w:pPr>
      <w:r>
        <w:t>5. Data Model Specification</w:t>
      </w:r>
    </w:p>
    <w:p>
      <w:pPr>
        <w:pStyle w:val="Heading2"/>
      </w:pPr>
      <w:r>
        <w:t>5.1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Key Fields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5"/>
              </w:rPr>
              <w:t>Client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5"/>
              </w:rPr>
              <w:t>Agency account and reporting boundary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5"/>
              </w:rPr>
              <w:t>id, name, timezone, status</w:t>
            </w:r>
          </w:p>
        </w:tc>
      </w:tr>
      <w:tr>
        <w:tc>
          <w:tcPr>
            <w:tcW w:type="dxa" w:w="201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Brand</w:t>
            </w:r>
          </w:p>
        </w:tc>
        <w:tc>
          <w:tcPr>
            <w:tcW w:type="dxa" w:w="345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Client or competitor entity</w:t>
            </w:r>
          </w:p>
        </w:tc>
        <w:tc>
          <w:tcPr>
            <w:tcW w:type="dxa" w:w="475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canonical_name, kind, primary_domain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5"/>
              </w:rPr>
              <w:t>Brand Alias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5"/>
              </w:rPr>
              <w:t>Accepted match variants and exclusions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5"/>
              </w:rPr>
              <w:t>alias_text, match_type, negative_match</w:t>
            </w:r>
          </w:p>
        </w:tc>
      </w:tr>
      <w:tr>
        <w:tc>
          <w:tcPr>
            <w:tcW w:type="dxa" w:w="201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Prompt</w:t>
            </w:r>
          </w:p>
        </w:tc>
        <w:tc>
          <w:tcPr>
            <w:tcW w:type="dxa" w:w="345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Stable query definition</w:t>
            </w:r>
          </w:p>
        </w:tc>
        <w:tc>
          <w:tcPr>
            <w:tcW w:type="dxa" w:w="475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text, family, intent, brand_in_prompt, service, location, funnel_stage, priority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5"/>
              </w:rPr>
              <w:t>Prompt Panel Version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5"/>
              </w:rPr>
              <w:t>Frozen campaign baseline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5"/>
              </w:rPr>
              <w:t>panel_id, version, effective_date, locked_at</w:t>
            </w:r>
          </w:p>
        </w:tc>
      </w:tr>
      <w:tr>
        <w:tc>
          <w:tcPr>
            <w:tcW w:type="dxa" w:w="201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Platform Surface</w:t>
            </w:r>
          </w:p>
        </w:tc>
        <w:tc>
          <w:tcPr>
            <w:tcW w:type="dxa" w:w="345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Provider and experience distinction</w:t>
            </w:r>
          </w:p>
        </w:tc>
        <w:tc>
          <w:tcPr>
            <w:tcW w:type="dxa" w:w="475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provider, product_surface, model, search_mode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5"/>
              </w:rPr>
              <w:t>Observation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5"/>
              </w:rPr>
              <w:t>One prompt execution result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5"/>
              </w:rPr>
              <w:t>prompt_id, platform_surface_id, replicate, geo, locale, timestamp, status</w:t>
            </w:r>
          </w:p>
        </w:tc>
      </w:tr>
      <w:tr>
        <w:tc>
          <w:tcPr>
            <w:tcW w:type="dxa" w:w="201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Raw Response</w:t>
            </w:r>
          </w:p>
        </w:tc>
        <w:tc>
          <w:tcPr>
            <w:tcW w:type="dxa" w:w="345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Evidence and provider payload</w:t>
            </w:r>
          </w:p>
        </w:tc>
        <w:tc>
          <w:tcPr>
            <w:tcW w:type="dxa" w:w="475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text, summary, raw_payload, latency, screenshot_ref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5"/>
              </w:rPr>
              <w:t>Mention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5"/>
              </w:rPr>
              <w:t>Resolved brand occurrence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5"/>
              </w:rPr>
              <w:t>brand_id, section, placement, match_type, confidence, excerpt</w:t>
            </w:r>
          </w:p>
        </w:tc>
      </w:tr>
      <w:tr>
        <w:tc>
          <w:tcPr>
            <w:tcW w:type="dxa" w:w="201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Recommendation</w:t>
            </w:r>
          </w:p>
        </w:tc>
        <w:tc>
          <w:tcPr>
            <w:tcW w:type="dxa" w:w="345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Response-level recommendation classification</w:t>
            </w:r>
          </w:p>
        </w:tc>
        <w:tc>
          <w:tcPr>
            <w:tcW w:type="dxa" w:w="475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brand_id, status, rank, confidence, evidence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5"/>
              </w:rPr>
              <w:t>Citation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5"/>
              </w:rPr>
              <w:t>Ordered evidence source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5"/>
              </w:rPr>
              <w:t>url, root_domain, position, owner_brand_id, source_class</w:t>
            </w:r>
          </w:p>
        </w:tc>
      </w:tr>
      <w:tr>
        <w:tc>
          <w:tcPr>
            <w:tcW w:type="dxa" w:w="201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Metric Snapshot</w:t>
            </w:r>
          </w:p>
        </w:tc>
        <w:tc>
          <w:tcPr>
            <w:tcW w:type="dxa" w:w="345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Versioned aggregate result</w:t>
            </w:r>
          </w:p>
        </w:tc>
        <w:tc>
          <w:tcPr>
            <w:tcW w:type="dxa" w:w="475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methodology_version, scope, date, numerator, denominator, value</w:t>
            </w:r>
          </w:p>
        </w:tc>
      </w:tr>
    </w:tbl>
    <w:p>
      <w:pPr>
        <w:spacing w:after="20"/>
      </w:pPr>
    </w:p>
    <w:p>
      <w:pPr>
        <w:pStyle w:val="Heading2"/>
      </w:pPr>
      <w:r>
        <w:t>5.2 Normalized Observation Contract</w:t>
      </w:r>
    </w:p>
    <w:p>
      <w:r>
        <w:rPr>
          <w:b/>
        </w:rPr>
        <w:t>Minimum required fields:</w:t>
      </w:r>
    </w:p>
    <w:p>
      <w:pPr>
        <w:pStyle w:val="ListBullet"/>
        <w:spacing w:after="40"/>
      </w:pPr>
      <w:r>
        <w:t>client_id, prompt_id, prompt_panel_version</w:t>
      </w:r>
    </w:p>
    <w:p>
      <w:pPr>
        <w:pStyle w:val="ListBullet"/>
        <w:spacing w:after="40"/>
      </w:pPr>
      <w:r>
        <w:t>provider, product_surface, model_variant, search_mode</w:t>
      </w:r>
    </w:p>
    <w:p>
      <w:pPr>
        <w:pStyle w:val="ListBullet"/>
        <w:spacing w:after="40"/>
      </w:pPr>
      <w:r>
        <w:t>collection_source, collected_at, geo, locale, replicate_number</w:t>
      </w:r>
    </w:p>
    <w:p>
      <w:pPr>
        <w:pStyle w:val="ListBullet"/>
        <w:spacing w:after="40"/>
      </w:pPr>
      <w:r>
        <w:t>response_text, raw_payload_reference, citation_list, screenshot_or_evidence_reference</w:t>
      </w:r>
    </w:p>
    <w:p>
      <w:pPr>
        <w:pStyle w:val="ListBullet"/>
        <w:spacing w:after="40"/>
      </w:pPr>
      <w:r>
        <w:t>status, latency_ms, error_code, collector_version</w:t>
      </w:r>
    </w:p>
    <w:p>
      <w:pPr>
        <w:pStyle w:val="Heading2"/>
      </w:pPr>
      <w:r>
        <w:t>5.3 Prompt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Allowed/Example Values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5"/>
              </w:rPr>
              <w:t>intent_type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sz w:val="15"/>
              </w:rPr>
              <w:t>category_discovery, service_specific, geographic, comparison, trust, problem_solution, brand_validation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Segment performance by customer intent.</w:t>
            </w:r>
          </w:p>
        </w:tc>
      </w:tr>
      <w:tr>
        <w:tc>
          <w:tcPr>
            <w:tcW w:type="dxa" w:w="187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brand_in_prompt</w:t>
            </w:r>
          </w:p>
        </w:tc>
        <w:tc>
          <w:tcPr>
            <w:tcW w:type="dxa" w:w="388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true / false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Separates branded validation from independent discovery.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5"/>
              </w:rPr>
              <w:t>service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sz w:val="15"/>
              </w:rPr>
              <w:t>roof repair, foundation repair, personal injury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Supports revenue-service reporting.</w:t>
            </w:r>
          </w:p>
        </w:tc>
      </w:tr>
      <w:tr>
        <w:tc>
          <w:tcPr>
            <w:tcW w:type="dxa" w:w="187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location</w:t>
            </w:r>
          </w:p>
        </w:tc>
        <w:tc>
          <w:tcPr>
            <w:tcW w:type="dxa" w:w="388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city, metro, service area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Supports geographic reporting.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5"/>
              </w:rPr>
              <w:t>funnel_stage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sz w:val="15"/>
              </w:rPr>
              <w:t>discovery, consideration, decision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Measures visibility across the decision journey.</w:t>
            </w:r>
          </w:p>
        </w:tc>
      </w:tr>
      <w:tr>
        <w:tc>
          <w:tcPr>
            <w:tcW w:type="dxa" w:w="187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prompt_family</w:t>
            </w:r>
          </w:p>
        </w:tc>
        <w:tc>
          <w:tcPr>
            <w:tcW w:type="dxa" w:w="388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Canonical group identifier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Allows wording variants without losing trend continuity.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5"/>
              </w:rPr>
              <w:t>priority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sz w:val="15"/>
              </w:rPr>
              <w:t>1-5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Weights prompts by commercial importance.</w:t>
            </w:r>
          </w:p>
        </w:tc>
      </w:tr>
      <w:tr>
        <w:tc>
          <w:tcPr>
            <w:tcW w:type="dxa" w:w="187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commercial_value</w:t>
            </w:r>
          </w:p>
        </w:tc>
        <w:tc>
          <w:tcPr>
            <w:tcW w:type="dxa" w:w="388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low, medium, high or numeric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Supports optional business-weighted reporting.</w:t>
            </w:r>
          </w:p>
        </w:tc>
      </w:tr>
    </w:tbl>
    <w:p>
      <w:pPr>
        <w:spacing w:after="20"/>
      </w:pPr>
    </w:p>
    <w:p>
      <w:pPr>
        <w:pStyle w:val="Heading1"/>
      </w:pPr>
      <w:r>
        <w:t>6. Measurement Specification</w:t>
      </w:r>
    </w:p>
    <w:p>
      <w:pPr>
        <w:pStyle w:val="Heading2"/>
      </w:pPr>
      <w:r>
        <w:t>6.1 Primary Client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Formula / Rule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5"/>
              </w:rPr>
              <w:t>Overall Mention Rate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5"/>
              </w:rPr>
              <w:t>Responses mentioning or citing client ÷ valid responses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Retain for context; not sufficient alone.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Non-Branded Mention Rate</w:t>
            </w:r>
          </w:p>
        </w:tc>
        <w:tc>
          <w:tcPr>
            <w:tcW w:type="dxa" w:w="46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Non-branded responses mentioning client ÷ valid non-branded responses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Primary discovery metric.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5"/>
              </w:rPr>
              <w:t>Recommendation Rate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5"/>
              </w:rPr>
              <w:t>Responses classed listed_option or stronger ÷ valid responses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Report overall and non-branded.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First-Choice Rate</w:t>
            </w:r>
          </w:p>
        </w:tc>
        <w:tc>
          <w:tcPr>
            <w:tcW w:type="dxa" w:w="46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Responses where client is first_choice ÷ valid responses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More valuable than incidental mentions.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5"/>
              </w:rPr>
              <w:t>Client Domain Citation Rate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5"/>
              </w:rPr>
              <w:t>Responses citing client-owned domain ÷ valid responses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Provider/surface dependent.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Corroborating Source Rate</w:t>
            </w:r>
          </w:p>
        </w:tc>
        <w:tc>
          <w:tcPr>
            <w:tcW w:type="dxa" w:w="46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Responses citing trusted independent support for client ÷ valid responses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Uses source registry.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5"/>
              </w:rPr>
              <w:t>Mention Share of Voice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5"/>
              </w:rPr>
              <w:t>Client mention rows ÷ all tracked brand mention rows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Keep units consistent.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Recommendation Share of Voice</w:t>
            </w:r>
          </w:p>
        </w:tc>
        <w:tc>
          <w:tcPr>
            <w:tcW w:type="dxa" w:w="46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Client recommendations ÷ all tracked brand recommendations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Preferred competitive KPI.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5"/>
              </w:rPr>
              <w:t>Visibility Probability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sz w:val="15"/>
              </w:rPr>
              <w:t>Replicates with qualifying visibility ÷ total replicates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Replaces single-answer certainty.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Answer Volatility</w:t>
            </w:r>
          </w:p>
        </w:tc>
        <w:tc>
          <w:tcPr>
            <w:tcW w:type="dxa" w:w="46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Variation across replicates/time in mentions, recommendation, rank, and citations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Lower volatility indicates stability.</w:t>
            </w:r>
          </w:p>
        </w:tc>
      </w:tr>
    </w:tbl>
    <w:p>
      <w:pPr>
        <w:spacing w:after="20"/>
      </w:pPr>
    </w:p>
    <w:p>
      <w:pPr>
        <w:pStyle w:val="Heading2"/>
      </w:pPr>
      <w:r>
        <w:t>6.2 Recommendation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Suggested Score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not_mentioned</w:t>
            </w:r>
          </w:p>
        </w:tc>
        <w:tc>
          <w:tcPr>
            <w:tcW w:type="dxa" w:w="6192"/>
            <w:vAlign w:val="top"/>
          </w:tcPr>
          <w:p>
            <w:pPr>
              <w:spacing w:after="20"/>
            </w:pPr>
            <w:r>
              <w:rPr>
                <w:sz w:val="16"/>
              </w:rPr>
              <w:t>Client absent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incidental_mention</w:t>
            </w:r>
          </w:p>
        </w:tc>
        <w:tc>
          <w:tcPr>
            <w:tcW w:type="dxa" w:w="619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Named without being presented as an option</w:t>
            </w:r>
          </w:p>
        </w:tc>
        <w:tc>
          <w:tcPr>
            <w:tcW w:type="dxa" w:w="144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listed_option</w:t>
            </w:r>
          </w:p>
        </w:tc>
        <w:tc>
          <w:tcPr>
            <w:tcW w:type="dxa" w:w="6192"/>
            <w:vAlign w:val="top"/>
          </w:tcPr>
          <w:p>
            <w:pPr>
              <w:spacing w:after="20"/>
            </w:pPr>
            <w:r>
              <w:rPr>
                <w:sz w:val="16"/>
              </w:rPr>
              <w:t>Included among providers or options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recommended</w:t>
            </w:r>
          </w:p>
        </w:tc>
        <w:tc>
          <w:tcPr>
            <w:tcW w:type="dxa" w:w="619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Explicitly suggested as suitable</w:t>
            </w:r>
          </w:p>
        </w:tc>
        <w:tc>
          <w:tcPr>
            <w:tcW w:type="dxa" w:w="144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strongly_recommended</w:t>
            </w:r>
          </w:p>
        </w:tc>
        <w:tc>
          <w:tcPr>
            <w:tcW w:type="dxa" w:w="6192"/>
            <w:vAlign w:val="top"/>
          </w:tcPr>
          <w:p>
            <w:pPr>
              <w:spacing w:after="20"/>
            </w:pPr>
            <w:r>
              <w:rPr>
                <w:sz w:val="16"/>
              </w:rPr>
              <w:t>Described as a leading or especially good choice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first_choice</w:t>
            </w:r>
          </w:p>
        </w:tc>
        <w:tc>
          <w:tcPr>
            <w:tcW w:type="dxa" w:w="619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Presented first, best fit, or primary recommendation</w:t>
            </w:r>
          </w:p>
        </w:tc>
        <w:tc>
          <w:tcPr>
            <w:tcW w:type="dxa" w:w="144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negative_or_excluded</w:t>
            </w:r>
          </w:p>
        </w:tc>
        <w:tc>
          <w:tcPr>
            <w:tcW w:type="dxa" w:w="6192"/>
            <w:vAlign w:val="top"/>
          </w:tcPr>
          <w:p>
            <w:pPr>
              <w:spacing w:after="20"/>
            </w:pPr>
            <w:r>
              <w:rPr>
                <w:sz w:val="16"/>
              </w:rPr>
              <w:t>Discouraged, disqualified, or materially negative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sz w:val="16"/>
              </w:rPr>
              <w:t>-2</w:t>
            </w:r>
          </w:p>
        </w:tc>
      </w:tr>
    </w:tbl>
    <w:p>
      <w:pPr>
        <w:spacing w:after="20"/>
      </w:pPr>
    </w:p>
    <w:p>
      <w:pPr>
        <w:pStyle w:val="Heading2"/>
      </w:pPr>
      <w:r>
        <w:t>6.3 Source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Source Class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Treatment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client_owned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5"/>
              </w:rPr>
              <w:t>Client domain and controlled subdomains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Direct client citation.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competitor_owned</w:t>
            </w:r>
          </w:p>
        </w:tc>
        <w:tc>
          <w:tcPr>
            <w:tcW w:type="dxa" w:w="44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Tracked competitor domains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Competitive evidence, not client corroboration.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industry_authority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5"/>
              </w:rPr>
              <w:t>Licensing bodies, trade associations, standards organizations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High-value corroboration.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local_authority</w:t>
            </w:r>
          </w:p>
        </w:tc>
        <w:tc>
          <w:tcPr>
            <w:tcW w:type="dxa" w:w="44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Municipal, chamber, local institution, established local media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Strong local corroboration.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review_platform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5"/>
              </w:rPr>
              <w:t>BBB, Yelp, Angi, Google profiles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Reputation evidence; weight by platform.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publisher_editorial</w:t>
            </w:r>
          </w:p>
        </w:tc>
        <w:tc>
          <w:tcPr>
            <w:tcW w:type="dxa" w:w="44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News and specialist publications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Independent corroboration.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general_directory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>
              <w:rPr>
                <w:sz w:val="15"/>
              </w:rPr>
              <w:t>Broad business directories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sz w:val="15"/>
              </w:rPr>
              <w:t>Lower-value corroboration.</w:t>
            </w:r>
          </w:p>
        </w:tc>
      </w:tr>
      <w:tr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unknown_or_low_trust</w:t>
            </w:r>
          </w:p>
        </w:tc>
        <w:tc>
          <w:tcPr>
            <w:tcW w:type="dxa" w:w="44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Unclassified, scraped, thin, or suspicious sources</w:t>
            </w:r>
          </w:p>
        </w:tc>
        <w:tc>
          <w:tcPr>
            <w:tcW w:type="dxa" w:w="316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No trust bonus pending review.</w:t>
            </w:r>
          </w:p>
        </w:tc>
      </w:tr>
    </w:tbl>
    <w:p>
      <w:pPr>
        <w:spacing w:after="20"/>
      </w:pPr>
    </w:p>
    <w:p>
      <w:pPr>
        <w:pStyle w:val="Heading2"/>
      </w:pPr>
      <w:r>
        <w:t>6.4 Versioned Visibility Score</w:t>
      </w:r>
    </w:p>
    <w:p>
      <w:r>
        <w:t>The existing M+S+R+C+T score should remain an internal transitional metric. The production score must be versioned and based on reliable classification inputs. Historical score values must retain the methodology version used when calculated.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Proposed Meaning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 Weight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M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Client mentioned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15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P</w:t>
            </w:r>
          </w:p>
        </w:tc>
        <w:tc>
          <w:tcPr>
            <w:tcW w:type="dxa" w:w="691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Prominence: first paragraph, heading, list, or high placement</w:t>
            </w:r>
          </w:p>
        </w:tc>
        <w:tc>
          <w:tcPr>
            <w:tcW w:type="dxa" w:w="187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1-2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Recommendation status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0-5</w:t>
            </w:r>
          </w:p>
        </w:tc>
      </w:tr>
      <w:tr>
        <w:tc>
          <w:tcPr>
            <w:tcW w:type="dxa" w:w="115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691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Client-domain citation</w:t>
            </w:r>
          </w:p>
        </w:tc>
        <w:tc>
          <w:tcPr>
            <w:tcW w:type="dxa" w:w="187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T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Trusted independent corroboration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1-2</w:t>
            </w:r>
          </w:p>
        </w:tc>
      </w:tr>
      <w:tr>
        <w:tc>
          <w:tcPr>
            <w:tcW w:type="dxa" w:w="115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S</w:t>
            </w:r>
          </w:p>
        </w:tc>
        <w:tc>
          <w:tcPr>
            <w:tcW w:type="dxa" w:w="691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Positive sentiment/trust statement</w:t>
            </w:r>
          </w:p>
        </w:tc>
        <w:tc>
          <w:tcPr>
            <w:tcW w:type="dxa" w:w="1872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N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Negative or exclusion penalty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sz w:val="16"/>
              </w:rPr>
              <w:t>-2 to -4</w:t>
            </w:r>
          </w:p>
        </w:tc>
      </w:tr>
    </w:tbl>
    <w:p>
      <w:pPr>
        <w:spacing w:after="20"/>
      </w:pPr>
    </w:p>
    <w:p>
      <w:pPr>
        <w:pStyle w:val="SmallNote"/>
      </w:pPr>
      <w:r>
        <w:t>Client-facing reports should continue to display the component metrics. The composite score is a summary, not a substitute for evidence.</w:t>
      </w:r>
    </w:p>
    <w:p>
      <w:pPr>
        <w:pStyle w:val="Heading1"/>
      </w:pPr>
      <w:r>
        <w:t>7.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Acceptance Summary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sz w:val="15"/>
              </w:rPr>
              <w:t>FR-01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Prompt Taxonomy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5"/>
              </w:rPr>
              <w:t>Users can classify prompts by intent, branded state, service, location, funnel stage, family, priority, and commercial value.</w:t>
            </w:r>
          </w:p>
        </w:tc>
      </w:tr>
      <w:tr>
        <w:tc>
          <w:tcPr>
            <w:tcW w:type="dxa" w:w="8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FR-02</w:t>
            </w:r>
          </w:p>
        </w:tc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Panel Versioning</w:t>
            </w:r>
          </w:p>
        </w:tc>
        <w:tc>
          <w:tcPr>
            <w:tcW w:type="dxa" w:w="691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Users can freeze a prompt panel; edits create a new version rather than silently changing the baseline.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sz w:val="15"/>
              </w:rPr>
              <w:t>FR-03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Replicate Runs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5"/>
              </w:rPr>
              <w:t>Schedules can execute each prompt multiple times per platform and store replicate numbers.</w:t>
            </w:r>
          </w:p>
        </w:tc>
      </w:tr>
      <w:tr>
        <w:tc>
          <w:tcPr>
            <w:tcW w:type="dxa" w:w="8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FR-04</w:t>
            </w:r>
          </w:p>
        </w:tc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Surface Identification</w:t>
            </w:r>
          </w:p>
        </w:tc>
        <w:tc>
          <w:tcPr>
            <w:tcW w:type="dxa" w:w="691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Every observation identifies provider, product surface, model, search mode, source, geo, and locale.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sz w:val="15"/>
              </w:rPr>
              <w:t>FR-05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Recommendation Classification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5"/>
              </w:rPr>
              <w:t>The system stores response-level recommendation status, rank, confidence, and evidence.</w:t>
            </w:r>
          </w:p>
        </w:tc>
      </w:tr>
      <w:tr>
        <w:tc>
          <w:tcPr>
            <w:tcW w:type="dxa" w:w="8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FR-06</w:t>
            </w:r>
          </w:p>
        </w:tc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Source Registry</w:t>
            </w:r>
          </w:p>
        </w:tc>
        <w:tc>
          <w:tcPr>
            <w:tcW w:type="dxa" w:w="691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Administrators can classify domains and apply reusable source-quality rules.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sz w:val="15"/>
              </w:rPr>
              <w:t>FR-07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Entity Controls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5"/>
              </w:rPr>
              <w:t>Users can manage aliases, regex rules, exclusions, false positives, and competitor brands.</w:t>
            </w:r>
          </w:p>
        </w:tc>
      </w:tr>
      <w:tr>
        <w:tc>
          <w:tcPr>
            <w:tcW w:type="dxa" w:w="8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FR-08</w:t>
            </w:r>
          </w:p>
        </w:tc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Metric Segmentation</w:t>
            </w:r>
          </w:p>
        </w:tc>
        <w:tc>
          <w:tcPr>
            <w:tcW w:type="dxa" w:w="691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Metrics can be filtered by branded state, platform, surface, model, service, location, intent, prompt family, and time.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sz w:val="15"/>
              </w:rPr>
              <w:t>FR-09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Volatility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5"/>
              </w:rPr>
              <w:t>The system calculates replicate consistency and time-series volatility.</w:t>
            </w:r>
          </w:p>
        </w:tc>
      </w:tr>
      <w:tr>
        <w:tc>
          <w:tcPr>
            <w:tcW w:type="dxa" w:w="8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FR-10</w:t>
            </w:r>
          </w:p>
        </w:tc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Evidence Review</w:t>
            </w:r>
          </w:p>
        </w:tc>
        <w:tc>
          <w:tcPr>
            <w:tcW w:type="dxa" w:w="691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Analysts can inspect the prompt, full response, excerpts, citations, and classification evidence.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sz w:val="15"/>
              </w:rPr>
              <w:t>FR-11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Human Override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5"/>
              </w:rPr>
              <w:t>Authorized users can correct classifications without destroying the machine result; both are retained.</w:t>
            </w:r>
          </w:p>
        </w:tc>
      </w:tr>
      <w:tr>
        <w:tc>
          <w:tcPr>
            <w:tcW w:type="dxa" w:w="8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FR-12</w:t>
            </w:r>
          </w:p>
        </w:tc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Methodology Versioning</w:t>
            </w:r>
          </w:p>
        </w:tc>
        <w:tc>
          <w:tcPr>
            <w:tcW w:type="dxa" w:w="691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Each calculated metric identifies its scoring/parser/methodology version.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sz w:val="15"/>
              </w:rPr>
              <w:t>FR-13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External Ingestion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5"/>
              </w:rPr>
              <w:t>CSV/JSON imports can map third-party tracker observations into the normalized contract.</w:t>
            </w:r>
          </w:p>
        </w:tc>
      </w:tr>
      <w:tr>
        <w:tc>
          <w:tcPr>
            <w:tcW w:type="dxa" w:w="86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FR-14</w:t>
            </w:r>
          </w:p>
        </w:tc>
        <w:tc>
          <w:tcPr>
            <w:tcW w:type="dxa" w:w="244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Reporting</w:t>
            </w:r>
          </w:p>
        </w:tc>
        <w:tc>
          <w:tcPr>
            <w:tcW w:type="dxa" w:w="691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Client reports show executive metrics, trends, prompt gains/losses, competitor comparison, and methodology notes.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sz w:val="15"/>
              </w:rPr>
              <w:t>FR-15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5"/>
              </w:rPr>
              <w:t>Exports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5"/>
              </w:rPr>
              <w:t>Analyst and executive CSV/JSON exports include enough identifiers to reproduce calculations.</w:t>
            </w:r>
          </w:p>
        </w:tc>
      </w:tr>
    </w:tbl>
    <w:p>
      <w:pPr>
        <w:spacing w:after="20"/>
      </w:pP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Auditability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Every displayed aggregate must be traceable to its observation IDs and methodology version.</w:t>
            </w:r>
          </w:p>
        </w:tc>
      </w:tr>
      <w:tr>
        <w:tc>
          <w:tcPr>
            <w:tcW w:type="dxa" w:w="2016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Idempotency</w:t>
            </w:r>
          </w:p>
        </w:tc>
        <w:tc>
          <w:tcPr>
            <w:tcW w:type="dxa" w:w="8208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Re-parsing or reclassification must not create duplicate mentions, citations, or snapshots.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Data retention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Raw responses and imported evidence must remain available for the contracted retention period.</w:t>
            </w:r>
          </w:p>
        </w:tc>
      </w:tr>
      <w:tr>
        <w:tc>
          <w:tcPr>
            <w:tcW w:type="dxa" w:w="2016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8208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Provider credentials are encrypted or environment-managed; client data is tenant-scoped and role-protected.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Standard 90-day client dashboards should load without scanning all lifetime response rows synchronously.</w:t>
            </w:r>
          </w:p>
        </w:tc>
      </w:tr>
      <w:tr>
        <w:tc>
          <w:tcPr>
            <w:tcW w:type="dxa" w:w="2016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8208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Jobs support retries, rate limits, partial runs, clear terminal states, and source-specific error reporting.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Portability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External observations can be exported and re-imported without losing source attribution.</w:t>
            </w:r>
          </w:p>
        </w:tc>
      </w:tr>
      <w:tr>
        <w:tc>
          <w:tcPr>
            <w:tcW w:type="dxa" w:w="2016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8208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Collection success, parse failures, classification confidence, costs, and provider changes are monitored.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Dashboards and exports use clear labels and do not rely only on color to communicate status.</w:t>
            </w:r>
          </w:p>
        </w:tc>
      </w:tr>
    </w:tbl>
    <w:p>
      <w:pPr>
        <w:spacing w:after="20"/>
      </w:pPr>
    </w:p>
    <w:p>
      <w:pPr>
        <w:pStyle w:val="Heading1"/>
      </w:pPr>
      <w:r>
        <w:t>9. Delivery Plan</w:t>
      </w:r>
    </w:p>
    <w:p>
      <w:r>
        <w:t>The delivery plan below establishes the recommended measurement standards and implementation sequence. These are the initial YLG methodology decisions and should be treated as the baseline unless testing demonstrates a need for revision.</w:t>
      </w:r>
    </w:p>
    <w:p>
      <w:pPr>
        <w:pStyle w:val="Heading2"/>
      </w:pPr>
      <w:r>
        <w:t>Phase 0 - Measurement Methodology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5"/>
              </w:rPr>
              <w:t>YLG Recommendation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Primary reporting unit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One valid observation equals one prompt, on one product surface/model, from one defined location and locale, for one replicate.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Prompt panel size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Begin with 24 non-branded commercial prompts and 6 branded validation prompts per client.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Prompt categories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Use six categories: category discovery, service-specific, geographic, problem/solution, trust/recommendation, and comparison.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Platform priority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Initial core surfaces: ChatGPT search-enabled experience, Google AI search experience, Gemini, and Perplexity. Add others only after the core panel is stable.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Sampling frequency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Run the full panel monthly. Run a smaller sentinel panel of 8 high-priority prompts weekly for volatility and early-change detection.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Replicates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Use three replicates per non-branded prompt per monthly run; one replicate for branded validation unless a negative or inconsistent result requires confirmation.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Geography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Use the client primary market as the standard geo. Add secondary markets as separate scopes rather than mixing them into one score.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Baseline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Use the first complete, quality-checked collection cycle as Day 0. Do not combine partial test data with the baseline.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7FA"/>
          </w:tcPr>
          <w:p>
            <w:pPr>
              <w:spacing w:before="120" w:after="120"/>
              <w:ind w:left="259" w:right="259"/>
            </w:pPr>
            <w:r>
              <w:rPr>
                <w:b/>
                <w:color w:val="17324D"/>
                <w:sz w:val="21"/>
              </w:rPr>
              <w:t>Methodology v1.0 exit criterion: the same panel, surfaces, geo, sampling frequency, and replicate rules can be repeated without analyst interpretation.</w:t>
            </w:r>
          </w:p>
        </w:tc>
      </w:tr>
    </w:tbl>
    <w:p>
      <w:pPr>
        <w:pStyle w:val="Heading2"/>
      </w:pPr>
      <w:r>
        <w:t>Phase 1 - Defensible Core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7324D"/>
          </w:tcPr>
          <w:p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2880"/>
            <w:shd w:fill="17324D"/>
          </w:tcPr>
          <w:p>
            <w:r>
              <w:rPr>
                <w:b/>
                <w:color w:val="FFFFFF"/>
                <w:sz w:val="15"/>
              </w:rPr>
              <w:t>Recommended Definition</w:t>
            </w:r>
          </w:p>
        </w:tc>
        <w:tc>
          <w:tcPr>
            <w:tcW w:type="dxa" w:w="2880"/>
            <w:shd w:fill="17324D"/>
          </w:tcPr>
          <w:p>
            <w:r>
              <w:rPr>
                <w:b/>
                <w:color w:val="FFFFFF"/>
                <w:sz w:val="15"/>
              </w:rPr>
              <w:t>Initial Success Threshold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Non-Branded Mention Rate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Non-branded observations in which the client is named or its owned domain is cited divided by valid non-branded observations.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Report change in percentage points; 5-point improvement is meaningful when sample size is at least 50.</w:t>
            </w:r>
          </w:p>
        </w:tc>
      </w:tr>
      <w:tr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Non-Branded Recommendation Rate</w:t>
            </w:r>
          </w:p>
        </w:tc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Non-branded observations classified as listed_option, recommended, strongly_recommended, or first_choice divided by valid non-branded observations.</w:t>
            </w:r>
          </w:p>
        </w:tc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3-point improvement or at least 3 new qualifying recommendations from a zero baseline.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First-Choice Rate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Observations where the client is the first or explicitly best-fit recommendation divided by valid observations.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Report as an absolute rate; do not require it for every 90-day pass.</w:t>
            </w:r>
          </w:p>
        </w:tc>
      </w:tr>
      <w:tr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Client Domain Citation Rate</w:t>
            </w:r>
          </w:p>
        </w:tc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Observations citing a client-owned domain divided by valid observations on citation-capable surfaces.</w:t>
            </w:r>
          </w:p>
        </w:tc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At least one new citation plus positive rate movement from baseline.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Corroborating Source Rate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Observations citing an independent authoritative or local source that supports the client divided by valid observations.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5"/>
              </w:rPr>
              <w:t>Track initially; establish threshold after 3 months of benchmark data.</w:t>
            </w:r>
          </w:p>
        </w:tc>
      </w:tr>
      <w:tr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Recommendation Share of Voice</w:t>
            </w:r>
          </w:p>
        </w:tc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Client qualifying recommendations divided by all qualifying recommendations for tracked brands.</w:t>
            </w:r>
          </w:p>
        </w:tc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Positive share movement and at least one competitor win in a priority prompt family.</w:t>
            </w:r>
          </w:p>
        </w:tc>
      </w:tr>
    </w:tbl>
    <w:p>
      <w:pPr>
        <w:pStyle w:val="ListBullet"/>
        <w:spacing w:after="40"/>
      </w:pPr>
      <w:r>
        <w:t>Use overall Mention Rate only as a supporting diagnostic. The primary discovery KPI is Non-Branded Mention Rate.</w:t>
      </w:r>
    </w:p>
    <w:p>
      <w:pPr>
        <w:pStyle w:val="ListBullet"/>
        <w:spacing w:after="40"/>
      </w:pPr>
      <w:r>
        <w:t>Show numerator, denominator, sample size, and collection surface beside every percentage.</w:t>
      </w:r>
    </w:p>
    <w:p>
      <w:pPr>
        <w:pStyle w:val="ListBullet"/>
        <w:spacing w:after="40"/>
      </w:pPr>
      <w:r>
        <w:t>Do not make the composite visibility score the sole guarantee metric.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7FA"/>
          </w:tcPr>
          <w:p>
            <w:pPr>
              <w:spacing w:before="120" w:after="120"/>
              <w:ind w:left="259" w:right="259"/>
            </w:pPr>
            <w:r>
              <w:rPr>
                <w:b/>
                <w:color w:val="17324D"/>
                <w:sz w:val="21"/>
              </w:rPr>
              <w:t>Phase 1 exit criterion: every client-facing metric can be recomputed from stored observations and explained in one sentence.</w:t>
            </w:r>
          </w:p>
        </w:tc>
      </w:tr>
    </w:tbl>
    <w:p>
      <w:pPr>
        <w:pStyle w:val="Heading2"/>
      </w:pPr>
      <w:r>
        <w:t>Phase 2 - Classification, Repeatability, and Volatility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5"/>
              </w:rPr>
              <w:t>YLG Recommendation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Recommendation classifier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Use deterministic rules first, followed by an LLM classifier for ambiguous prose. Store both outputs, confidence, and evidence.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Human review threshold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Queue results when classifier confidence is below 0.80, when negative sentiment is detected, or when first_choice status affects a guarantee decision.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Entity matching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Use exact aliases, regex aliases, normalized punctuation/spacing, and token-similarity matching. Maintain explicit false-positive exclusions.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Prominence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Record first paragraph, heading, bullet/list, table, conclusion, and relative position percentile. Retire the first-third summary heuristic.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Visibility Probability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Replicates with a qualifying mention or recommendation divided by total valid replicates.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Volatility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Report the percentage of prompt/platform combinations that change mention or recommendation status between replicates or collection periods.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Stability label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Stable: ≥80% agreement; Variable: 50-79%; Unstable: &lt;50% agreement across replicates.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7FA"/>
          </w:tcPr>
          <w:p>
            <w:pPr>
              <w:spacing w:before="120" w:after="120"/>
              <w:ind w:left="259" w:right="259"/>
            </w:pPr>
            <w:r>
              <w:rPr>
                <w:b/>
                <w:color w:val="17324D"/>
                <w:sz w:val="21"/>
              </w:rPr>
              <w:t>Phase 2 exit criterion: YLG reports probability and stability, not a fictional single-position AI ranking.</w:t>
            </w:r>
          </w:p>
        </w:tc>
      </w:tr>
    </w:tbl>
    <w:p>
      <w:pPr>
        <w:pStyle w:val="Heading2"/>
      </w:pPr>
      <w:r>
        <w:t>Phase 3 - Source and Citation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5"/>
              </w:rPr>
              <w:t>Source Class</w:t>
            </w:r>
          </w:p>
        </w:tc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5"/>
              </w:rPr>
              <w:t>Recommended Treatment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Client-owned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Counts toward Client Domain Citation Rate.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Industry authority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Receives the highest independent corroboration weight.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Local authority or established local media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Receives strong local corroboration weight.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Review platform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Reported separately as reputation evidence; not equal to editorial authority.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Publisher/editorial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Counts as independent corroboration after domain review.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General directory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Low-weight corroboration; useful primarily for entity consistency.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Competitor-owned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Recorded for competitive analysis but never credited to the client.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Unknown/low trust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No positive weight until reviewed and classified.</w:t>
            </w:r>
          </w:p>
        </w:tc>
      </w:tr>
    </w:tbl>
    <w:p>
      <w:pPr>
        <w:pStyle w:val="ListBullet"/>
        <w:spacing w:after="40"/>
      </w:pPr>
      <w:r>
        <w:t>Seed the source registry from observed citations, then review new domains monthly.</w:t>
      </w:r>
    </w:p>
    <w:p>
      <w:pPr>
        <w:pStyle w:val="ListBullet"/>
        <w:spacing w:after="40"/>
      </w:pPr>
      <w:r>
        <w:t>Store both root domain and exact cited URL so page-level evidence remains available.</w:t>
      </w:r>
    </w:p>
    <w:p>
      <w:pPr>
        <w:pStyle w:val="ListBullet"/>
        <w:spacing w:after="40"/>
      </w:pPr>
      <w:r>
        <w:t>Track citation position and whether the source directly supports the client, merely supports the topic, or contradicts the client.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7FA"/>
          </w:tcPr>
          <w:p>
            <w:pPr>
              <w:spacing w:before="120" w:after="120"/>
              <w:ind w:left="259" w:right="259"/>
            </w:pPr>
            <w:r>
              <w:rPr>
                <w:b/>
                <w:color w:val="17324D"/>
                <w:sz w:val="21"/>
              </w:rPr>
              <w:t>Phase 3 exit criterion: every citation used in a score has a visible source class and rationale.</w:t>
            </w:r>
          </w:p>
        </w:tc>
      </w:tr>
    </w:tbl>
    <w:p>
      <w:pPr>
        <w:pStyle w:val="Heading2"/>
      </w:pPr>
      <w:r>
        <w:t>Phase 4 - Client Reporting and 90-Day Momentum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5"/>
              </w:rPr>
              <w:t>Reporting Area</w:t>
            </w:r>
          </w:p>
        </w:tc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5"/>
              </w:rPr>
              <w:t>Recommended Standard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Executive KPIs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Non-Branded Mention Rate, Non-Branded Recommendation Rate, Client Domain Citation Rate, Recommendation Share of Voice, and Visibility Probability.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Supporting diagnostics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First-Choice Rate, Corroborating Source Rate, sentiment, volatility, prompt-family coverage, and new/lost prompts.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Segment views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Platform/surface, service, location, prompt family, intent, branded status, and competitor.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Show the prompt, response excerpt, recommendation classification, citations, date, surface, model, geo, and replicate.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90-day AI pass rule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At least two of five primary AI measures improve, including either Non-Branded Recommendation Rate or Recommendation Share of Voice.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Minimum sample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At least 50 valid non-branded observations in both baseline and current comparison periods.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No-pass safeguards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No major tracking outage, prompt-panel change, market-scope change, or unresolved classification dispute.</w:t>
            </w:r>
          </w:p>
        </w:tc>
      </w:tr>
    </w:tbl>
    <w:p>
      <w:pPr>
        <w:pStyle w:val="ListBullet"/>
        <w:spacing w:after="40"/>
      </w:pPr>
      <w:r>
        <w:t>Report changes in percentage points, not exaggerated percentage growth from tiny baselines.</w:t>
      </w:r>
    </w:p>
    <w:p>
      <w:pPr>
        <w:pStyle w:val="ListBullet"/>
        <w:spacing w:after="40"/>
      </w:pPr>
      <w:r>
        <w:t>List the strongest new prompt wins, lost prompt visibility, and competitors gaining ground.</w:t>
      </w:r>
    </w:p>
    <w:p>
      <w:pPr>
        <w:pStyle w:val="ListBullet"/>
        <w:spacing w:after="40"/>
      </w:pPr>
      <w:r>
        <w:t>Disclose collection sources and distinguish API observations from consumer-surface observations.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7FA"/>
          </w:tcPr>
          <w:p>
            <w:pPr>
              <w:spacing w:before="120" w:after="120"/>
              <w:ind w:left="259" w:right="259"/>
            </w:pPr>
            <w:r>
              <w:rPr>
                <w:b/>
                <w:color w:val="17324D"/>
                <w:sz w:val="21"/>
              </w:rPr>
              <w:t>Phase 4 exit criterion: a client can see what changed, where it changed, how often it occurred, and the evidence behind the conclusion.</w:t>
            </w:r>
          </w:p>
        </w:tc>
      </w:tr>
    </w:tbl>
    <w:p>
      <w:pPr>
        <w:pStyle w:val="Heading2"/>
      </w:pPr>
      <w:r>
        <w:t>Phase 5 - Collection Capability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4320"/>
            <w:shd w:fill="17324D"/>
          </w:tcPr>
          <w:p>
            <w:r>
              <w:rPr>
                <w:b/>
                <w:color w:val="FFFFFF"/>
                <w:sz w:val="15"/>
              </w:rPr>
              <w:t>Recommended Implementation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Provider adapter contract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Standardize prompt, geo, locale, model, search mode, citations, raw payload, latency, and collector version.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Consumer-surface collectors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Implement isolated provider-specific workers so a product change does not affect the normalized data or other collectors.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Collector health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Track success rate, timeout rate, citation availability, response length anomalies, model changes, and cost per observation.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Change detection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Alert when a provider changes response schema, model name, citation structure, authentication, or search behavior.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Validation sample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Manually validate at least five observations per core surface each month against the consumer experience.</w:t>
            </w:r>
          </w:p>
        </w:tc>
      </w:tr>
      <w:tr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Data retention</w:t>
            </w:r>
          </w:p>
        </w:tc>
        <w:tc>
          <w:tcPr>
            <w:tcW w:type="dxa" w:w="432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Retain raw response evidence and collection metadata long enough to reclassify historical observations under new parser versions.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Expansion rule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sz w:val="15"/>
              </w:rPr>
              <w:t>Add a platform when it has material customer usage, supports relevant local discovery, and can produce repeatable evidence.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7FA"/>
          </w:tcPr>
          <w:p>
            <w:pPr>
              <w:spacing w:before="120" w:after="120"/>
              <w:ind w:left="259" w:right="259"/>
            </w:pPr>
            <w:r>
              <w:rPr>
                <w:b/>
                <w:color w:val="17324D"/>
                <w:sz w:val="21"/>
              </w:rPr>
              <w:t>Phase 5 exit criterion: new collectors can be added or repaired without changing the client metric definitions or historical reporting structure.</w:t>
            </w:r>
          </w:p>
        </w:tc>
      </w:tr>
    </w:tbl>
    <w:p>
      <w:pPr>
        <w:pStyle w:val="Heading1"/>
      </w:pPr>
      <w:r>
        <w:t>10. Prioritized Development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41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Backlog Item</w:t>
            </w:r>
          </w:p>
        </w:tc>
        <w:tc>
          <w:tcPr>
            <w:tcW w:type="dxa" w:w="2541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Value</w:t>
            </w:r>
          </w:p>
        </w:tc>
        <w:tc>
          <w:tcPr>
            <w:tcW w:type="dxa" w:w="2541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Effort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sz w:val="15"/>
              </w:rPr>
              <w:t>Prompt taxonomy and branded/non-branded field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576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Prompt panel versioning and locking</w:t>
            </w:r>
          </w:p>
        </w:tc>
        <w:tc>
          <w:tcPr>
            <w:tcW w:type="dxa" w:w="158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172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sz w:val="15"/>
              </w:rPr>
              <w:t>Recommendation classifier and evidence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576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Source-domain registry</w:t>
            </w:r>
          </w:p>
        </w:tc>
        <w:tc>
          <w:tcPr>
            <w:tcW w:type="dxa" w:w="158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172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sz w:val="15"/>
              </w:rPr>
              <w:t>Methodology/scoring version persistence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Low-Medium</w:t>
            </w:r>
          </w:p>
        </w:tc>
      </w:tr>
      <w:tr>
        <w:tc>
          <w:tcPr>
            <w:tcW w:type="dxa" w:w="10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Replicate observations</w:t>
            </w:r>
          </w:p>
        </w:tc>
        <w:tc>
          <w:tcPr>
            <w:tcW w:type="dxa" w:w="158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172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sz w:val="15"/>
              </w:rPr>
              <w:t>Visibility probability and volatility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Platform surface/model segmentation</w:t>
            </w:r>
          </w:p>
        </w:tc>
        <w:tc>
          <w:tcPr>
            <w:tcW w:type="dxa" w:w="158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172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sz w:val="15"/>
              </w:rPr>
              <w:t>Human review and override workflow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5"/>
              </w:rPr>
              <w:t>Medium-High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576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True fuzzy/entity matching or corrected labels</w:t>
            </w:r>
          </w:p>
        </w:tc>
        <w:tc>
          <w:tcPr>
            <w:tcW w:type="dxa" w:w="158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72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Low-Medium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sz w:val="15"/>
              </w:rPr>
              <w:t>CSV/JSON external observation ingestion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Recommendation share of voice</w:t>
            </w:r>
          </w:p>
        </w:tc>
        <w:tc>
          <w:tcPr>
            <w:tcW w:type="dxa" w:w="158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Medium-High</w:t>
            </w:r>
          </w:p>
        </w:tc>
        <w:tc>
          <w:tcPr>
            <w:tcW w:type="dxa" w:w="172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sz w:val="15"/>
              </w:rPr>
              <w:t>New/lost prompt reporting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Low-Medium</w:t>
            </w:r>
          </w:p>
        </w:tc>
      </w:tr>
      <w:tr>
        <w:tc>
          <w:tcPr>
            <w:tcW w:type="dxa" w:w="10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Competitor win/loss matrix</w:t>
            </w:r>
          </w:p>
        </w:tc>
        <w:tc>
          <w:tcPr>
            <w:tcW w:type="dxa" w:w="158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72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P2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sz w:val="15"/>
              </w:rPr>
              <w:t>Manual consumer UI evidence workflow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P3</w:t>
            </w:r>
          </w:p>
        </w:tc>
        <w:tc>
          <w:tcPr>
            <w:tcW w:type="dxa" w:w="5760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Additional provider and consumer-surface adapters</w:t>
            </w:r>
          </w:p>
        </w:tc>
        <w:tc>
          <w:tcPr>
            <w:tcW w:type="dxa" w:w="1584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Variable</w:t>
            </w:r>
          </w:p>
        </w:tc>
        <w:tc>
          <w:tcPr>
            <w:tcW w:type="dxa" w:w="1728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Variable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sz w:val="15"/>
              </w:rPr>
              <w:t>P3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>
              <w:rPr>
                <w:sz w:val="15"/>
              </w:rPr>
              <w:t>Selective browser collector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sz w:val="15"/>
              </w:rPr>
              <w:t>Variable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sz w:val="15"/>
              </w:rPr>
              <w:t>High</w:t>
            </w:r>
          </w:p>
        </w:tc>
      </w:tr>
    </w:tbl>
    <w:p>
      <w:pPr>
        <w:spacing w:after="20"/>
      </w:pPr>
    </w:p>
    <w:p>
      <w:pPr>
        <w:pStyle w:val="Heading1"/>
      </w:pPr>
      <w:r>
        <w:t>11. Acceptance Criteria for Agency-Grade Release</w:t>
      </w:r>
    </w:p>
    <w:p>
      <w:pPr>
        <w:pStyle w:val="ListNumber"/>
        <w:spacing w:after="40"/>
      </w:pPr>
      <w:r>
        <w:t>A prompt panel used for baseline reporting cannot be changed without creating a new version.</w:t>
      </w:r>
    </w:p>
    <w:p>
      <w:pPr>
        <w:pStyle w:val="ListNumber"/>
        <w:spacing w:after="40"/>
      </w:pPr>
      <w:r>
        <w:t>Every observation records provider, product surface, model, collection source, date, location, locale, and replicate.</w:t>
      </w:r>
    </w:p>
    <w:p>
      <w:pPr>
        <w:pStyle w:val="ListNumber"/>
        <w:spacing w:after="40"/>
      </w:pPr>
      <w:r>
        <w:t>The system separately reports branded and non-branded mention and recommendation rates.</w:t>
      </w:r>
    </w:p>
    <w:p>
      <w:pPr>
        <w:pStyle w:val="ListNumber"/>
        <w:spacing w:after="40"/>
      </w:pPr>
      <w:r>
        <w:t>Recommendation status is supported by evidence and confidence, with human override capability.</w:t>
      </w:r>
    </w:p>
    <w:p>
      <w:pPr>
        <w:pStyle w:val="ListNumber"/>
        <w:spacing w:after="40"/>
      </w:pPr>
      <w:r>
        <w:t>Client-domain and third-party citations are classified and auditable.</w:t>
      </w:r>
    </w:p>
    <w:p>
      <w:pPr>
        <w:pStyle w:val="ListNumber"/>
        <w:spacing w:after="40"/>
      </w:pPr>
      <w:r>
        <w:t>At least two repeated observations per prompt can be scheduled and reported.</w:t>
      </w:r>
    </w:p>
    <w:p>
      <w:pPr>
        <w:pStyle w:val="ListNumber"/>
        <w:spacing w:after="40"/>
      </w:pPr>
      <w:r>
        <w:t>Platform and model results can be viewed separately and as a clearly labeled aggregate.</w:t>
      </w:r>
    </w:p>
    <w:p>
      <w:pPr>
        <w:pStyle w:val="ListNumber"/>
        <w:spacing w:after="40"/>
      </w:pPr>
      <w:r>
        <w:t>The system reports sample size alongside every rate or score.</w:t>
      </w:r>
    </w:p>
    <w:p>
      <w:pPr>
        <w:pStyle w:val="ListNumber"/>
        <w:spacing w:after="40"/>
      </w:pPr>
      <w:r>
        <w:t>Historical scores remain tied to the methodology version used to calculate them.</w:t>
      </w:r>
    </w:p>
    <w:p>
      <w:pPr>
        <w:pStyle w:val="ListNumber"/>
        <w:spacing w:after="40"/>
      </w:pPr>
      <w:r>
        <w:t>Third-party data can be imported into the normalized observation model.</w:t>
      </w:r>
    </w:p>
    <w:p>
      <w:pPr>
        <w:pStyle w:val="ListNumber"/>
        <w:spacing w:after="40"/>
      </w:pPr>
      <w:r>
        <w:t>Client reports disclose whether data came from APIs, consumer interfaces, vendors, or manual testing.</w:t>
      </w:r>
    </w:p>
    <w:p>
      <w:pPr>
        <w:pStyle w:val="ListNumber"/>
        <w:spacing w:after="40"/>
      </w:pPr>
      <w:r>
        <w:t>No report labels provider API visibility as consumer-product visibility without evidence of parity.</w:t>
      </w:r>
    </w:p>
    <w:p>
      <w:pPr>
        <w:pStyle w:val="Heading1"/>
      </w:pPr>
      <w:r>
        <w:t>12. Risks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3389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Control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5"/>
              </w:rPr>
              <w:t>Provider/API changes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5"/>
              </w:rPr>
              <w:t>Collection failures or incomparable results</w:t>
            </w:r>
          </w:p>
        </w:tc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sz w:val="15"/>
              </w:rPr>
              <w:t>Adapter contracts, versioning, health monitoring, and replaceable sources.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Consumer/API mismatch</w:t>
            </w:r>
          </w:p>
        </w:tc>
        <w:tc>
          <w:tcPr>
            <w:tcW w:type="dxa" w:w="345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Misleading client claims</w:t>
            </w:r>
          </w:p>
        </w:tc>
        <w:tc>
          <w:tcPr>
            <w:tcW w:type="dxa" w:w="417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Separate platform surface labels and manual/vendor validation.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5"/>
              </w:rPr>
              <w:t>Prompt drift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5"/>
              </w:rPr>
              <w:t>Baseline becomes invalid</w:t>
            </w:r>
          </w:p>
        </w:tc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sz w:val="15"/>
              </w:rPr>
              <w:t>Lock prompt panels and create explicit versions.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Small sample sizes</w:t>
            </w:r>
          </w:p>
        </w:tc>
        <w:tc>
          <w:tcPr>
            <w:tcW w:type="dxa" w:w="345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False confidence</w:t>
            </w:r>
          </w:p>
        </w:tc>
        <w:tc>
          <w:tcPr>
            <w:tcW w:type="dxa" w:w="417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Show denominators; require replicates and minimum sample thresholds.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5"/>
              </w:rPr>
              <w:t>Classifier errors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5"/>
              </w:rPr>
              <w:t>Incorrect recommendation or sentiment metrics</w:t>
            </w:r>
          </w:p>
        </w:tc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sz w:val="15"/>
              </w:rPr>
              <w:t>Confidence thresholds, evidence, review queue, and overrides.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Source misclassification</w:t>
            </w:r>
          </w:p>
        </w:tc>
        <w:tc>
          <w:tcPr>
            <w:tcW w:type="dxa" w:w="345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Unreliable trust scores</w:t>
            </w:r>
          </w:p>
        </w:tc>
        <w:tc>
          <w:tcPr>
            <w:tcW w:type="dxa" w:w="417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Admin registry, provenance, review workflow, and conservative defaults.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5"/>
              </w:rPr>
              <w:t>Vanity metric optimization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5"/>
              </w:rPr>
              <w:t>Client score rises without business value</w:t>
            </w:r>
          </w:p>
        </w:tc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sz w:val="15"/>
              </w:rPr>
              <w:t>Prioritize non-branded, commercial, service, location, and opportunity metrics.</w:t>
            </w:r>
          </w:p>
        </w:tc>
      </w:tr>
      <w:tr>
        <w:tc>
          <w:tcPr>
            <w:tcW w:type="dxa" w:w="2592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Engineering sprawl</w:t>
            </w:r>
          </w:p>
        </w:tc>
        <w:tc>
          <w:tcPr>
            <w:tcW w:type="dxa" w:w="345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Agency becomes a software maintenance shop</w:t>
            </w:r>
          </w:p>
        </w:tc>
        <w:tc>
          <w:tcPr>
            <w:tcW w:type="dxa" w:w="4176"/>
            <w:vAlign w:val="top"/>
            <w:shd w:fill="F4F7FA"/>
          </w:tcPr>
          <w:p>
            <w:pPr>
              <w:spacing w:after="20"/>
            </w:pPr>
            <w:r>
              <w:rPr>
                <w:sz w:val="15"/>
              </w:rPr>
              <w:t>Hybrid strategy and strict build-vs-buy gates.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sz w:val="15"/>
              </w:rPr>
              <w:t>Collector dependency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5"/>
              </w:rPr>
              <w:t>Historical loss or forced methodology changes</w:t>
            </w:r>
          </w:p>
        </w:tc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sz w:val="15"/>
              </w:rPr>
              <w:t>Normalized ingestion, direct evidence retention, and collector independence.</w:t>
            </w:r>
          </w:p>
        </w:tc>
      </w:tr>
    </w:tbl>
    <w:p>
      <w:pPr>
        <w:spacing w:after="20"/>
      </w:pPr>
    </w:p>
    <w:p>
      <w:pPr>
        <w:pStyle w:val="Heading1"/>
      </w:pPr>
      <w:r>
        <w:t>13.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Test Type</w:t>
            </w:r>
          </w:p>
        </w:tc>
        <w:tc>
          <w:tcPr>
            <w:tcW w:type="dxa" w:w="5083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Minimum Coverage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Unit tests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Metric formulas, alias matching, recommendation classification, source classification, panel versioning, volatility.</w:t>
            </w:r>
          </w:p>
        </w:tc>
      </w:tr>
      <w:tr>
        <w:tc>
          <w:tcPr>
            <w:tcW w:type="dxa" w:w="230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Parser fixtures</w:t>
            </w:r>
          </w:p>
        </w:tc>
        <w:tc>
          <w:tcPr>
            <w:tcW w:type="dxa" w:w="792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Numbered lists, bullets, tables, prose recommendations, negative statements, duplicate aliases, citations, malformed URLs.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 tests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Prompt run → response → parse → classify → snapshot → dashboard.</w:t>
            </w:r>
          </w:p>
        </w:tc>
      </w:tr>
      <w:tr>
        <w:tc>
          <w:tcPr>
            <w:tcW w:type="dxa" w:w="230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Migration tests</w:t>
            </w:r>
          </w:p>
        </w:tc>
        <w:tc>
          <w:tcPr>
            <w:tcW w:type="dxa" w:w="792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Existing prompt, mention, citation, and snapshot data remains valid after schema changes.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Golden dataset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Human-labeled response set used to evaluate mention, recommendation, sentiment, and source classification accuracy.</w:t>
            </w:r>
          </w:p>
        </w:tc>
      </w:tr>
      <w:tr>
        <w:tc>
          <w:tcPr>
            <w:tcW w:type="dxa" w:w="230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Regression tests</w:t>
            </w:r>
          </w:p>
        </w:tc>
        <w:tc>
          <w:tcPr>
            <w:tcW w:type="dxa" w:w="792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Known prior defects: cross-client mention leakage, cumulative snapshot double counting, SoV unit mismatch.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External import tests</w:t>
            </w:r>
          </w:p>
        </w:tc>
        <w:tc>
          <w:tcPr>
            <w:tcW w:type="dxa" w:w="7920"/>
            <w:vAlign w:val="top"/>
          </w:tcPr>
          <w:p>
            <w:pPr>
              <w:spacing w:after="20"/>
            </w:pPr>
            <w:r>
              <w:rPr>
                <w:sz w:val="16"/>
              </w:rPr>
              <w:t>Deduplication, field mapping, provenance, invalid rows, re-import behavior.</w:t>
            </w:r>
          </w:p>
        </w:tc>
      </w:tr>
      <w:tr>
        <w:tc>
          <w:tcPr>
            <w:tcW w:type="dxa" w:w="230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Report QA</w:t>
            </w:r>
          </w:p>
        </w:tc>
        <w:tc>
          <w:tcPr>
            <w:tcW w:type="dxa" w:w="792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Displayed numerator, denominator, scope, period, methodology version, and evidence agree with underlying rows.</w:t>
            </w:r>
          </w:p>
        </w:tc>
      </w:tr>
    </w:tbl>
    <w:p>
      <w:pPr>
        <w:spacing w:after="20"/>
      </w:pPr>
    </w:p>
    <w:p>
      <w:pPr>
        <w:pStyle w:val="Heading1"/>
      </w:pPr>
      <w:r>
        <w:t>14. Client Reporting Specification</w:t>
      </w:r>
    </w:p>
    <w:p>
      <w:pPr>
        <w:pStyle w:val="Heading2"/>
      </w:pPr>
      <w:r>
        <w:t>14.1 Executive View</w:t>
      </w:r>
    </w:p>
    <w:p>
      <w:pPr>
        <w:pStyle w:val="ListBullet"/>
        <w:spacing w:after="40"/>
      </w:pPr>
      <w:r>
        <w:t>Non-branded mention rate and change</w:t>
      </w:r>
    </w:p>
    <w:p>
      <w:pPr>
        <w:pStyle w:val="ListBullet"/>
        <w:spacing w:after="40"/>
      </w:pPr>
      <w:r>
        <w:t>Non-branded recommendation rate and change</w:t>
      </w:r>
    </w:p>
    <w:p>
      <w:pPr>
        <w:pStyle w:val="ListBullet"/>
        <w:spacing w:after="40"/>
      </w:pPr>
      <w:r>
        <w:t>Client-domain citation rate</w:t>
      </w:r>
    </w:p>
    <w:p>
      <w:pPr>
        <w:pStyle w:val="ListBullet"/>
        <w:spacing w:after="40"/>
      </w:pPr>
      <w:r>
        <w:t>Recommendation share of voice</w:t>
      </w:r>
    </w:p>
    <w:p>
      <w:pPr>
        <w:pStyle w:val="ListBullet"/>
        <w:spacing w:after="40"/>
      </w:pPr>
      <w:r>
        <w:t>Visibility probability and volatility</w:t>
      </w:r>
    </w:p>
    <w:p>
      <w:pPr>
        <w:pStyle w:val="ListBullet"/>
        <w:spacing w:after="40"/>
      </w:pPr>
      <w:r>
        <w:t>Top prompt gains and losses</w:t>
      </w:r>
    </w:p>
    <w:p>
      <w:pPr>
        <w:pStyle w:val="ListBullet"/>
        <w:spacing w:after="40"/>
      </w:pPr>
      <w:r>
        <w:t>Top competitor gains and losses</w:t>
      </w:r>
    </w:p>
    <w:p>
      <w:pPr>
        <w:pStyle w:val="ListBullet"/>
        <w:spacing w:after="40"/>
      </w:pPr>
      <w:r>
        <w:t>Platform/surface disclosure and sample size</w:t>
      </w:r>
    </w:p>
    <w:p>
      <w:pPr>
        <w:pStyle w:val="Heading2"/>
      </w:pPr>
      <w:r>
        <w:t>14.2 Analyst View</w:t>
      </w:r>
    </w:p>
    <w:p>
      <w:pPr>
        <w:pStyle w:val="ListBullet"/>
        <w:spacing w:after="40"/>
      </w:pPr>
      <w:r>
        <w:t>Prompt, prompt family, intent, service, location, and branded status</w:t>
      </w:r>
    </w:p>
    <w:p>
      <w:pPr>
        <w:pStyle w:val="ListBullet"/>
        <w:spacing w:after="40"/>
      </w:pPr>
      <w:r>
        <w:t>Provider, product surface, model, search mode, collector, and replicate</w:t>
      </w:r>
    </w:p>
    <w:p>
      <w:pPr>
        <w:pStyle w:val="ListBullet"/>
        <w:spacing w:after="40"/>
      </w:pPr>
      <w:r>
        <w:t>Full response and evidence excerpts</w:t>
      </w:r>
    </w:p>
    <w:p>
      <w:pPr>
        <w:pStyle w:val="ListBullet"/>
        <w:spacing w:after="40"/>
      </w:pPr>
      <w:r>
        <w:t>Mention, recommendation, sentiment, and citation classifications</w:t>
      </w:r>
    </w:p>
    <w:p>
      <w:pPr>
        <w:pStyle w:val="ListBullet"/>
        <w:spacing w:after="40"/>
      </w:pPr>
      <w:r>
        <w:t>Source classes and domains</w:t>
      </w:r>
    </w:p>
    <w:p>
      <w:pPr>
        <w:pStyle w:val="ListBullet"/>
        <w:spacing w:after="40"/>
      </w:pPr>
      <w:r>
        <w:t>Machine result, human override, confidence, and methodology version</w:t>
      </w:r>
    </w:p>
    <w:p>
      <w:pPr>
        <w:pStyle w:val="Heading2"/>
      </w:pPr>
      <w:r>
        <w:t>14.3 Required Disclosure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pPr>
              <w:pStyle w:val="Callout"/>
            </w:pPr>
            <w:r>
              <w:t>AI visibility measurements are samples of responses produced by defined platforms, models, prompts, locations, and collection methods. They are not universal rankings and may vary across users, sessions, models, and time.</w:t>
            </w:r>
          </w:p>
        </w:tc>
      </w:tr>
    </w:tbl>
    <w:p>
      <w:pPr>
        <w:spacing w:after="20"/>
      </w:pPr>
    </w:p>
    <w:p>
      <w:pPr>
        <w:pStyle w:val="Heading1"/>
      </w:pPr>
      <w:r>
        <w:t>15. Project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Success Area</w:t>
            </w:r>
          </w:p>
        </w:tc>
        <w:tc>
          <w:tcPr>
            <w:tcW w:type="dxa" w:w="5083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Methodology clarity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6"/>
              </w:rPr>
              <w:t>Agency staff can explain every client-facing metric and reproduce it from stored evidence.</w:t>
            </w:r>
          </w:p>
        </w:tc>
      </w:tr>
      <w:tr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Data portability</w:t>
            </w:r>
          </w:p>
        </w:tc>
        <w:tc>
          <w:tcPr>
            <w:tcW w:type="dxa" w:w="734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A collector can be replaced without changing the YLG reporting model.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Metric defensibility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6"/>
              </w:rPr>
              <w:t>Reports separate branded/non-branded, API/consumer surface, and mention/recommendation/citation outcomes.</w:t>
            </w:r>
          </w:p>
        </w:tc>
      </w:tr>
      <w:tr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Operational scalability</w:t>
            </w:r>
          </w:p>
        </w:tc>
        <w:tc>
          <w:tcPr>
            <w:tcW w:type="dxa" w:w="734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A standard client panel can run, parse, classify, and report with limited manual intervention.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6"/>
              </w:rPr>
              <w:t>Golden-dataset accuracy reaches an agreed threshold before automated classifications drive client guarantees.</w:t>
            </w:r>
          </w:p>
        </w:tc>
      </w:tr>
      <w:tr>
        <w:tc>
          <w:tcPr>
            <w:tcW w:type="dxa" w:w="288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Commercial relevance</w:t>
            </w:r>
          </w:p>
        </w:tc>
        <w:tc>
          <w:tcPr>
            <w:tcW w:type="dxa" w:w="734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AI metrics appear beside Search, Maps, website, and qualified-opportunity indicators rather than in isolation.</w:t>
            </w:r>
          </w:p>
        </w:tc>
      </w:tr>
    </w:tbl>
    <w:p>
      <w:pPr>
        <w:spacing w:after="20"/>
      </w:pPr>
    </w:p>
    <w:p>
      <w:pPr>
        <w:pStyle w:val="Heading1"/>
      </w:pPr>
      <w:r>
        <w:t>16. Recommended Next Sprint</w:t>
      </w:r>
    </w:p>
    <w:p>
      <w:r>
        <w:t>The next sprint should avoid adding another provider. It should make the existing measurements defensible.</w:t>
      </w:r>
    </w:p>
    <w:p>
      <w:pPr>
        <w:pStyle w:val="ListNumber"/>
        <w:spacing w:after="40"/>
      </w:pPr>
      <w:r>
        <w:t>Add prompt metadata: intent_type, brand_in_prompt, service, location, funnel_stage, prompt_family, priority.</w:t>
      </w:r>
    </w:p>
    <w:p>
      <w:pPr>
        <w:pStyle w:val="ListNumber"/>
        <w:spacing w:after="40"/>
      </w:pPr>
      <w:r>
        <w:t>Create prompt_panel and prompt_panel_version tables with lock/version behavior.</w:t>
      </w:r>
    </w:p>
    <w:p>
      <w:pPr>
        <w:pStyle w:val="ListNumber"/>
        <w:spacing w:after="40"/>
      </w:pPr>
      <w:r>
        <w:t>Add response_recommendations with status, rank, confidence, evidence, classifier_version, and optional human override.</w:t>
      </w:r>
    </w:p>
    <w:p>
      <w:pPr>
        <w:pStyle w:val="ListNumber"/>
        <w:spacing w:after="40"/>
      </w:pPr>
      <w:r>
        <w:t>Create source_domain_registry and classify citations during parsing.</w:t>
      </w:r>
    </w:p>
    <w:p>
      <w:pPr>
        <w:pStyle w:val="ListNumber"/>
        <w:spacing w:after="40"/>
      </w:pPr>
      <w:r>
        <w:t>Add methodology_version to metric snapshots and exports.</w:t>
      </w:r>
    </w:p>
    <w:p>
      <w:pPr>
        <w:pStyle w:val="ListNumber"/>
        <w:spacing w:after="40"/>
      </w:pPr>
      <w:r>
        <w:t>Add non-branded mention and recommendation endpoints plus tests.</w:t>
      </w:r>
    </w:p>
    <w:p>
      <w:pPr>
        <w:pStyle w:val="ListNumber"/>
        <w:spacing w:after="40"/>
      </w:pPr>
      <w:r>
        <w:t>Create a small human-labeled golden response dataset covering prose, numbered lists, bullets, tables, negative mentions, and citations.</w:t>
      </w:r>
    </w:p>
    <w:p>
      <w:pPr>
        <w:pStyle w:val="ListNumber"/>
        <w:spacing w:after="40"/>
      </w:pPr>
      <w:r>
        <w:t>Update client-facing terminology: Client Domain Citation Rate, Non-Branded Mention Rate, and Recommendation Rate.</w:t>
      </w:r>
    </w:p>
    <w:p>
      <w:pPr>
        <w:pStyle w:val="Heading2"/>
      </w:pPr>
      <w:r>
        <w:t>16.1 Sprint Definition of Done</w:t>
      </w:r>
    </w:p>
    <w:p>
      <w:pPr>
        <w:pStyle w:val="ListBullet"/>
        <w:spacing w:after="40"/>
      </w:pPr>
      <w:r>
        <w:t>Database migrations include rollback or safe-forward strategy.</w:t>
      </w:r>
    </w:p>
    <w:p>
      <w:pPr>
        <w:pStyle w:val="ListBullet"/>
        <w:spacing w:after="40"/>
      </w:pPr>
      <w:r>
        <w:t>All new metric formulas have unit tests with zero-denominator cases.</w:t>
      </w:r>
    </w:p>
    <w:p>
      <w:pPr>
        <w:pStyle w:val="ListBullet"/>
        <w:spacing w:after="40"/>
      </w:pPr>
      <w:r>
        <w:t>Existing regression tests continue passing.</w:t>
      </w:r>
    </w:p>
    <w:p>
      <w:pPr>
        <w:pStyle w:val="ListBullet"/>
        <w:spacing w:after="40"/>
      </w:pPr>
      <w:r>
        <w:t>A historical client can be reprocessed without duplicating rows.</w:t>
      </w:r>
    </w:p>
    <w:p>
      <w:pPr>
        <w:pStyle w:val="ListBullet"/>
        <w:spacing w:after="40"/>
      </w:pPr>
      <w:r>
        <w:t>Dashboard shows sample size and methodology version.</w:t>
      </w:r>
    </w:p>
    <w:p>
      <w:pPr>
        <w:pStyle w:val="ListBullet"/>
        <w:spacing w:after="40"/>
      </w:pPr>
      <w:r>
        <w:t>Documentation explains what the metric does and does not claim.</w:t>
      </w:r>
    </w:p>
    <w:p>
      <w:pPr>
        <w:pStyle w:val="Heading1"/>
      </w:pPr>
      <w:r>
        <w:t>Appendix A - Proposed Public Metric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Internal/Current Name</w:t>
            </w:r>
          </w:p>
        </w:tc>
        <w:tc>
          <w:tcPr>
            <w:tcW w:type="dxa" w:w="5083"/>
            <w:shd w:fill="17324D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Recommended Client-Facing Name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Mention Rate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6"/>
              </w:rPr>
              <w:t>Overall Mention Rate</w:t>
            </w:r>
          </w:p>
        </w:tc>
      </w:tr>
      <w:tr>
        <w:tc>
          <w:tcPr>
            <w:tcW w:type="dxa" w:w="374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New metric</w:t>
            </w:r>
          </w:p>
        </w:tc>
        <w:tc>
          <w:tcPr>
            <w:tcW w:type="dxa" w:w="648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Non-Branded Mention Rate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Recommendation classifier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6"/>
              </w:rPr>
              <w:t>Recommendation Rate</w:t>
            </w:r>
          </w:p>
        </w:tc>
      </w:tr>
      <w:tr>
        <w:tc>
          <w:tcPr>
            <w:tcW w:type="dxa" w:w="374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Rank 1 recommendations</w:t>
            </w:r>
          </w:p>
        </w:tc>
        <w:tc>
          <w:tcPr>
            <w:tcW w:type="dxa" w:w="648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First-Choice Rate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Citation Frequency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6"/>
              </w:rPr>
              <w:t>Client Domain Citation Rate</w:t>
            </w:r>
          </w:p>
        </w:tc>
      </w:tr>
      <w:tr>
        <w:tc>
          <w:tcPr>
            <w:tcW w:type="dxa" w:w="374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Trusted third-party score</w:t>
            </w:r>
          </w:p>
        </w:tc>
        <w:tc>
          <w:tcPr>
            <w:tcW w:type="dxa" w:w="648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Corroborating Source Rate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AI SoV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6"/>
              </w:rPr>
              <w:t>AI Mention Share of Voice</w:t>
            </w:r>
          </w:p>
        </w:tc>
      </w:tr>
      <w:tr>
        <w:tc>
          <w:tcPr>
            <w:tcW w:type="dxa" w:w="374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New metric</w:t>
            </w:r>
          </w:p>
        </w:tc>
        <w:tc>
          <w:tcPr>
            <w:tcW w:type="dxa" w:w="648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AI Recommendation Share of Voice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Average Visibility Score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6"/>
              </w:rPr>
              <w:t>YLG AI Visibility Score (methodology version disclosed)</w:t>
            </w:r>
          </w:p>
        </w:tc>
      </w:tr>
      <w:tr>
        <w:tc>
          <w:tcPr>
            <w:tcW w:type="dxa" w:w="3744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Replicate consistency</w:t>
            </w:r>
          </w:p>
        </w:tc>
        <w:tc>
          <w:tcPr>
            <w:tcW w:type="dxa" w:w="6480"/>
            <w:vAlign w:val="top"/>
            <w:shd w:fill="F4F7FA"/>
          </w:tcPr>
          <w:p>
            <w:pPr>
              <w:spacing w:after="20"/>
            </w:pPr>
            <w:r>
              <w:rPr>
                <w:sz w:val="16"/>
              </w:rPr>
              <w:t>Visibility Probability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6"/>
              </w:rPr>
              <w:t>Variance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>
              <w:rPr>
                <w:sz w:val="16"/>
              </w:rPr>
              <w:t>Answer Volatility</w:t>
            </w:r>
          </w:p>
        </w:tc>
      </w:tr>
    </w:tbl>
    <w:p>
      <w:pPr>
        <w:spacing w:after="20"/>
      </w:pPr>
    </w:p>
    <w:p>
      <w:pPr>
        <w:pStyle w:val="Heading1"/>
        <w:spacing w:after="20"/>
      </w:pPr>
      <w:r>
        <w:t>Appendix B - 90-Day AI Momentum Rule</w:t>
      </w:r>
    </w:p>
    <w:p>
      <w:pPr>
        <w:spacing w:after="20"/>
      </w:pPr>
      <w:r>
        <w:rPr>
          <w:sz w:val="18"/>
        </w:rPr>
        <w:t>AI visibility shows measurable momentum when at least two of the following improve against the locked baseline using the same panel, surfaces, sampling method, and minimum sample size:</w:t>
      </w:r>
    </w:p>
    <w:p>
      <w:pPr>
        <w:pStyle w:val="ListBullet"/>
        <w:spacing w:after="20"/>
      </w:pPr>
      <w:r>
        <w:rPr>
          <w:sz w:val="17"/>
        </w:rPr>
        <w:t>Non-branded mention rate</w:t>
      </w:r>
    </w:p>
    <w:p>
      <w:pPr>
        <w:pStyle w:val="ListBullet"/>
        <w:spacing w:after="20"/>
      </w:pPr>
      <w:r>
        <w:rPr>
          <w:sz w:val="17"/>
        </w:rPr>
        <w:t>Non-branded recommendation rate</w:t>
      </w:r>
    </w:p>
    <w:p>
      <w:pPr>
        <w:pStyle w:val="ListBullet"/>
        <w:spacing w:after="20"/>
      </w:pPr>
      <w:r>
        <w:rPr>
          <w:sz w:val="17"/>
        </w:rPr>
        <w:t>Client-domain citation rate</w:t>
      </w:r>
    </w:p>
    <w:p>
      <w:pPr>
        <w:pStyle w:val="ListBullet"/>
        <w:spacing w:after="20"/>
      </w:pPr>
      <w:r>
        <w:rPr>
          <w:sz w:val="17"/>
        </w:rPr>
        <w:t>Recommendation share of voice</w:t>
      </w:r>
    </w:p>
    <w:p>
      <w:pPr>
        <w:pStyle w:val="ListBullet"/>
        <w:spacing w:after="20"/>
      </w:pPr>
      <w:r>
        <w:rPr>
          <w:sz w:val="17"/>
        </w:rPr>
        <w:t>Visibility probability</w:t>
      </w:r>
    </w:p>
    <w:p>
      <w:pPr>
        <w:pStyle w:val="SmallNote"/>
        <w:spacing w:after="20"/>
      </w:pPr>
      <w:r>
        <w:rPr>
          <w:sz w:val="16"/>
        </w:rPr>
        <w:t>Branded validation prompts alone cannot satisfy the guarantee. Every result must disclose sample size and collection source.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Project Plan and Development Specification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YLG AI Visibility Measurement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666666"/>
      <w:sz w:val="16"/>
    </w:rPr>
  </w:style>
  <w:style w:type="paragraph" w:customStyle="1" w:styleId="Callout">
    <w:name w:val="Callout"/>
    <w:pPr>
      <w:spacing w:before="120" w:after="120"/>
      <w:ind w:left="259" w:right="259"/>
    </w:pPr>
    <w:rPr>
      <w:rFonts w:ascii="Aptos" w:hAnsi="Aptos"/>
      <w:b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