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z w:val="17"/>
          <w:szCs w:val="17"/>
        </w:rPr>
        <w:t xml:space="preserve">PT GOTO GOJEK TOKOPEDIA TBK (IDX: GOTO)  |  RESEARCH ADDENDUM</w:t>
      </w:r>
    </w:p>
    <w:p>
      <w:pPr>
        <w:pStyle w:val="Title"/>
      </w:pPr>
      <w:r>
        <w:t xml:space="preserve">GOTO: Checking the Thesis Against the Evidence</w:t>
      </w:r>
    </w:p>
    <w:p>
      <w:pPr>
        <w:pBdr>
          <w:bottom w:val="single" w:color="0F4C5C" w:sz="8" w:space="6"/>
        </w:pBdr>
        <w:spacing w:after="220"/>
      </w:pPr>
      <w:r>
        <w:rPr>
          <w:i/>
          <w:iCs/>
          <w:color w:val="595959"/>
          <w:sz w:val="19"/>
          <w:szCs w:val="19"/>
        </w:rPr>
        <w:t xml:space="preserve">Claim verification, new angles, market sentiment and the bull–bear debate  |  1 October 2026</w:t>
      </w:r>
    </w:p>
    <w:p>
      <w:pPr>
        <w:pStyle w:val="Heading1"/>
      </w:pPr>
      <w:r>
        <w:t xml:space="preserve">Bottom line</w:t>
      </w:r>
    </w:p>
    <w:p>
      <w:pPr>
        <w:pStyle w:val="ListParagraph"/>
        <w:numPr>
          <w:ilvl w:val="0"/>
          <w:numId w:val="2"/>
        </w:numPr>
        <w:spacing w:after="70" w:line="270"/>
      </w:pPr>
      <w:r>
        <w:rPr>
          <w:b/>
          <w:bCs/>
        </w:rPr>
        <w:t xml:space="preserve">Most of the thesis checks out.</w:t>
      </w:r>
      <w:r>
        <w:t xml:space="preserve"> The 8% GoRide cap, the guidance swap, the 2Q26 numbers, the MSCI deletion, the Rp1 floor change, the Grab–Atome deal and the treasury share cancellation are all confirmed by primary or tier-1 sources.</w:t>
      </w:r>
    </w:p>
    <w:p>
      <w:pPr>
        <w:pStyle w:val="ListParagraph"/>
        <w:numPr>
          <w:ilvl w:val="0"/>
          <w:numId w:val="2"/>
        </w:numPr>
        <w:spacing w:after="70" w:line="270"/>
      </w:pPr>
      <w:r>
        <w:rPr>
          <w:b/>
          <w:bCs/>
        </w:rPr>
        <w:t xml:space="preserve">The Morgan Stanley argument does not survive in its current form.</w:t>
      </w:r>
      <w:r>
        <w:t xml:space="preserve"> Morgan Stanley bought ~21.9bn shares at Rp25 on 2 September, then sold ~7.4bn of them at Rp25–27 just two days later, and kept trading in a Rp25–29 band. That is how a facilitator behaves, not an anchor investor defending a cost base. Rp25–29 is better described as the level at which blocks have </w:t>
      </w:r>
      <w:r>
        <w:rPr>
          <w:b/>
          <w:bCs/>
        </w:rPr>
        <w:t xml:space="preserve">cleared</w:t>
      </w:r>
      <w:r>
        <w:t xml:space="preserve">, not a level anyone has committed to </w:t>
      </w:r>
      <w:r>
        <w:rPr>
          <w:b/>
          <w:bCs/>
        </w:rPr>
        <w:t xml:space="preserve">defend</w:t>
      </w:r>
      <w:r>
        <w:t xml:space="preserve">.</w:t>
      </w:r>
    </w:p>
    <w:p>
      <w:pPr>
        <w:pStyle w:val="ListParagraph"/>
        <w:numPr>
          <w:ilvl w:val="0"/>
          <w:numId w:val="2"/>
        </w:numPr>
        <w:spacing w:after="70" w:line="270"/>
      </w:pPr>
      <w:r>
        <w:rPr>
          <w:b/>
          <w:bCs/>
        </w:rPr>
        <w:t xml:space="preserve">Two important new points for the bull case.</w:t>
      </w:r>
      <w:r>
        <w:t xml:space="preserve"> First, GOTO held Rp23.5tn of cash at June 2026, about 73% of its ~Rp32tn market value at Rp28. Second, Fintech EBITDA overtook On-Demand Services (ODS) for the first time in 2Q26.</w:t>
      </w:r>
    </w:p>
    <w:p>
      <w:pPr>
        <w:pStyle w:val="ListParagraph"/>
        <w:numPr>
          <w:ilvl w:val="0"/>
          <w:numId w:val="2"/>
        </w:numPr>
        <w:spacing w:after="70" w:line="270"/>
      </w:pPr>
      <w:r>
        <w:rPr>
          <w:b/>
          <w:bCs/>
        </w:rPr>
        <w:t xml:space="preserve">Three important new points for the bear case.</w:t>
      </w:r>
      <w:r>
        <w:t xml:space="preserve"> First, the 8% cap does not yet cover GoCar, GoFood or GoSend, and ministers met in August to discuss food delivery. Second, full-year guidance implies 2H26 EBITDA about 30% below the 2Q run-rate. Third, the selling overhang on the regular market is still not cleared.</w:t>
      </w:r>
    </w:p>
    <w:p>
      <w:pPr>
        <w:pStyle w:val="ListParagraph"/>
        <w:numPr>
          <w:ilvl w:val="0"/>
          <w:numId w:val="2"/>
        </w:numPr>
        <w:spacing w:after="70" w:line="270"/>
      </w:pPr>
      <w:r>
        <w:rPr>
          <w:b/>
          <w:bCs/>
        </w:rPr>
        <w:t xml:space="preserve">Sentiment is split.</w:t>
      </w:r>
      <w:r>
        <w:t xml:space="preserve"> Sell-side ratings are almost unanimously Buy, with a consensus target of ~Rp75–79. Media coverage, by contrast, is dominated by stories that the stock could fall to Rp1, and retail investors are capitulating after five months trapped at Rp50.</w:t>
      </w:r>
    </w:p>
    <w:p>
      <w:pPr>
        <w:pStyle w:val="Heading1"/>
      </w:pPr>
      <w:r>
        <w:t xml:space="preserve">1. Verification scorecard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250"/>
        <w:gridCol w:w="4338"/>
        <w:gridCol w:w="1350"/>
      </w:tblGrid>
      <w:tr>
        <w:trPr>
          <w:cantSplit/>
          <w:tblHeader/>
        </w:trPr>
        <w:tc>
          <w:tcPr>
            <w:tcW w:type="dxa" w:w="2700"/>
            <w:tcBorders>
              <w:top w:val="single" w:color="BFBFBF" w:sz="4"/>
              <w:left w:val="single" w:color="BFBFBF" w:sz="4"/>
              <w:bottom w:val="single" w:color="BFBFBF" w:sz="4"/>
              <w:right w:val="single" w:color="BFBFBF" w:sz="4"/>
            </w:tcBorders>
            <w:shd w:fill="0F4C5C" w:color="auto" w:val="clear"/>
            <w:tcMar>
              <w:top w:type="dxa" w:w="60"/>
              <w:left w:type="dxa" w:w="100"/>
              <w:bottom w:type="dxa" w:w="60"/>
              <w:right w:type="dxa" w:w="100"/>
            </w:tcMar>
          </w:tcPr>
          <w:p>
            <w:pPr>
              <w:jc w:val="left"/>
            </w:pPr>
            <w:r>
              <w:rPr>
                <w:b/>
                <w:bCs/>
                <w:color w:val="FFFFFF"/>
                <w:sz w:val="18"/>
                <w:szCs w:val="18"/>
              </w:rPr>
              <w:t xml:space="preserve">Thesis claim</w:t>
            </w:r>
          </w:p>
        </w:tc>
        <w:tc>
          <w:tcPr>
            <w:tcW w:type="dxa" w:w="1250"/>
            <w:tcBorders>
              <w:top w:val="single" w:color="BFBFBF" w:sz="4"/>
              <w:left w:val="single" w:color="BFBFBF" w:sz="4"/>
              <w:bottom w:val="single" w:color="BFBFBF" w:sz="4"/>
              <w:right w:val="single" w:color="BFBFBF" w:sz="4"/>
            </w:tcBorders>
            <w:shd w:fill="0F4C5C" w:color="auto" w:val="clear"/>
            <w:tcMar>
              <w:top w:type="dxa" w:w="60"/>
              <w:left w:type="dxa" w:w="100"/>
              <w:bottom w:type="dxa" w:w="60"/>
              <w:right w:type="dxa" w:w="100"/>
            </w:tcMar>
          </w:tcPr>
          <w:p>
            <w:pPr>
              <w:jc w:val="center"/>
            </w:pPr>
            <w:r>
              <w:rPr>
                <w:b/>
                <w:bCs/>
                <w:color w:val="FFFFFF"/>
                <w:sz w:val="18"/>
                <w:szCs w:val="18"/>
              </w:rPr>
              <w:t xml:space="preserve">Verdict</w:t>
            </w:r>
          </w:p>
        </w:tc>
        <w:tc>
          <w:tcPr>
            <w:tcW w:type="dxa" w:w="4338"/>
            <w:tcBorders>
              <w:top w:val="single" w:color="BFBFBF" w:sz="4"/>
              <w:left w:val="single" w:color="BFBFBF" w:sz="4"/>
              <w:bottom w:val="single" w:color="BFBFBF" w:sz="4"/>
              <w:right w:val="single" w:color="BFBFBF" w:sz="4"/>
            </w:tcBorders>
            <w:shd w:fill="0F4C5C" w:color="auto" w:val="clear"/>
            <w:tcMar>
              <w:top w:type="dxa" w:w="60"/>
              <w:left w:type="dxa" w:w="100"/>
              <w:bottom w:type="dxa" w:w="60"/>
              <w:right w:type="dxa" w:w="100"/>
            </w:tcMar>
          </w:tcPr>
          <w:p>
            <w:pPr>
              <w:jc w:val="left"/>
            </w:pPr>
            <w:r>
              <w:rPr>
                <w:b/>
                <w:bCs/>
                <w:color w:val="FFFFFF"/>
                <w:sz w:val="18"/>
                <w:szCs w:val="18"/>
              </w:rPr>
              <w:t xml:space="preserve">What the evidence says</w:t>
            </w:r>
          </w:p>
        </w:tc>
        <w:tc>
          <w:tcPr>
            <w:tcW w:type="dxa" w:w="1350"/>
            <w:tcBorders>
              <w:top w:val="single" w:color="BFBFBF" w:sz="4"/>
              <w:left w:val="single" w:color="BFBFBF" w:sz="4"/>
              <w:bottom w:val="single" w:color="BFBFBF" w:sz="4"/>
              <w:right w:val="single" w:color="BFBFBF" w:sz="4"/>
            </w:tcBorders>
            <w:shd w:fill="0F4C5C" w:color="auto" w:val="clear"/>
            <w:tcMar>
              <w:top w:type="dxa" w:w="60"/>
              <w:left w:type="dxa" w:w="100"/>
              <w:bottom w:type="dxa" w:w="60"/>
              <w:right w:type="dxa" w:w="100"/>
            </w:tcMar>
          </w:tcPr>
          <w:p>
            <w:pPr>
              <w:jc w:val="left"/>
            </w:pPr>
            <w:r>
              <w:rPr>
                <w:b/>
                <w:bCs/>
                <w:color w:val="FFFFFF"/>
                <w:sz w:val="18"/>
                <w:szCs w:val="18"/>
              </w:rPr>
              <w:t xml:space="preserve">Source quality</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GoRide commission 20% → 8% from 1 July 2026</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8"/>
                <w:szCs w:val="18"/>
              </w:rPr>
              <w:t xml:space="preserve">Confirmed</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Perpres 27/2026, announced 1 May 2026. Applies to two-wheel passenger rides only (</w:t>
            </w:r>
            <w:hyperlink w:history="1" r:id="rIdstcoinwnffa78ca_2_8_c">
              <w:r>
                <w:rPr>
                  <w:rStyle w:val="Hyperlink"/>
                  <w:sz w:val="18"/>
                  <w:szCs w:val="18"/>
                </w:rPr>
                <w:t xml:space="preserve">GoTo</w:t>
              </w:r>
            </w:hyperlink>
            <w:r>
              <w:rPr>
                <w:sz w:val="18"/>
                <w:szCs w:val="18"/>
              </w:rPr>
              <w:t xml:space="preserve">; </w:t>
            </w:r>
            <w:hyperlink w:history="1" r:id="rIdssjv2roexcxznvg3j1naw">
              <w:r>
                <w:rPr>
                  <w:rStyle w:val="Hyperlink"/>
                  <w:sz w:val="18"/>
                  <w:szCs w:val="18"/>
                </w:rPr>
                <w:t xml:space="preserve">Jakarta Globe</w:t>
              </w:r>
            </w:hyperlink>
            <w:r>
              <w:rPr>
                <w:sz w:val="18"/>
                <w:szCs w:val="18"/>
              </w:rPr>
              <w:t xml:space="preserve">).</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Primary</w:t>
            </w:r>
          </w:p>
        </w:tc>
      </w:tr>
      <w:tr>
        <w:trPr>
          <w:cantSplit/>
          <w:tblHeader w:val="false"/>
        </w:trPr>
        <w:tc>
          <w:tcPr>
            <w:tcW w:type="dxa" w:w="2700"/>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left"/>
            </w:pPr>
            <w:r>
              <w:rPr>
                <w:sz w:val="18"/>
                <w:szCs w:val="18"/>
              </w:rPr>
              <w:t xml:space="preserve">ODS guidance cut ~Rp300bn to Rp1.4–1.5tn; Group kept at Rp3.2–3.4tn</w:t>
            </w:r>
          </w:p>
        </w:tc>
        <w:tc>
          <w:tcPr>
            <w:tcW w:type="dxa" w:w="1250"/>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center"/>
            </w:pPr>
            <w:r>
              <w:rPr>
                <w:sz w:val="18"/>
                <w:szCs w:val="18"/>
              </w:rPr>
              <w:t xml:space="preserve">Confirmed</w:t>
            </w:r>
          </w:p>
        </w:tc>
        <w:tc>
          <w:tcPr>
            <w:tcW w:type="dxa" w:w="4338"/>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left"/>
            </w:pPr>
            <w:r>
              <w:rPr>
                <w:sz w:val="18"/>
                <w:szCs w:val="18"/>
              </w:rPr>
              <w:t xml:space="preserve">It is a swap: Fintech guidance was </w:t>
            </w:r>
            <w:r>
              <w:rPr>
                <w:b/>
                <w:bCs/>
                <w:sz w:val="18"/>
                <w:szCs w:val="18"/>
              </w:rPr>
              <w:t xml:space="preserve">raised</w:t>
            </w:r>
            <w:r>
              <w:rPr>
                <w:sz w:val="18"/>
                <w:szCs w:val="18"/>
              </w:rPr>
              <w:t xml:space="preserve"> by the same Rp300bn to Rp1.7–1.8tn (</w:t>
            </w:r>
            <w:hyperlink w:history="1" r:id="rIdmhd3391w_rgfe5kjjbknp">
              <w:r>
                <w:rPr>
                  <w:rStyle w:val="Hyperlink"/>
                  <w:sz w:val="18"/>
                  <w:szCs w:val="18"/>
                </w:rPr>
                <w:t xml:space="preserve">call transcript</w:t>
              </w:r>
            </w:hyperlink>
            <w:r>
              <w:rPr>
                <w:sz w:val="18"/>
                <w:szCs w:val="18"/>
              </w:rPr>
              <w:t xml:space="preserve">).</w:t>
            </w:r>
          </w:p>
        </w:tc>
        <w:tc>
          <w:tcPr>
            <w:tcW w:type="dxa" w:w="1350"/>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left"/>
            </w:pPr>
            <w:r>
              <w:rPr>
                <w:sz w:val="18"/>
                <w:szCs w:val="18"/>
              </w:rPr>
              <w:t xml:space="preserve">Near-primary</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2Q26: Core GTV +83% to Rp164tn; revenue +31% to Rp5.7tn; adj. EBITDA &gt;Rp1tn (+137%)</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8"/>
                <w:szCs w:val="18"/>
              </w:rPr>
              <w:t xml:space="preserve">Confirmed</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Net income Rp252bn (+47% QoQ). Fintech EBITDA +447% YoY to Rp481bn and above ODS for the first time (</w:t>
            </w:r>
            <w:hyperlink w:history="1" r:id="rId3-doghbjnwmsff6oanyru">
              <w:r>
                <w:rPr>
                  <w:rStyle w:val="Hyperlink"/>
                  <w:sz w:val="18"/>
                  <w:szCs w:val="18"/>
                </w:rPr>
                <w:t xml:space="preserve">Fintech News</w:t>
              </w:r>
            </w:hyperlink>
            <w:r>
              <w:rPr>
                <w:sz w:val="18"/>
                <w:szCs w:val="18"/>
              </w:rPr>
              <w:t xml:space="preserve">).</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Near-primary</w:t>
            </w:r>
          </w:p>
        </w:tc>
      </w:tr>
      <w:tr>
        <w:trPr>
          <w:cantSplit/>
          <w:tblHeader w:val="false"/>
        </w:trPr>
        <w:tc>
          <w:tcPr>
            <w:tcW w:type="dxa" w:w="2700"/>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left"/>
            </w:pPr>
            <w:r>
              <w:rPr>
                <w:sz w:val="18"/>
                <w:szCs w:val="18"/>
              </w:rPr>
              <w:t xml:space="preserve">GoRide ≈ 7% of net revenue</w:t>
            </w:r>
          </w:p>
        </w:tc>
        <w:tc>
          <w:tcPr>
            <w:tcW w:type="dxa" w:w="1250"/>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center"/>
            </w:pPr>
            <w:r>
              <w:rPr>
                <w:sz w:val="18"/>
                <w:szCs w:val="18"/>
              </w:rPr>
              <w:t xml:space="preserve">Not verified</w:t>
            </w:r>
          </w:p>
        </w:tc>
        <w:tc>
          <w:tcPr>
            <w:tcW w:type="dxa" w:w="4338"/>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left"/>
            </w:pPr>
            <w:r>
              <w:rPr>
                <w:sz w:val="18"/>
                <w:szCs w:val="18"/>
              </w:rPr>
              <w:t xml:space="preserve">Not found in public sources. Keep it, but cite the company deck directly.</w:t>
            </w:r>
          </w:p>
        </w:tc>
        <w:tc>
          <w:tcPr>
            <w:tcW w:type="dxa" w:w="1350"/>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left"/>
            </w:pPr>
            <w:r>
              <w:rPr>
                <w:sz w:val="18"/>
                <w:szCs w:val="18"/>
              </w:rPr>
              <w:t xml:space="preserve">—</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MSCI deletion end-August; ~Rp1tn passive selling</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8"/>
                <w:szCs w:val="18"/>
              </w:rPr>
              <w:t xml:space="preserve">Confirmed</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Announced 13 Aug; effective after the close on 31 Aug. Stock had been at Rp50 since 13 May. The ~Rp1tn is Mirae's "up to" estimate (</w:t>
            </w:r>
            <w:hyperlink w:history="1" r:id="rIdngf0v079saizq3r2irkda">
              <w:r>
                <w:rPr>
                  <w:rStyle w:val="Hyperlink"/>
                  <w:sz w:val="18"/>
                  <w:szCs w:val="18"/>
                </w:rPr>
                <w:t xml:space="preserve">Reuters/AsiaOne</w:t>
              </w:r>
            </w:hyperlink>
            <w:r>
              <w:rPr>
                <w:sz w:val="18"/>
                <w:szCs w:val="18"/>
              </w:rPr>
              <w:t xml:space="preserve">; </w:t>
            </w:r>
            <w:hyperlink w:history="1" r:id="rIdad23vyjfl0d08hukueejo">
              <w:r>
                <w:rPr>
                  <w:rStyle w:val="Hyperlink"/>
                  <w:sz w:val="18"/>
                  <w:szCs w:val="18"/>
                </w:rPr>
                <w:t xml:space="preserve">Mirae</w:t>
              </w:r>
            </w:hyperlink>
            <w:r>
              <w:rPr>
                <w:sz w:val="18"/>
                <w:szCs w:val="18"/>
              </w:rPr>
              <w:t xml:space="preserve">).</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Tier-1 + broker</w:t>
            </w:r>
          </w:p>
        </w:tc>
      </w:tr>
      <w:tr>
        <w:trPr>
          <w:cantSplit/>
          <w:tblHeader w:val="false"/>
        </w:trPr>
        <w:tc>
          <w:tcPr>
            <w:tcW w:type="dxa" w:w="2700"/>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left"/>
            </w:pPr>
            <w:r>
              <w:rPr>
                <w:sz w:val="18"/>
                <w:szCs w:val="18"/>
              </w:rPr>
              <w:t xml:space="preserve">Morgan Stanley bought ~21.7bn shares at ~Rp25</w:t>
            </w:r>
          </w:p>
        </w:tc>
        <w:tc>
          <w:tcPr>
            <w:tcW w:type="dxa" w:w="1250"/>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center"/>
            </w:pPr>
            <w:r>
              <w:rPr>
                <w:sz w:val="18"/>
                <w:szCs w:val="18"/>
              </w:rPr>
              <w:t xml:space="preserve">Confirmed, with correction</w:t>
            </w:r>
          </w:p>
        </w:tc>
        <w:tc>
          <w:tcPr>
            <w:tcW w:type="dxa" w:w="4338"/>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left"/>
            </w:pPr>
            <w:r>
              <w:rPr>
                <w:sz w:val="18"/>
                <w:szCs w:val="18"/>
              </w:rPr>
              <w:t xml:space="preserve">21.9bn shares (Rp548bn) on 2 Sep; stake 5.72% → 7.60%. Then </w:t>
            </w:r>
            <w:r>
              <w:rPr>
                <w:b/>
                <w:bCs/>
                <w:sz w:val="18"/>
                <w:szCs w:val="18"/>
              </w:rPr>
              <w:t xml:space="preserve">sold 7.4bn</w:t>
            </w:r>
            <w:r>
              <w:rPr>
                <w:sz w:val="18"/>
                <w:szCs w:val="18"/>
              </w:rPr>
              <w:t xml:space="preserve"> on 4 Sep at Rp25–27. Trades on 2, 4, 7 and 11 Sep took the stake back to 6.97% (</w:t>
            </w:r>
            <w:hyperlink w:history="1" r:id="rIdvx0dhk6p3r4qcb3iqky04">
              <w:r>
                <w:rPr>
                  <w:rStyle w:val="Hyperlink"/>
                  <w:sz w:val="18"/>
                  <w:szCs w:val="18"/>
                </w:rPr>
                <w:t xml:space="preserve">CNBC Indonesia</w:t>
              </w:r>
            </w:hyperlink>
            <w:r>
              <w:rPr>
                <w:sz w:val="18"/>
                <w:szCs w:val="18"/>
              </w:rPr>
              <w:t xml:space="preserve">; </w:t>
            </w:r>
            <w:hyperlink w:history="1" r:id="rId8sqic_zk6zu3soha_ykoo">
              <w:r>
                <w:rPr>
                  <w:rStyle w:val="Hyperlink"/>
                  <w:sz w:val="18"/>
                  <w:szCs w:val="18"/>
                </w:rPr>
                <w:t xml:space="preserve">CNBC Indonesia</w:t>
              </w:r>
            </w:hyperlink>
            <w:r>
              <w:rPr>
                <w:sz w:val="18"/>
                <w:szCs w:val="18"/>
              </w:rPr>
              <w:t xml:space="preserve">).</w:t>
            </w:r>
          </w:p>
        </w:tc>
        <w:tc>
          <w:tcPr>
            <w:tcW w:type="dxa" w:w="1350"/>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left"/>
            </w:pPr>
            <w:r>
              <w:rPr>
                <w:sz w:val="18"/>
                <w:szCs w:val="18"/>
              </w:rPr>
              <w:t xml:space="preserve">Tier-1 (KSEI/IDX filings)</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IDX floor Rp50 → Rp1 on 28 Sep</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8"/>
                <w:szCs w:val="18"/>
              </w:rPr>
              <w:t xml:space="preserve">Confirmed</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Auto-reject lower (ARB) limit hit on three straight days: Rp43 → Rp37 → Rp32. Rp28 on 1 Oct (</w:t>
            </w:r>
            <w:hyperlink w:history="1" r:id="rIdm4cx3neirj_g4my4pdfoi">
              <w:r>
                <w:rPr>
                  <w:rStyle w:val="Hyperlink"/>
                  <w:sz w:val="18"/>
                  <w:szCs w:val="18"/>
                </w:rPr>
                <w:t xml:space="preserve">Kontan</w:t>
              </w:r>
            </w:hyperlink>
            <w:r>
              <w:rPr>
                <w:sz w:val="18"/>
                <w:szCs w:val="18"/>
              </w:rPr>
              <w:t xml:space="preserve">; </w:t>
            </w:r>
            <w:hyperlink w:history="1" r:id="rIdfg1sdizkbiurkxiw9bywz">
              <w:r>
                <w:rPr>
                  <w:rStyle w:val="Hyperlink"/>
                  <w:sz w:val="18"/>
                  <w:szCs w:val="18"/>
                </w:rPr>
                <w:t xml:space="preserve">Investortrust</w:t>
              </w:r>
            </w:hyperlink>
            <w:r>
              <w:rPr>
                <w:sz w:val="18"/>
                <w:szCs w:val="18"/>
              </w:rPr>
              <w:t xml:space="preserve">).</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Tier-1</w:t>
            </w:r>
          </w:p>
        </w:tc>
      </w:tr>
      <w:tr>
        <w:trPr>
          <w:cantSplit/>
          <w:tblHeader w:val="false"/>
        </w:trPr>
        <w:tc>
          <w:tcPr>
            <w:tcW w:type="dxa" w:w="2700"/>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left"/>
            </w:pPr>
            <w:r>
              <w:rPr>
                <w:sz w:val="18"/>
                <w:szCs w:val="18"/>
              </w:rPr>
              <w:t xml:space="preserve">Grab buys 60% of Atome for US$1.49bn; 40% later at US$2.0–4.5bn</w:t>
            </w:r>
          </w:p>
        </w:tc>
        <w:tc>
          <w:tcPr>
            <w:tcW w:type="dxa" w:w="1250"/>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center"/>
            </w:pPr>
            <w:r>
              <w:rPr>
                <w:sz w:val="18"/>
                <w:szCs w:val="18"/>
              </w:rPr>
              <w:t xml:space="preserve">Confirmed</w:t>
            </w:r>
          </w:p>
        </w:tc>
        <w:tc>
          <w:tcPr>
            <w:tcW w:type="dxa" w:w="4338"/>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left"/>
            </w:pPr>
            <w:r>
              <w:rPr>
                <w:sz w:val="18"/>
                <w:szCs w:val="18"/>
              </w:rPr>
              <w:t xml:space="preserve">Includes US$260m of new capital. Remaining 40% is bought ~2 years after closing; closing expected by 3Q27 (</w:t>
            </w:r>
            <w:hyperlink w:history="1" r:id="rIdenc-nu0cnt_zwaqw8bkkk">
              <w:r>
                <w:rPr>
                  <w:rStyle w:val="Hyperlink"/>
                  <w:sz w:val="18"/>
                  <w:szCs w:val="18"/>
                </w:rPr>
                <w:t xml:space="preserve">Grab 6-K</w:t>
              </w:r>
            </w:hyperlink>
            <w:r>
              <w:rPr>
                <w:sz w:val="18"/>
                <w:szCs w:val="18"/>
              </w:rPr>
              <w:t xml:space="preserve">).</w:t>
            </w:r>
          </w:p>
        </w:tc>
        <w:tc>
          <w:tcPr>
            <w:tcW w:type="dxa" w:w="1350"/>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left"/>
            </w:pPr>
            <w:r>
              <w:rPr>
                <w:sz w:val="18"/>
                <w:szCs w:val="18"/>
              </w:rPr>
              <w:t xml:space="preserve">Primary (SEC)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Cancel &gt;32bn treasury shares at October EGMS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8"/>
                <w:szCs w:val="18"/>
              </w:rPr>
              <w:t xml:space="preserve">Confirmed</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32.18bn shares at the 14 Oct EGMS. These shares had been earmarked for employee stock plans (ESOP/MSOP) (</w:t>
            </w:r>
            <w:hyperlink w:history="1" r:id="rIdf3y9xxdcvb9tfife2-0kt">
              <w:r>
                <w:rPr>
                  <w:rStyle w:val="Hyperlink"/>
                  <w:sz w:val="18"/>
                  <w:szCs w:val="18"/>
                </w:rPr>
                <w:t xml:space="preserve">GoTo</w:t>
              </w:r>
            </w:hyperlink>
            <w:r>
              <w:rPr>
                <w:sz w:val="18"/>
                <w:szCs w:val="18"/>
              </w:rPr>
              <w:t xml:space="preserve">; </w:t>
            </w:r>
            <w:hyperlink w:history="1" r:id="rIdojf34i55m7g0nwhiezp24">
              <w:r>
                <w:rPr>
                  <w:rStyle w:val="Hyperlink"/>
                  <w:sz w:val="18"/>
                  <w:szCs w:val="18"/>
                </w:rPr>
                <w:t xml:space="preserve">IDNFinancials</w:t>
              </w:r>
            </w:hyperlink>
            <w:r>
              <w:rPr>
                <w:sz w:val="18"/>
                <w:szCs w:val="18"/>
              </w:rPr>
              <w:t xml:space="preserve">).</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Primary</w:t>
            </w:r>
          </w:p>
        </w:tc>
      </w:tr>
    </w:tbl>
    <w:p>
      <w:pPr>
        <w:spacing w:after="120"/>
      </w:pPr>
    </w:p>
    <w:p>
      <w:pPr>
        <w:pStyle w:val="Heading1"/>
      </w:pPr>
      <w:r>
        <w:t xml:space="preserve">2. What the evidence changes in our note</w:t>
      </w:r>
    </w:p>
    <w:p>
      <w:pPr>
        <w:pStyle w:val="Heading2"/>
      </w:pPr>
      <w:r>
        <w:t xml:space="preserve">Morgan Stanley: from "support level" to "clearing level"</w:t>
      </w:r>
    </w:p>
    <w:p>
      <w:pPr>
        <w:spacing w:after="140" w:line="284"/>
        <w:jc w:val="both"/>
      </w:pPr>
      <w:r>
        <w:t xml:space="preserve">The argument that institutions defend their entry price assumes Morgan Stanley bought as a principal investor. The filings point the other way. Morgan Stanley &amp; Co International already held 5.72% (65.8bn shares) before the block, which is typical of custody or prime-brokerage positions held for clients. It then sold ~7.4bn shares at Rp25–27 within two days for a small profit (</w:t>
      </w:r>
      <w:hyperlink w:history="1" r:id="rIde0nuqep0pixh1iyd4z_dl">
        <w:r>
          <w:rPr>
            <w:rStyle w:val="Hyperlink"/>
          </w:rPr>
          <w:t xml:space="preserve">CNBC Indonesia</w:t>
        </w:r>
      </w:hyperlink>
      <w:r>
        <w:t xml:space="preserve">). Across 2–11 September its trades in the Rp25–29 range totalled about Rp837bn (</w:t>
      </w:r>
      <w:hyperlink w:history="1" r:id="rIdyl7db7jkcqrrgckkhppnh">
        <w:r>
          <w:rPr>
            <w:rStyle w:val="Hyperlink"/>
          </w:rPr>
          <w:t xml:space="preserve">Warta Ekonomi</w:t>
        </w:r>
      </w:hyperlink>
      <w:r>
        <w:t xml:space="preserve">). Kiwoom's head of research has also argued publicly that a negotiated-market price cannot be treated as a reference price for the regular market (</w:t>
      </w:r>
      <w:hyperlink w:history="1" r:id="rIdj-gcry-cqoxh5simitfgy">
        <w:r>
          <w:rPr>
            <w:rStyle w:val="Hyperlink"/>
          </w:rPr>
          <w:t xml:space="preserve">Katadata</w:t>
        </w:r>
      </w:hyperlink>
      <w:r>
        <w:t xml:space="preserve">).</w:t>
      </w:r>
    </w:p>
    <w:p>
      <w:pPr>
        <w:spacing w:after="140" w:line="284"/>
        <w:jc w:val="both"/>
      </w:pPr>
      <w:r>
        <w:rPr>
          <w:b/>
          <w:bCs/>
        </w:rPr>
        <w:t xml:space="preserve">What survives:</w:t>
      </w:r>
      <w:r>
        <w:t xml:space="preserve"> the timing still fits the MSCI story. The purchase came two days after the deletion took effect, and the volume (~21.9bn shares) is close to the estimated passive selling. The Rp25–29 band also proved informative: the regular market has fallen straight towards it, reaching Rp28 on 1 October. We should therefore present Rp25–29 as the </w:t>
      </w:r>
      <w:r>
        <w:rPr>
          <w:b/>
          <w:bCs/>
        </w:rPr>
        <w:t xml:space="preserve">observed clearing level for large blocks</w:t>
      </w:r>
      <w:r>
        <w:t xml:space="preserve">, which is evidence about value. It is </w:t>
      </w:r>
      <w:r>
        <w:rPr>
          <w:b/>
          <w:bCs/>
        </w:rPr>
        <w:t xml:space="preserve">not</w:t>
      </w:r>
      <w:r>
        <w:t xml:space="preserve"> a floor that an institution has an incentive to defend.</w:t>
      </w:r>
    </w:p>
    <w:p>
      <w:pPr>
        <w:pStyle w:val="Heading2"/>
      </w:pPr>
      <w:r>
        <w:t xml:space="preserve">Other corrections</w:t>
      </w:r>
    </w:p>
    <w:p>
      <w:pPr>
        <w:pStyle w:val="ListParagraph"/>
        <w:numPr>
          <w:ilvl w:val="0"/>
          <w:numId w:val="2"/>
        </w:numPr>
        <w:spacing w:after="70" w:line="270"/>
      </w:pPr>
      <w:r>
        <w:rPr>
          <w:b/>
          <w:bCs/>
        </w:rPr>
        <w:t xml:space="preserve">Merger timeline.</w:t>
      </w:r>
      <w:r>
        <w:t xml:space="preserve"> Talks were reported called off in September 2025, a full year before the Atome deal (DealStreetAsia). The optionality was therefore already partly discounted. Atome confirms that view rather than causing it.</w:t>
      </w:r>
    </w:p>
    <w:p>
      <w:pPr>
        <w:pStyle w:val="ListParagraph"/>
        <w:numPr>
          <w:ilvl w:val="0"/>
          <w:numId w:val="2"/>
        </w:numPr>
        <w:spacing w:after="70" w:line="270"/>
      </w:pPr>
      <w:r>
        <w:rPr>
          <w:b/>
          <w:bCs/>
        </w:rPr>
        <w:t xml:space="preserve">Treasury cancellation.</w:t>
      </w:r>
      <w:r>
        <w:t xml:space="preserve"> Because the shares had been earmarked for employee stock plans, cancelling them does more than tidy up the count: it removes a planned source of future dilution. This is stronger than our earlier wording, which called the effect "modest".</w:t>
      </w:r>
    </w:p>
    <w:p>
      <w:pPr>
        <w:pStyle w:val="ListParagraph"/>
        <w:numPr>
          <w:ilvl w:val="0"/>
          <w:numId w:val="2"/>
        </w:numPr>
        <w:spacing w:after="70" w:line="270"/>
      </w:pPr>
      <w:r>
        <w:rPr>
          <w:b/>
          <w:bCs/>
        </w:rPr>
        <w:t xml:space="preserve">Share count.</w:t>
      </w:r>
      <w:r>
        <w:t xml:space="preserve"> Morgan Stanley's disclosure (65.8bn shares = 5.7157%) implies ~1,151bn voting shares, which confirms the ~1.15tn we used.</w:t>
      </w:r>
    </w:p>
    <w:p>
      <w:pPr>
        <w:pStyle w:val="ListParagraph"/>
        <w:numPr>
          <w:ilvl w:val="0"/>
          <w:numId w:val="2"/>
        </w:numPr>
        <w:spacing w:after="70" w:line="270"/>
      </w:pPr>
      <w:r>
        <w:rPr>
          <w:b/>
          <w:bCs/>
        </w:rPr>
        <w:t xml:space="preserve">Price.</w:t>
      </w:r>
      <w:r>
        <w:t xml:space="preserve"> Use Rp28 (1 October close) rather than "the Rp20s"; the stock has not yet traded in the low Rp20s.</w:t>
      </w:r>
    </w:p>
    <w:p>
      <w:pPr>
        <w:pStyle w:val="Heading1"/>
      </w:pPr>
      <w:r>
        <w:t xml:space="preserve">3. New angles not in the original thesis</w:t>
      </w:r>
    </w:p>
    <w:p>
      <w:pPr>
        <w:pStyle w:val="Heading2"/>
      </w:pPr>
      <w:r>
        <w:t xml:space="preserve">For the bull case</w:t>
      </w:r>
    </w:p>
    <w:p>
      <w:pPr>
        <w:pStyle w:val="ListParagraph"/>
        <w:numPr>
          <w:ilvl w:val="0"/>
          <w:numId w:val="2"/>
        </w:numPr>
        <w:spacing w:after="70" w:line="270"/>
      </w:pPr>
      <w:r>
        <w:rPr>
          <w:b/>
          <w:bCs/>
        </w:rPr>
        <w:t xml:space="preserve">A cash-backed valuation.</w:t>
      </w:r>
      <w:r>
        <w:t xml:space="preserve"> Cash and equivalents were Rp23.5tn at June 2026, and 2Q26 adjusted free cash flow was Rp809bn (</w:t>
      </w:r>
      <w:hyperlink w:history="1" r:id="rIdy1jfaqfpntdqk3abu8l7n">
        <w:r>
          <w:rPr>
            <w:rStyle w:val="Hyperlink"/>
          </w:rPr>
          <w:t xml:space="preserve">call transcript</w:t>
        </w:r>
      </w:hyperlink>
      <w:r>
        <w:t xml:space="preserve">). At Rp28 the market value is ~Rp32tn, so cash covers ~73% of it. Caveat: this is gross cash. We have not netted borrowings or identified any customer or restricted balances, and that must be done before quoting an enterprise value.</w:t>
      </w:r>
    </w:p>
    <w:p>
      <w:pPr>
        <w:pStyle w:val="ListParagraph"/>
        <w:numPr>
          <w:ilvl w:val="0"/>
          <w:numId w:val="2"/>
        </w:numPr>
        <w:spacing w:after="70" w:line="270"/>
      </w:pPr>
      <w:r>
        <w:rPr>
          <w:b/>
          <w:bCs/>
        </w:rPr>
        <w:t xml:space="preserve">Fintech is now the larger profit engine.</w:t>
      </w:r>
      <w:r>
        <w:t xml:space="preserve"> Raising Fintech guidance to Rp1.7–1.8tn puts it above ODS (Rp1.4–1.5tn) for the full year. The segment hit by the cap is now the smaller earnings driver.</w:t>
      </w:r>
    </w:p>
    <w:p>
      <w:pPr>
        <w:pStyle w:val="ListParagraph"/>
        <w:numPr>
          <w:ilvl w:val="0"/>
          <w:numId w:val="2"/>
        </w:numPr>
        <w:spacing w:after="70" w:line="270"/>
      </w:pPr>
      <w:r>
        <w:rPr>
          <w:b/>
          <w:bCs/>
        </w:rPr>
        <w:t xml:space="preserve">The state is a shareholder.</w:t>
      </w:r>
      <w:r>
        <w:t xml:space="preserve"> Danantara, the sovereign fund, has been buying since early 2026 and holds less than 1%. In May it said it intended to raise the stake (</w:t>
      </w:r>
      <w:hyperlink w:history="1" r:id="rIdu74xtu32fyuysq-h8ixni">
        <w:r>
          <w:rPr>
            <w:rStyle w:val="Hyperlink"/>
          </w:rPr>
          <w:t xml:space="preserve">Jakarta Globe</w:t>
        </w:r>
      </w:hyperlink>
      <w:r>
        <w:t xml:space="preserve">; </w:t>
      </w:r>
      <w:hyperlink w:history="1" r:id="rIdsvfnwqqhb86f2xvkp1rgy">
        <w:r>
          <w:rPr>
            <w:rStyle w:val="Hyperlink"/>
          </w:rPr>
          <w:t xml:space="preserve">Jakarta Post</w:t>
        </w:r>
      </w:hyperlink>
      <w:r>
        <w:t xml:space="preserve">). The government regulates GOTO's pricing, but it is also an owner.</w:t>
      </w:r>
    </w:p>
    <w:p>
      <w:pPr>
        <w:pStyle w:val="ListParagraph"/>
        <w:numPr>
          <w:ilvl w:val="0"/>
          <w:numId w:val="2"/>
        </w:numPr>
        <w:spacing w:after="70" w:line="270"/>
      </w:pPr>
      <w:r>
        <w:rPr>
          <w:b/>
          <w:bCs/>
        </w:rPr>
        <w:t xml:space="preserve">Sell-side support.</w:t>
      </w:r>
      <w:r>
        <w:t xml:space="preserve"> Bloomberg consensus is 24 Buy, 7 Hold and 0 Sell, with an average target of Rp78.5 and a lowest target of Rp60 (</w:t>
      </w:r>
      <w:hyperlink w:history="1" r:id="rId5lfdau34do_qnxwb9p1vq">
        <w:r>
          <w:rPr>
            <w:rStyle w:val="Hyperlink"/>
          </w:rPr>
          <w:t xml:space="preserve">Investortrust</w:t>
        </w:r>
      </w:hyperlink>
      <w:r>
        <w:t xml:space="preserve">). Individual targets: Citi Rp95, DBS Rp102, BNI Sekuritas Rp80, Jefferies Rp77, Macquarie Rp72 and BRI Danareksa Rp70, cut from Rp80 (</w:t>
      </w:r>
      <w:hyperlink w:history="1" r:id="rIdyq7ybuq9krr_ag7xmt5tj">
        <w:r>
          <w:rPr>
            <w:rStyle w:val="Hyperlink"/>
          </w:rPr>
          <w:t xml:space="preserve">Bisnis</w:t>
        </w:r>
      </w:hyperlink>
      <w:r>
        <w:t xml:space="preserve">; </w:t>
      </w:r>
      <w:hyperlink w:history="1" r:id="rId2onwxit9rgwxl88ay71n7">
        <w:r>
          <w:rPr>
            <w:rStyle w:val="Hyperlink"/>
          </w:rPr>
          <w:t xml:space="preserve">Katadata</w:t>
        </w:r>
      </w:hyperlink>
      <w:r>
        <w:t xml:space="preserve">).</w:t>
      </w:r>
    </w:p>
    <w:p>
      <w:pPr>
        <w:pStyle w:val="Heading2"/>
      </w:pPr>
      <w:r>
        <w:t xml:space="preserve">For the bear case</w:t>
      </w:r>
    </w:p>
    <w:p>
      <w:pPr>
        <w:pStyle w:val="ListParagraph"/>
        <w:numPr>
          <w:ilvl w:val="0"/>
          <w:numId w:val="2"/>
        </w:numPr>
        <w:spacing w:after="70" w:line="270"/>
      </w:pPr>
      <w:r>
        <w:rPr>
          <w:b/>
          <w:bCs/>
        </w:rPr>
        <w:t xml:space="preserve">Regulatory creep.</w:t>
      </w:r>
      <w:r>
        <w:t xml:space="preserve"> The 8% cap covers two-wheel passenger rides </w:t>
      </w:r>
      <w:r>
        <w:rPr>
          <w:b/>
          <w:bCs/>
        </w:rPr>
        <w:t xml:space="preserve">so far</w:t>
      </w:r>
      <w:r>
        <w:t xml:space="preserve">. GoCar is excluded because local governments share authority, and food and courier delivery are excluded because they sit under a different ministry. The transport minister's wording was "belum" (not yet) (</w:t>
      </w:r>
      <w:hyperlink w:history="1" r:id="rIdwi6isswb39givometndzn">
        <w:r>
          <w:rPr>
            <w:rStyle w:val="Hyperlink"/>
          </w:rPr>
          <w:t xml:space="preserve">Bisnis</w:t>
        </w:r>
      </w:hyperlink>
      <w:r>
        <w:t xml:space="preserve">). Ministers met on 18 August specifically to discuss GrabFood and GoFood (</w:t>
      </w:r>
      <w:hyperlink w:history="1" r:id="rIdosqexhhmajnj9qndni-a-">
        <w:r>
          <w:rPr>
            <w:rStyle w:val="Hyperlink"/>
          </w:rPr>
          <w:t xml:space="preserve">CNBC Indonesia</w:t>
        </w:r>
      </w:hyperlink>
      <w:r>
        <w:t xml:space="preserve">). These businesses are far larger than GoRide's ~7% of revenue.</w:t>
      </w:r>
    </w:p>
    <w:p>
      <w:pPr>
        <w:pStyle w:val="ListParagraph"/>
        <w:numPr>
          <w:ilvl w:val="0"/>
          <w:numId w:val="2"/>
        </w:numPr>
        <w:spacing w:after="70" w:line="270"/>
      </w:pPr>
      <w:r>
        <w:rPr>
          <w:b/>
          <w:bCs/>
        </w:rPr>
        <w:t xml:space="preserve">New cost lines.</w:t>
      </w:r>
      <w:r>
        <w:t xml:space="preserve"> The same Perpres requires platforms to provide accident and health (BPJS) insurance for drivers (</w:t>
      </w:r>
      <w:hyperlink w:history="1" r:id="rIdvikmgyf8j8csqtyki23lq">
        <w:r>
          <w:rPr>
            <w:rStyle w:val="Hyperlink"/>
          </w:rPr>
          <w:t xml:space="preserve">Jakarta Globe</w:t>
        </w:r>
      </w:hyperlink>
      <w:r>
        <w:t xml:space="preserve">). None of this is in our sizing of the hit.</w:t>
      </w:r>
    </w:p>
    <w:p>
      <w:pPr>
        <w:pStyle w:val="ListParagraph"/>
        <w:numPr>
          <w:ilvl w:val="0"/>
          <w:numId w:val="2"/>
        </w:numPr>
        <w:spacing w:after="70" w:line="270"/>
      </w:pPr>
      <w:r>
        <w:rPr>
          <w:b/>
          <w:bCs/>
        </w:rPr>
        <w:t xml:space="preserve">Guidance implies a weaker second half.</w:t>
      </w:r>
      <w:r>
        <w:t xml:space="preserve"> 1H26 adjusted EBITDA was Rp1.92tn (</w:t>
      </w:r>
      <w:hyperlink w:history="1" r:id="rId1x9hmitdwftq5hlocr0zm">
        <w:r>
          <w:rPr>
            <w:rStyle w:val="Hyperlink"/>
          </w:rPr>
          <w:t xml:space="preserve">Investor Daily</w:t>
        </w:r>
      </w:hyperlink>
      <w:r>
        <w:t xml:space="preserve">). Hitting the Rp3.2–3.4tn full-year range needs only Rp1.28–1.48tn in 2H, or Rp0.64–0.74tn a quarter, against more than Rp1.0tn in 2Q. Either guidance is conservative (bull reading) or management expects a 30%+ drop in quarterly EBITDA as the cap bites (bear reading). This is the single most useful question for the next results call.</w:t>
      </w:r>
    </w:p>
    <w:p>
      <w:pPr>
        <w:pStyle w:val="ListParagraph"/>
        <w:numPr>
          <w:ilvl w:val="0"/>
          <w:numId w:val="2"/>
        </w:numPr>
        <w:spacing w:after="70" w:line="270"/>
      </w:pPr>
      <w:r>
        <w:rPr>
          <w:b/>
          <w:bCs/>
        </w:rPr>
        <w:t xml:space="preserve">Fintech has its own regulator.</w:t>
      </w:r>
      <w:r>
        <w:t xml:space="preserve"> OJK paylater rules set a minimum income of Rp3m a month, cap users at three paylater providers, and cut the daily fee cap to 0.1% (</w:t>
      </w:r>
      <w:hyperlink w:history="1" r:id="rId4hvqwdjjpim5a3ueklcoc">
        <w:r>
          <w:rPr>
            <w:rStyle w:val="Hyperlink"/>
          </w:rPr>
          <w:t xml:space="preserve">Fintech News</w:t>
        </w:r>
      </w:hyperlink>
      <w:r>
        <w:t xml:space="preserve">, medium reliability). These rules could slow growth in a loan book that is expanding 58% a year. Atome, now backed by Grab's balance sheet, competes directly with GoPay Later.</w:t>
      </w:r>
    </w:p>
    <w:p>
      <w:pPr>
        <w:pStyle w:val="ListParagraph"/>
        <w:numPr>
          <w:ilvl w:val="0"/>
          <w:numId w:val="2"/>
        </w:numPr>
        <w:spacing w:after="70" w:line="270"/>
      </w:pPr>
      <w:r>
        <w:rPr>
          <w:b/>
          <w:bCs/>
        </w:rPr>
        <w:t xml:space="preserve">The overhang is large and not yet cleared.</w:t>
      </w:r>
      <w:r>
        <w:t xml:space="preserve"> Stockbit data showed ~394m lots (~39bn shares, ~Rp2tn) queued to sell at Rp50 on 25 September, roughly double the MSCI estimate. The queue then passed 1bn lots on 28 September (</w:t>
      </w:r>
      <w:hyperlink w:history="1" r:id="rId7dvwuuiwwc6dmgthpr2tm">
        <w:r>
          <w:rPr>
            <w:rStyle w:val="Hyperlink"/>
          </w:rPr>
          <w:t xml:space="preserve">Suara</w:t>
        </w:r>
      </w:hyperlink>
      <w:r>
        <w:t xml:space="preserve">). Queue figures overstate real supply because orders are duplicated, but the direction is clear. Foreign investors sold a net Rp277bn on 1–2 September on the regular market alone (</w:t>
      </w:r>
      <w:hyperlink w:history="1" r:id="rIdvyjrwwaaaklir2kswurtq">
        <w:r>
          <w:rPr>
            <w:rStyle w:val="Hyperlink"/>
          </w:rPr>
          <w:t xml:space="preserve">CNBC Indonesia</w:t>
        </w:r>
      </w:hyperlink>
      <w:r>
        <w:t xml:space="preserve">).</w:t>
      </w:r>
    </w:p>
    <w:p>
      <w:pPr>
        <w:pStyle w:val="ListParagraph"/>
        <w:numPr>
          <w:ilvl w:val="0"/>
          <w:numId w:val="2"/>
        </w:numPr>
        <w:spacing w:after="70" w:line="270"/>
      </w:pPr>
      <w:r>
        <w:rPr>
          <w:b/>
          <w:bCs/>
        </w:rPr>
        <w:t xml:space="preserve">Tick-size and daily-limit mechanics.</w:t>
      </w:r>
      <w:r>
        <w:t xml:space="preserve"> With a Rp1 tick, every price step is 3–4% at these levels. If the stock hit its daily lower limit every session it could theoretically reach Rp1 in ~19 sessions (Kiwoom, via </w:t>
      </w:r>
      <w:hyperlink w:history="1" r:id="rIdy7glwfyy4se0vjtqxd7cg">
        <w:r>
          <w:rPr>
            <w:rStyle w:val="Hyperlink"/>
          </w:rPr>
          <w:t xml:space="preserve">Investor Daily</w:t>
        </w:r>
      </w:hyperlink>
      <w:r>
        <w:t xml:space="preserve">). That is improbable, but it explains why the media is framing the fall in terms of Rp1.</w:t>
      </w:r>
    </w:p>
    <w:p>
      <w:pPr>
        <w:pStyle w:val="ListParagraph"/>
        <w:numPr>
          <w:ilvl w:val="0"/>
          <w:numId w:val="2"/>
        </w:numPr>
        <w:spacing w:after="70" w:line="270"/>
      </w:pPr>
      <w:r>
        <w:rPr>
          <w:b/>
          <w:bCs/>
        </w:rPr>
        <w:t xml:space="preserve">Tokopedia is a minority stake in a business losing share.</w:t>
      </w:r>
      <w:r>
        <w:t xml:space="preserve"> GoTo retains ~25% of Tokopedia, which TikTok now runs, and Shopee still dominates the tracked categories (</w:t>
      </w:r>
      <w:hyperlink w:history="1" r:id="rIddjb6fz3ryf2copwmnwlbp">
        <w:r>
          <w:rPr>
            <w:rStyle w:val="Hyperlink"/>
          </w:rPr>
          <w:t xml:space="preserve">MagpieIQ</w:t>
        </w:r>
      </w:hyperlink>
      <w:r>
        <w:t xml:space="preserve">, low reliability).</w:t>
      </w:r>
    </w:p>
    <w:p>
      <w:pPr>
        <w:pStyle w:val="Heading1"/>
      </w:pPr>
      <w:r>
        <w:t xml:space="preserve">4. Market sentiment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869"/>
        <w:gridCol w:w="3869"/>
      </w:tblGrid>
      <w:tr>
        <w:trPr>
          <w:cantSplit/>
          <w:tblHeader/>
        </w:trPr>
        <w:tc>
          <w:tcPr>
            <w:tcW w:type="dxa" w:w="1900"/>
            <w:tcBorders>
              <w:top w:val="single" w:color="BFBFBF" w:sz="4"/>
              <w:left w:val="single" w:color="BFBFBF" w:sz="4"/>
              <w:bottom w:val="single" w:color="BFBFBF" w:sz="4"/>
              <w:right w:val="single" w:color="BFBFBF" w:sz="4"/>
            </w:tcBorders>
            <w:shd w:fill="0F4C5C" w:color="auto" w:val="clear"/>
            <w:tcMar>
              <w:top w:type="dxa" w:w="60"/>
              <w:left w:type="dxa" w:w="100"/>
              <w:bottom w:type="dxa" w:w="60"/>
              <w:right w:type="dxa" w:w="100"/>
            </w:tcMar>
          </w:tcPr>
          <w:p>
            <w:pPr>
              <w:jc w:val="left"/>
            </w:pPr>
            <w:r>
              <w:rPr>
                <w:b/>
                <w:bCs/>
                <w:color w:val="FFFFFF"/>
                <w:sz w:val="18"/>
                <w:szCs w:val="18"/>
              </w:rPr>
              <w:t xml:space="preserve">Group</w:t>
            </w:r>
          </w:p>
        </w:tc>
        <w:tc>
          <w:tcPr>
            <w:tcW w:type="dxa" w:w="3869"/>
            <w:tcBorders>
              <w:top w:val="single" w:color="BFBFBF" w:sz="4"/>
              <w:left w:val="single" w:color="BFBFBF" w:sz="4"/>
              <w:bottom w:val="single" w:color="BFBFBF" w:sz="4"/>
              <w:right w:val="single" w:color="BFBFBF" w:sz="4"/>
            </w:tcBorders>
            <w:shd w:fill="0F4C5C" w:color="auto" w:val="clear"/>
            <w:tcMar>
              <w:top w:type="dxa" w:w="60"/>
              <w:left w:type="dxa" w:w="100"/>
              <w:bottom w:type="dxa" w:w="60"/>
              <w:right w:type="dxa" w:w="100"/>
            </w:tcMar>
          </w:tcPr>
          <w:p>
            <w:pPr>
              <w:jc w:val="left"/>
            </w:pPr>
            <w:r>
              <w:rPr>
                <w:b/>
                <w:bCs/>
                <w:color w:val="FFFFFF"/>
                <w:sz w:val="18"/>
                <w:szCs w:val="18"/>
              </w:rPr>
              <w:t xml:space="preserve">Prevailing view</w:t>
            </w:r>
          </w:p>
        </w:tc>
        <w:tc>
          <w:tcPr>
            <w:tcW w:type="dxa" w:w="3869"/>
            <w:tcBorders>
              <w:top w:val="single" w:color="BFBFBF" w:sz="4"/>
              <w:left w:val="single" w:color="BFBFBF" w:sz="4"/>
              <w:bottom w:val="single" w:color="BFBFBF" w:sz="4"/>
              <w:right w:val="single" w:color="BFBFBF" w:sz="4"/>
            </w:tcBorders>
            <w:shd w:fill="0F4C5C" w:color="auto" w:val="clear"/>
            <w:tcMar>
              <w:top w:type="dxa" w:w="60"/>
              <w:left w:type="dxa" w:w="100"/>
              <w:bottom w:type="dxa" w:w="60"/>
              <w:right w:type="dxa" w:w="100"/>
            </w:tcMar>
          </w:tcPr>
          <w:p>
            <w:pPr>
              <w:jc w:val="left"/>
            </w:pPr>
            <w:r>
              <w:rPr>
                <w:b/>
                <w:bCs/>
                <w:color w:val="FFFFFF"/>
                <w:sz w:val="18"/>
                <w:szCs w:val="18"/>
              </w:rPr>
              <w:t xml:space="preserve">Evidence</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Sell-side analysts</w:t>
            </w:r>
          </w:p>
        </w:tc>
        <w:tc>
          <w:tcPr>
            <w:tcW w:type="dxa" w:w="3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Constructive. Ratings unchanged at Buy; targets trimmed but still Rp60–102.</w:t>
            </w:r>
          </w:p>
        </w:tc>
        <w:tc>
          <w:tcPr>
            <w:tcW w:type="dxa" w:w="3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Bloomberg consensus 77% Buy; BRI Danareksa cut Rp80 → Rp70 after the Perpres but kept Buy.</w:t>
            </w:r>
          </w:p>
        </w:tc>
      </w:tr>
      <w:tr>
        <w:trPr>
          <w:cantSplit/>
          <w:tblHeader w:val="false"/>
        </w:trPr>
        <w:tc>
          <w:tcPr>
            <w:tcW w:type="dxa" w:w="1900"/>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left"/>
            </w:pPr>
            <w:r>
              <w:rPr>
                <w:sz w:val="18"/>
                <w:szCs w:val="18"/>
              </w:rPr>
              <w:t xml:space="preserve">Financial media</w:t>
            </w:r>
          </w:p>
        </w:tc>
        <w:tc>
          <w:tcPr>
            <w:tcW w:type="dxa" w:w="3869"/>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left"/>
            </w:pPr>
            <w:r>
              <w:rPr>
                <w:sz w:val="18"/>
                <w:szCs w:val="18"/>
              </w:rPr>
              <w:t xml:space="preserve">Fearful. Headlines focus on the risk of a fall to Rp1 and warn readers about cheap-looking stocks.</w:t>
            </w:r>
          </w:p>
        </w:tc>
        <w:tc>
          <w:tcPr>
            <w:tcW w:type="dxa" w:w="3869"/>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left"/>
            </w:pPr>
            <w:r>
              <w:rPr>
                <w:sz w:val="18"/>
                <w:szCs w:val="18"/>
              </w:rPr>
              <w:t xml:space="preserve">Beritasatu, Katadata and Investor Daily all ran stories on GOTO reaching Rp1; Suara: "Jangan terjebak harga murah" ("don't get trapped by a cheap price").</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Retail investors</w:t>
            </w:r>
          </w:p>
        </w:tc>
        <w:tc>
          <w:tcPr>
            <w:tcW w:type="dxa" w:w="3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Split. Capitulation after five months trapped at Rp50, alongside some dip-buying.</w:t>
            </w:r>
          </w:p>
        </w:tc>
        <w:tc>
          <w:tcPr>
            <w:tcW w:type="dxa" w:w="3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Sell queue above 1bn lots on 28 Sep; Stockbit Sekuritas clients were nevertheless net buyers of Rp22.7bn that day.</w:t>
            </w:r>
          </w:p>
        </w:tc>
      </w:tr>
      <w:tr>
        <w:trPr>
          <w:cantSplit/>
          <w:tblHeader w:val="false"/>
        </w:trPr>
        <w:tc>
          <w:tcPr>
            <w:tcW w:type="dxa" w:w="1900"/>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left"/>
            </w:pPr>
            <w:r>
              <w:rPr>
                <w:sz w:val="18"/>
                <w:szCs w:val="18"/>
              </w:rPr>
              <w:t xml:space="preserve">Foreign institutions</w:t>
            </w:r>
          </w:p>
        </w:tc>
        <w:tc>
          <w:tcPr>
            <w:tcW w:type="dxa" w:w="3869"/>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left"/>
            </w:pPr>
            <w:r>
              <w:rPr>
                <w:sz w:val="18"/>
                <w:szCs w:val="18"/>
              </w:rPr>
              <w:t xml:space="preserve">Exiting, mainly through index-driven selling.</w:t>
            </w:r>
          </w:p>
        </w:tc>
        <w:tc>
          <w:tcPr>
            <w:tcW w:type="dxa" w:w="3869"/>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left"/>
            </w:pPr>
            <w:r>
              <w:rPr>
                <w:sz w:val="18"/>
                <w:szCs w:val="18"/>
              </w:rPr>
              <w:t xml:space="preserve">Largest foreign net sell on IDX on 1–2 Sep; foreign investors are net sellers of Indonesian equities year to date.</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Policy makers</w:t>
            </w:r>
          </w:p>
        </w:tc>
        <w:tc>
          <w:tcPr>
            <w:tcW w:type="dxa" w:w="3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Mixed. Pro-driver regulation, while the state fund buys the shares.</w:t>
            </w:r>
          </w:p>
        </w:tc>
        <w:tc>
          <w:tcPr>
            <w:tcW w:type="dxa" w:w="3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Perpres 27/2026; Danantara accumulating; KPPU warns that a merged entity would hold &gt;90% of the market.</w:t>
            </w:r>
          </w:p>
        </w:tc>
      </w:tr>
    </w:tbl>
    <w:p>
      <w:pPr>
        <w:spacing w:after="80"/>
      </w:pPr>
    </w:p>
    <w:p>
      <w:pPr>
        <w:spacing w:after="140" w:line="284"/>
        <w:jc w:val="both"/>
      </w:pPr>
      <w:r>
        <w:rPr>
          <w:b/>
          <w:bCs/>
        </w:rPr>
        <w:t xml:space="preserve">Reading the divergence.</w:t>
      </w:r>
      <w:r>
        <w:t xml:space="preserve"> A unanimous sell-side next to fearful media and capitulating retail investors is a classic setup for a contrarian buyer. It also leaves analysts exposed if the regulation spreads. Sell-side targets were set before the floor change and have not yet been revised to reflect where the shares actually clear, so an average target of Rp78.5 should be read as a lagging indicator, not a forecast.</w:t>
      </w:r>
    </w:p>
    <w:p>
      <w:pPr>
        <w:pStyle w:val="Heading1"/>
      </w:pPr>
      <w:r>
        <w:t xml:space="preserve">5. The bull–bear debate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0F4C5C" w:color="auto" w:val="clear"/>
            <w:tcMar>
              <w:top w:type="dxa" w:w="60"/>
              <w:left w:type="dxa" w:w="100"/>
              <w:bottom w:type="dxa" w:w="60"/>
              <w:right w:type="dxa" w:w="100"/>
            </w:tcMar>
          </w:tcPr>
          <w:p>
            <w:pPr>
              <w:jc w:val="left"/>
            </w:pPr>
            <w:r>
              <w:rPr>
                <w:b/>
                <w:bCs/>
                <w:color w:val="FFFFFF"/>
                <w:sz w:val="18"/>
                <w:szCs w:val="18"/>
              </w:rPr>
              <w:t xml:space="preserve">Bull case</w:t>
            </w:r>
          </w:p>
        </w:tc>
        <w:tc>
          <w:tcPr>
            <w:tcW w:type="dxa" w:w="4819"/>
            <w:tcBorders>
              <w:top w:val="single" w:color="BFBFBF" w:sz="4"/>
              <w:left w:val="single" w:color="BFBFBF" w:sz="4"/>
              <w:bottom w:val="single" w:color="BFBFBF" w:sz="4"/>
              <w:right w:val="single" w:color="BFBFBF" w:sz="4"/>
            </w:tcBorders>
            <w:shd w:fill="0F4C5C" w:color="auto" w:val="clear"/>
            <w:tcMar>
              <w:top w:type="dxa" w:w="60"/>
              <w:left w:type="dxa" w:w="100"/>
              <w:bottom w:type="dxa" w:w="60"/>
              <w:right w:type="dxa" w:w="100"/>
            </w:tcMar>
          </w:tcPr>
          <w:p>
            <w:pPr>
              <w:jc w:val="left"/>
            </w:pPr>
            <w:r>
              <w:rPr>
                <w:b/>
                <w:bCs/>
                <w:color w:val="FFFFFF"/>
                <w:sz w:val="18"/>
                <w:szCs w:val="18"/>
              </w:rPr>
              <w:t xml:space="preserve">Bear case</w:t>
            </w:r>
          </w:p>
        </w:tc>
      </w:tr>
      <w:tr>
        <w:trPr>
          <w:cantSplit/>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Group EBITDA guidance unchanged despite the cap; 1H26 already delivered ~57–60% of the full-year range.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Guidance implies 2H26 EBITDA ~30% below the 2Q run-rate. The cap's real effect only shows from 3Q.</w:t>
            </w:r>
          </w:p>
        </w:tc>
      </w:tr>
      <w:tr>
        <w:trPr>
          <w:cantSplit/>
          <w:tblHeader w:val="false"/>
        </w:trPr>
        <w:tc>
          <w:tcPr>
            <w:tcW w:type="dxa" w:w="4819"/>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left"/>
            </w:pPr>
            <w:r>
              <w:rPr>
                <w:sz w:val="18"/>
                <w:szCs w:val="18"/>
              </w:rPr>
              <w:t xml:space="preserve">Fintech EBITDA now exceeds ODS and was guided up by Rp300bn.</w:t>
            </w:r>
          </w:p>
        </w:tc>
        <w:tc>
          <w:tcPr>
            <w:tcW w:type="dxa" w:w="4819"/>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left"/>
            </w:pPr>
            <w:r>
              <w:rPr>
                <w:sz w:val="18"/>
                <w:szCs w:val="18"/>
              </w:rPr>
              <w:t xml:space="preserve">Fintech faces OJK paylater rules, rapid loan growth and a Grab-funded Atome as a direct competitor.</w:t>
            </w:r>
          </w:p>
        </w:tc>
      </w:tr>
      <w:tr>
        <w:trPr>
          <w:cantSplit/>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Cash of Rp23.5tn ≈ 73% of market value; positive free cash flow.</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Cash is gross, not net; the share of it that is truly free has not been established.</w:t>
            </w:r>
          </w:p>
        </w:tc>
      </w:tr>
      <w:tr>
        <w:trPr>
          <w:cantSplit/>
          <w:tblHeader w:val="false"/>
        </w:trPr>
        <w:tc>
          <w:tcPr>
            <w:tcW w:type="dxa" w:w="4819"/>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left"/>
            </w:pPr>
            <w:r>
              <w:rPr>
                <w:sz w:val="18"/>
                <w:szCs w:val="18"/>
              </w:rPr>
              <w:t xml:space="preserve">Most of the fall since September is mechanical: index deletion, then removal of the Rp50 floor.</w:t>
            </w:r>
          </w:p>
        </w:tc>
        <w:tc>
          <w:tcPr>
            <w:tcW w:type="dxa" w:w="4819"/>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left"/>
            </w:pPr>
            <w:r>
              <w:rPr>
                <w:sz w:val="18"/>
                <w:szCs w:val="18"/>
              </w:rPr>
              <w:t xml:space="preserve">The overhang is larger than the MSCI estimate and still clearing; no committed anchor buyer has been identified.</w:t>
            </w:r>
          </w:p>
        </w:tc>
      </w:tr>
      <w:tr>
        <w:trPr>
          <w:cantSplit/>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Treasury cancellation removes planned ESOP dilution; Danantara is accumulating.</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The cap could extend to GoCar, GoFood and GoSend, and Perpres social-security costs are new.</w:t>
            </w:r>
          </w:p>
        </w:tc>
      </w:tr>
      <w:tr>
        <w:trPr>
          <w:cantSplit/>
          <w:tblHeader w:val="false"/>
        </w:trPr>
        <w:tc>
          <w:tcPr>
            <w:tcW w:type="dxa" w:w="4819"/>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left"/>
            </w:pPr>
            <w:r>
              <w:rPr>
                <w:sz w:val="18"/>
                <w:szCs w:val="18"/>
              </w:rPr>
              <w:t xml:space="preserve">Consensus target ~Rp75–79, about 2.7x the current price.</w:t>
            </w:r>
          </w:p>
        </w:tc>
        <w:tc>
          <w:tcPr>
            <w:tcW w:type="dxa" w:w="4819"/>
            <w:tcBorders>
              <w:top w:val="single" w:color="BFBFBF" w:sz="4"/>
              <w:left w:val="single" w:color="BFBFBF" w:sz="4"/>
              <w:bottom w:val="single" w:color="BFBFBF" w:sz="4"/>
              <w:right w:val="single" w:color="BFBFBF" w:sz="4"/>
            </w:tcBorders>
            <w:shd w:fill="F5F8F9" w:color="auto" w:val="clear"/>
            <w:tcMar>
              <w:top w:type="dxa" w:w="60"/>
              <w:left w:type="dxa" w:w="100"/>
              <w:bottom w:type="dxa" w:w="60"/>
              <w:right w:type="dxa" w:w="100"/>
            </w:tcMar>
          </w:tcPr>
          <w:p>
            <w:pPr>
              <w:jc w:val="left"/>
            </w:pPr>
            <w:r>
              <w:rPr>
                <w:sz w:val="18"/>
                <w:szCs w:val="18"/>
              </w:rPr>
              <w:t xml:space="preserve">Targets are stale. Merger optionality is binary and faces KPPU's concerns about market concentration.</w:t>
            </w:r>
          </w:p>
        </w:tc>
      </w:tr>
    </w:tbl>
    <w:p>
      <w:pPr>
        <w:spacing w:after="80"/>
      </w:pPr>
    </w:p>
    <w:p>
      <w:pPr>
        <w:pStyle w:val="Heading2"/>
      </w:pPr>
      <w:r>
        <w:t xml:space="preserve">What would settle it</w:t>
      </w:r>
    </w:p>
    <w:p>
      <w:pPr>
        <w:pStyle w:val="ListParagraph"/>
        <w:numPr>
          <w:ilvl w:val="0"/>
          <w:numId w:val="2"/>
        </w:numPr>
        <w:spacing w:after="70" w:line="270"/>
      </w:pPr>
      <w:r>
        <w:rPr>
          <w:b/>
          <w:bCs/>
        </w:rPr>
        <w:t xml:space="preserve">3Q26 results (late October/November).</w:t>
      </w:r>
      <w:r>
        <w:t xml:space="preserve"> The first full quarter under the 8% cap. Compare ODS EBITDA with the run-rate implied by guidance, and check whether Fintech is still compounding.</w:t>
      </w:r>
    </w:p>
    <w:p>
      <w:pPr>
        <w:pStyle w:val="ListParagraph"/>
        <w:numPr>
          <w:ilvl w:val="0"/>
          <w:numId w:val="2"/>
        </w:numPr>
        <w:spacing w:after="70" w:line="270"/>
      </w:pPr>
      <w:r>
        <w:rPr>
          <w:b/>
          <w:bCs/>
        </w:rPr>
        <w:t xml:space="preserve">Regulation.</w:t>
      </w:r>
      <w:r>
        <w:t xml:space="preserve"> Any draft extending the cap to four-wheel rides or food delivery would be the most damaging single event. Conversely, an explicit statement that the cap stays limited to two-wheel rides would remove the biggest tail risk.</w:t>
      </w:r>
    </w:p>
    <w:p>
      <w:pPr>
        <w:pStyle w:val="ListParagraph"/>
        <w:numPr>
          <w:ilvl w:val="0"/>
          <w:numId w:val="2"/>
        </w:numPr>
        <w:spacing w:after="70" w:line="270"/>
      </w:pPr>
      <w:r>
        <w:rPr>
          <w:b/>
          <w:bCs/>
        </w:rPr>
        <w:t xml:space="preserve">Market plumbing.</w:t>
      </w:r>
      <w:r>
        <w:t xml:space="preserve"> The sell queue shrinking and the first session that does not hit the lower limit would mark the end of forced selling. Watch also for further negotiated blocks, and for who is on the buying side.</w:t>
      </w:r>
    </w:p>
    <w:p>
      <w:pPr>
        <w:pStyle w:val="ListParagraph"/>
        <w:numPr>
          <w:ilvl w:val="0"/>
          <w:numId w:val="2"/>
        </w:numPr>
        <w:spacing w:after="70" w:line="270"/>
      </w:pPr>
      <w:r>
        <w:rPr>
          <w:b/>
          <w:bCs/>
        </w:rPr>
        <w:t xml:space="preserve">EGMS on 14 October.</w:t>
      </w:r>
      <w:r>
        <w:t xml:space="preserve"> Approval of the cancellation, and who the departing director is.</w:t>
      </w:r>
    </w:p>
    <w:p>
      <w:pPr>
        <w:pStyle w:val="ListParagraph"/>
        <w:numPr>
          <w:ilvl w:val="0"/>
          <w:numId w:val="2"/>
        </w:numPr>
        <w:spacing w:after="70" w:line="270"/>
      </w:pPr>
      <w:r>
        <w:rPr>
          <w:b/>
          <w:bCs/>
        </w:rPr>
        <w:t xml:space="preserve">Balance sheet.</w:t>
      </w:r>
      <w:r>
        <w:t xml:space="preserve"> Net cash after borrowings, excluding any customer funds. This decides whether the "cash ≈ 73% of market cap" point holds.</w:t>
      </w:r>
    </w:p>
    <w:p>
      <w:pPr>
        <w:pStyle w:val="Heading1"/>
      </w:pPr>
      <w:r>
        <w:t xml:space="preserve">6. Source reliability and conflicting figures</w:t>
      </w:r>
    </w:p>
    <w:p>
      <w:pPr>
        <w:pStyle w:val="ListParagraph"/>
        <w:numPr>
          <w:ilvl w:val="0"/>
          <w:numId w:val="2"/>
        </w:numPr>
        <w:spacing w:after="70" w:line="270"/>
      </w:pPr>
      <w:r>
        <w:rPr>
          <w:b/>
          <w:bCs/>
        </w:rPr>
        <w:t xml:space="preserve">Morgan Stanley block size:</w:t>
      </w:r>
      <w:r>
        <w:t xml:space="preserve"> 21.67bn (Kontan, Warta Ekonomi) versus 21.92bn (CNBC Indonesia and Morgan Stanley's own disclosure). Use 21.9bn, which comes from the filing.</w:t>
      </w:r>
    </w:p>
    <w:p>
      <w:pPr>
        <w:pStyle w:val="ListParagraph"/>
        <w:numPr>
          <w:ilvl w:val="0"/>
          <w:numId w:val="2"/>
        </w:numPr>
        <w:spacing w:after="70" w:line="270"/>
      </w:pPr>
      <w:r>
        <w:rPr>
          <w:b/>
          <w:bCs/>
        </w:rPr>
        <w:t xml:space="preserve">Date first stuck at Rp50:</w:t>
      </w:r>
      <w:r>
        <w:t xml:space="preserve"> 8 May 2026 in retail media versus "since the close of 13 May" in MSCI's wording. Use MSCI's date for the index argument.</w:t>
      </w:r>
    </w:p>
    <w:p>
      <w:pPr>
        <w:pStyle w:val="ListParagraph"/>
        <w:numPr>
          <w:ilvl w:val="0"/>
          <w:numId w:val="2"/>
        </w:numPr>
        <w:spacing w:after="70" w:line="270"/>
      </w:pPr>
      <w:r>
        <w:rPr>
          <w:b/>
          <w:bCs/>
        </w:rPr>
        <w:t xml:space="preserve">Date of the Rp32 close:</w:t>
      </w:r>
      <w:r>
        <w:t xml:space="preserve"> one outlet says Tuesday 29 September; Kontan says three straight days, which makes it 30 September. Kontan's sequence fits the day-by-day prices.</w:t>
      </w:r>
    </w:p>
    <w:p>
      <w:pPr>
        <w:pStyle w:val="ListParagraph"/>
        <w:numPr>
          <w:ilvl w:val="0"/>
          <w:numId w:val="2"/>
        </w:numPr>
        <w:spacing w:after="70" w:line="270"/>
      </w:pPr>
      <w:r>
        <w:rPr>
          <w:b/>
          <w:bCs/>
        </w:rPr>
        <w:t xml:space="preserve">BRI Danareksa's 2027 ODS forecast:</w:t>
      </w:r>
      <w:r>
        <w:t xml:space="preserve"> an aggregator reported "Rp672bn, down 63%". We could not confirm it, and Rp672bn is also GOTO's 4Q25 group EBITDA figure, so the number may have been mixed up. Do not cite it.</w:t>
      </w:r>
    </w:p>
    <w:p>
      <w:pPr>
        <w:pStyle w:val="ListParagraph"/>
        <w:numPr>
          <w:ilvl w:val="0"/>
          <w:numId w:val="2"/>
        </w:numPr>
        <w:spacing w:after="70" w:line="270"/>
      </w:pPr>
      <w:r>
        <w:rPr>
          <w:b/>
          <w:bCs/>
        </w:rPr>
        <w:t xml:space="preserve">GoRide ≈ 7% of net revenue</w:t>
      </w:r>
      <w:r>
        <w:t xml:space="preserve"> and the ~Rp1tn MSCI outflow are broker or company estimates, not audited figures.</w:t>
      </w:r>
    </w:p>
    <w:p>
      <w:pPr>
        <w:pStyle w:val="ListParagraph"/>
        <w:numPr>
          <w:ilvl w:val="0"/>
          <w:numId w:val="2"/>
        </w:numPr>
        <w:spacing w:after="70" w:line="270"/>
      </w:pPr>
      <w:r>
        <w:rPr>
          <w:b/>
          <w:bCs/>
        </w:rPr>
        <w:t xml:space="preserve">Unreliable sources:</w:t>
      </w:r>
      <w:r>
        <w:t xml:space="preserve"> blogs such as receh.in carried outdated claims, for example that the Perpres was still pending. Aggregator targets (Simply Wall St, Traders Union) lag events. Neither is used above.</w:t>
      </w:r>
    </w:p>
    <w:p>
      <w:pPr>
        <w:spacing w:after="180" w:before="60"/>
      </w:pPr>
      <w:r>
        <w:rPr>
          <w:i/>
          <w:iCs/>
          <w:color w:val="595959"/>
          <w:sz w:val="17"/>
          <w:szCs w:val="17"/>
        </w:rPr>
        <w:t xml:space="preserve">Method: claims were cross-checked through web searches of primary filings and tier-1 Indonesian and international media on 1 October 2026. Many Indonesian news pages could not be opened directly from this environment, so some figures rely on the publishers' own search summaries; these are marked by source above. Not investment advice.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Calibri" w:cs="Calibri" w:eastAsia="Calibri" w:hAnsi="Calibri"/>
      <w:b/>
      <w:bCs/>
      <w:color w:val="0F4C5C"/>
      <w:sz w:val="36"/>
      <w:szCs w:val="36"/>
    </w:rPr>
  </w:style>
  <w:style w:type="paragraph" w:styleId="Heading1">
    <w:name w:val="Heading 1"/>
    <w:basedOn w:val="Normal"/>
    <w:next w:val="Normal"/>
    <w:qFormat/>
    <w:pPr>
      <w:keepNext/>
      <w:spacing w:after="120" w:before="280"/>
      <w:outlineLvl w:val="0"/>
    </w:pPr>
    <w:rPr>
      <w:rFonts w:ascii="Calibri" w:cs="Calibri" w:eastAsia="Calibri" w:hAnsi="Calibri"/>
      <w:b/>
      <w:bCs/>
      <w:color w:val="0F4C5C"/>
      <w:sz w:val="28"/>
      <w:szCs w:val="28"/>
    </w:rPr>
  </w:style>
  <w:style w:type="paragraph" w:styleId="Heading2">
    <w:name w:val="Heading 2"/>
    <w:basedOn w:val="Normal"/>
    <w:next w:val="Normal"/>
    <w:qFormat/>
    <w:pPr>
      <w:keepNext/>
      <w:spacing w:after="90" w:before="20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tcoinwnffa78ca_2_8_c" Type="http://schemas.openxmlformats.org/officeDocument/2006/relationships/hyperlink" Target="https://www.gotocompany.com/en/news/press/gojek-to-implement-8-commission-rate-for-two-wheel-passenger-transport-service-goride-starting-july-1-2026" TargetMode="External"/><Relationship Id="rIdssjv2roexcxznvg3j1naw" Type="http://schemas.openxmlformats.org/officeDocument/2006/relationships/hyperlink" Target="https://jakartaglobe.id/business/indonesia-caps-ridehailing-commissions-at-8-to-protect-drivers" TargetMode="External"/><Relationship Id="rIdmhd3391w_rgfe5kjjbknp" Type="http://schemas.openxmlformats.org/officeDocument/2006/relationships/hyperlink" Target="https://www.investing.com/news/transcripts/earnings-call-transcript-goto-posts-second-straight-profit-in-q2-2026-93CH-4820309" TargetMode="External"/><Relationship Id="rId3-doghbjnwmsff6oanyru" Type="http://schemas.openxmlformats.org/officeDocument/2006/relationships/hyperlink" Target="https://fintechnews.id/110455/fintech/goto-group-fintech-profit-q2-2026/" TargetMode="External"/><Relationship Id="rIdngf0v079saizq3r2irkda" Type="http://schemas.openxmlformats.org/officeDocument/2006/relationships/hyperlink" Target="https://www.asiaone.com/money/msci-drop-ride-hailing-firm-goto-indonesia-index-liquidity-concerns" TargetMode="External"/><Relationship Id="rIdad23vyjfl0d08hukueejo" Type="http://schemas.openxmlformats.org/officeDocument/2006/relationships/hyperlink" Target="https://sekuritas.miraeasset.co.id/news/latest/msci-removes-goto-and-downgrades-cpin-mirae-asset-sekuritas-estimates-potential-outflows-of-up-to-rp1-trillion" TargetMode="External"/><Relationship Id="rIdvx0dhk6p3r4qcb3iqky04" Type="http://schemas.openxmlformats.org/officeDocument/2006/relationships/hyperlink" Target="https://www.cnbcindonesia.com/market/20260908083319-17-766031/morgan-stanley-serok-rp-547-miliar-saham-goto-di-harga-rp25" TargetMode="External"/><Relationship Id="rId8sqic_zk6zu3soha_ykoo" Type="http://schemas.openxmlformats.org/officeDocument/2006/relationships/hyperlink" Target="https://www.cnbcindonesia.com/market/20260911092844-17-767126/habis-borong-morgan-stanley-lego-74-miliar-saham-goto-di-harga-rp25" TargetMode="External"/><Relationship Id="rIdm4cx3neirj_g4my4pdfoi" Type="http://schemas.openxmlformats.org/officeDocument/2006/relationships/hyperlink" Target="https://insight.kontan.co.id/news/saham-goto-melorot-tiga-hari-beruntun-ke-rp-32-antrean-jual-masih-mengular" TargetMode="External"/><Relationship Id="rIdfg1sdizkbiurkxiw9bywz" Type="http://schemas.openxmlformats.org/officeDocument/2006/relationships/hyperlink" Target="https://investortrust.id/market/118012/begini-proyeksi-harga-saham-goto-goto-usai-lepas-dari-jerat-gocap" TargetMode="External"/><Relationship Id="rIdenc-nu0cnt_zwaqw8bkkk" Type="http://schemas.openxmlformats.org/officeDocument/2006/relationships/hyperlink" Target="https://www.sec.gov/Archives/edgar/data/0001855612/000185561226000133/a6-kxatometransactionannou.htm" TargetMode="External"/><Relationship Id="rIdf3y9xxdcvb9tfife2-0kt" Type="http://schemas.openxmlformats.org/officeDocument/2006/relationships/hyperlink" Target="https://www.gotocompany.com/en/news/press/goto-to-enhance-shareholder-value-by-seeking-treasury-share-cancellation-at-egms" TargetMode="External"/><Relationship Id="rIdojf34i55m7g0nwhiezp24" Type="http://schemas.openxmlformats.org/officeDocument/2006/relationships/hyperlink" Target="https://www.idnfinancials.com/news/69247/goto-caps-egm-attendance-at-80-for-two-key-agenda-items" TargetMode="External"/><Relationship Id="rIde0nuqep0pixh1iyd4z_dl" Type="http://schemas.openxmlformats.org/officeDocument/2006/relationships/hyperlink" Target="https://www.cnbcindonesia.com/market/20260911092844-17-767126/habis-borong-morgan-stanley-lego-74-miliar-saham-goto-di-harga-rp25" TargetMode="External"/><Relationship Id="rIdyl7db7jkcqrrgckkhppnh" Type="http://schemas.openxmlformats.org/officeDocument/2006/relationships/hyperlink" Target="https://wartaekonomi.co.id/read635158/morgan-stanley-bongkar-pasang-saham-goto-di-harga-rp25-rp29-niali-transaksi-capai-rp837-miliar" TargetMode="External"/><Relationship Id="rIdj-gcry-cqoxh5simitfgy" Type="http://schemas.openxmlformats.org/officeDocument/2006/relationships/hyperlink" Target="https://katadata.co.id/finansial/bursa/6aa25d688b219/akrobat-morgan-stanley-jual-beli-saham-goto-di-rp-25-potensi-jadi-harga-acuan" TargetMode="External"/><Relationship Id="rIdy1jfaqfpntdqk3abu8l7n" Type="http://schemas.openxmlformats.org/officeDocument/2006/relationships/hyperlink" Target="https://www.investing.com/news/transcripts/earnings-call-transcript-goto-posts-second-straight-profit-in-q2-2026-93CH-4820309" TargetMode="External"/><Relationship Id="rIdu74xtu32fyuysq-h8ixni" Type="http://schemas.openxmlformats.org/officeDocument/2006/relationships/hyperlink" Target="https://jakartaglobe.id/tech/danantara-buys-less-than-1-stake-in-goto" TargetMode="External"/><Relationship Id="rIdsvfnwqqhb86f2xvkp1rgy" Type="http://schemas.openxmlformats.org/officeDocument/2006/relationships/hyperlink" Target="https://www.thejakartapost.com/business/2026/05/12/danantara-eyes-bigger-stake-in-goto" TargetMode="External"/><Relationship Id="rId5lfdau34do_qnxwb9p1vq" Type="http://schemas.openxmlformats.org/officeDocument/2006/relationships/hyperlink" Target="https://investortrust.id/market/118012/begini-proyeksi-harga-saham-goto-goto-usai-lepas-dari-jerat-gocap" TargetMode="External"/><Relationship Id="rIdyq7ybuq9krr_ag7xmt5tj" Type="http://schemas.openxmlformats.org/officeDocument/2006/relationships/hyperlink" Target="https://market.bisnis.com/read/20260730/189/1992489/cetak-laba-beruntun-cek-prospek-target-harga-saham-goto-terbaru" TargetMode="External"/><Relationship Id="rId2onwxit9rgwxl88ay71n7" Type="http://schemas.openxmlformats.org/officeDocument/2006/relationships/hyperlink" Target="https://katadata.co.id/finansial/bursa/6a477bc906b67/perpres-komisi-8-berlaku-analis-turunkan-target-saham-goto-10-poin" TargetMode="External"/><Relationship Id="rIdwi6isswb39givometndzn" Type="http://schemas.openxmlformats.org/officeDocument/2006/relationships/hyperlink" Target="https://ekonomi.bisnis.com/read/20260707/98/1986231/alasan-potongan-komisi-8-belum-berlaku-untuk-taksi-online-dan-kurir" TargetMode="External"/><Relationship Id="rIdosqexhhmajnj9qndni-a-" Type="http://schemas.openxmlformats.org/officeDocument/2006/relationships/hyperlink" Target="https://www.cnbcindonesia.com/tech/20260818163844-37-760368/menteri-menteri-kumpul-bahas-nasib-grabfood-gofood-begini-katanya" TargetMode="External"/><Relationship Id="rIdvikmgyf8j8csqtyki23lq" Type="http://schemas.openxmlformats.org/officeDocument/2006/relationships/hyperlink" Target="https://jakartaglobe.id/business/indonesia-caps-ridehailing-commissions-at-8-to-protect-drivers" TargetMode="External"/><Relationship Id="rId1x9hmitdwftq5hlocr0zm" Type="http://schemas.openxmlformats.org/officeDocument/2006/relationships/hyperlink" Target="https://investor.id/market/456218/saham-goto-rp-28-perak-mulai-ramai-diborong" TargetMode="External"/><Relationship Id="rId4hvqwdjjpim5a3ueklcoc" Type="http://schemas.openxmlformats.org/officeDocument/2006/relationships/hyperlink" Target="https://fintechnews.id/110330/lending/ojk-indonesia-bnpl-paylater-regulations-limits/" TargetMode="External"/><Relationship Id="rId7dvwuuiwwc6dmgthpr2tm" Type="http://schemas.openxmlformats.org/officeDocument/2006/relationships/hyperlink" Target="https://www.suara.com/bisnis/2026/09/28/145618/antrean-jual-saham-goto-tembus-1-miliar-lot" TargetMode="External"/><Relationship Id="rIdvyjrwwaaaklir2kswurtq" Type="http://schemas.openxmlformats.org/officeDocument/2006/relationships/hyperlink" Target="https://www.cnbcindonesia.com/market/20260903060225-17-764501/asing-balik-jualan-diam-diam-jauhi-saham-ini/amp" TargetMode="External"/><Relationship Id="rIdy7glwfyy4se0vjtqxd7cg" Type="http://schemas.openxmlformats.org/officeDocument/2006/relationships/hyperlink" Target="https://investor.id/market/456084/goto-bisa-tiba-di-rp-1-dalam-4-pekan-jika-terus-arb" TargetMode="External"/><Relationship Id="rIddjb6fz3ryf2copwmnwlbp" Type="http://schemas.openxmlformats.org/officeDocument/2006/relationships/hyperlink" Target="https://magpieiq.com/insights/tokopedia-market-share-indonesia/" TargetMode="External"/><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GOTO: Checking the Thesis Against the Evidence</dc:title>
  <dc:creator>Un-named</dc:creator>
  <cp:lastModifiedBy>Un-named</cp:lastModifiedBy>
  <cp:revision>1</cp:revision>
  <dcterms:created xsi:type="dcterms:W3CDTF">2026-10-01T09:30:13.129Z</dcterms:created>
  <dcterms:modified xsi:type="dcterms:W3CDTF">2026-10-01T09:30:13.129Z</dcterms:modified>
</cp:coreProperties>
</file>

<file path=docProps/custom.xml><?xml version="1.0" encoding="utf-8"?>
<Properties xmlns="http://schemas.openxmlformats.org/officeDocument/2006/custom-properties" xmlns:vt="http://schemas.openxmlformats.org/officeDocument/2006/docPropsVTypes"/>
</file>