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Exit ULTJ, Buy GOTO (2 October 2026)</w:t>
      </w:r>
    </w:p>
    <w:p>
      <w:r>
        <w:t>We are selling our ULTJ holding and buying GOTO. ULTJ's shareholders will meet on 27 October to vote on a rights issue at Rp2,150 to buy Frisian Flag Indonesia and on an extra dividend. FrieslandCampina would then become the controller and make a tender offer at no less than Rp2,150 in early 2027. The dividend and any premium on the tender offer price are still undecided, the share price is already near Rp2,150, and the company's direction after the deal is unclear. We prefer to take our gains now.</w:t>
      </w:r>
    </w:p>
    <w:p>
      <w:r>
        <w:t>GOTO's fall is mostly forced selling. The stock was stuck at the Rp50 minimum price from mid-May and became illiquid, so MSCI and FTSE removed it from their indices and index funds had to sell. Once the exchange cut the minimum price to Rp1 on 28 September, the queued selling went through and the stock fell to Rp28. Margin calls may have added to the pressure.</w:t>
      </w:r>
    </w:p>
    <w:p>
      <w:r>
        <w:t>The business keeps improving. In 2Q26 net revenue grew 31% to Rp5.7tn and net profit was Rp252bn, the second profitable quarter in a row. Management expects operating profit, before currency and Tokopedia valuation effects, to stay positive. Cash of Rp23.5tn covers about 73% of the Rp32tn market value. The 8% commission cap on drivers affects GoRide, only about 7% of revenue, and the company earns most of its profit elsewhere.</w:t>
      </w:r>
    </w:p>
    <w:p>
      <w:r>
        <w:t>Key risks are wider regulation and continued volatility. We believe forced selling has pushed GOTO well below fair value and see this as a good entry point.</w:t>
      </w:r>
    </w:p>
    <w:p>
      <w:r>
        <w:rPr>
          <w:i/>
          <w:sz w:val="17"/>
        </w:rPr>
        <w:t>Sources: ULTJ disclosures; GoTo 2Q26 results; MSCI; Kompas; Katadata. Prices as of 2 October 2026. Not investment advice.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