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Exit ULTJ, Buy GOTO (2 October 2026)</w:t>
      </w:r>
    </w:p>
    <w:p>
      <w:r>
        <w:t>We are selling our full ULTJ holding and moving the proceeds into GOTO. ULTJ still has events ahead, but its future after the Frisian Flag deal is unclear. GOTO has fallen for technical reasons, and the business itself keeps improving.</w:t>
      </w:r>
    </w:p>
    <w:p>
      <w:r>
        <w:t>ULTJ will hold a shareholder meeting on 27 October. Shareholders will vote on a rights issue of up to 7.87bn shares at Rp2,150, which will fund the ~Rp14.6tn purchase of Frisian Flag Indonesia, and on an additional cash dividend. FrieslandCampina would become the controlling shareholder and must then make a tender offer to other shareholders at no less than Rp2,150, targeted for early 2027. A higher tender offer price and the extra dividend are both possible, but neither is decided, and the share price already rose close to Rp2,150 when the deal was announced. After the deal ULTJ will have a much larger share count, a much larger business and a new owner whose plans are not yet known. We would rather take our gains now than tie up capital until 2027 for a small and uncertain gain.</w:t>
      </w:r>
    </w:p>
    <w:p>
      <w:r>
        <w:t>GOTO's fall is mostly forced selling. From mid-May the stock was stuck at Rp50, the exchange's minimum price, and became illiquid. MSCI therefore removed it from its index on 31 August, and FTSE has also removed it. Index funds must sell whatever the price, and Mirae estimated outflows of up to Rp1tn. With no buyers allowed below Rp50, these orders built up in a queue. When the exchange lowered the minimum price to Rp1 on 28 September, the queued selling went through and the stock fell to Rp28. Some investors who bought with borrowed money may also have been forced to sell (margin calls). Management describes the fall as technical, not a reflection of the business.</w:t>
      </w:r>
    </w:p>
    <w:p>
      <w:r>
        <w:t>The business tells a different story. In 2Q26 net revenue grew 31% to Rp5.7tn, adjusted EBITDA rose 137% to more than Rp1tn, and net profit was Rp252bn, the second profitable quarter in a row. Management expects operating profit, which excludes currency movements and changes in the value of its Tokopedia stake, to stay positive, so the profit comes from the business itself. GOTO held Rp23.5tn of cash in June. At Rp28 the company is worth about Rp32tn, so cash covers roughly 73% of its market value before borrowings.</w:t>
      </w:r>
    </w:p>
    <w:p>
      <w:r>
        <w:t>Concern over driver regulation is understandable but, in our view, not material. The new 8% commission cap applies to two-wheel rides (GoRide), which are only about 7% of group net revenue. The company has already cut its guidance for this by about Rp300bn, and it earns most of its profit elsewhere: payments and lending now earn more than Gojek, alongside food and parcel delivery and merchant services.</w:t>
      </w:r>
    </w:p>
    <w:p>
      <w:r>
        <w:t>The main risks are that regulation extends to GoCar or GoFood, a softer second half, and continued volatility while the remaining sellers exit. We think forced, price-insensitive selling has pushed GOTO well below its fair value and that this is a good entry point.</w:t>
      </w:r>
    </w:p>
    <w:p>
      <w:r>
        <w:rPr>
          <w:i/>
          <w:sz w:val="17"/>
        </w:rPr>
        <w:t>Sources: ULTJ disclosures via Bisnis Indonesia and CNBC Indonesia; GoTo 2Q26 results and earnings call; MSCI via Reuters; Mirae Asset; Kompas; Katadata. Prices as of 2 October 2026. Not investment advice.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