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95959"/>
          <w:sz w:val="18"/>
          <w:szCs w:val="18"/>
        </w:rPr>
        <w:t xml:space="preserve">PT GOTO GOJEK TOKOPEDIA TBK (IDX: GOTO)</w:t>
      </w:r>
    </w:p>
    <w:p>
      <w:pPr>
        <w:pStyle w:val="Title"/>
      </w:pPr>
      <w:r>
        <w:t xml:space="preserve">GOTO: Separating the Noise from the Fundamentals</w:t>
      </w:r>
    </w:p>
    <w:p>
      <w:pPr>
        <w:pBdr>
          <w:bottom w:val="single" w:color="0F4C5C" w:sz="8" w:space="6"/>
        </w:pBdr>
        <w:spacing w:after="240"/>
      </w:pPr>
      <w:r>
        <w:rPr>
          <w:i/>
          <w:iCs/>
          <w:color w:val="595959"/>
          <w:sz w:val="20"/>
          <w:szCs w:val="20"/>
        </w:rPr>
        <w:t xml:space="preserve">What drove the sell-off, what it means for earnings, and why we still see value  |  1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F4C5C" w:sz="24"/>
              <w:bottom w:val="none" w:color="FFFFFF" w:sz="0"/>
              <w:right w:val="none" w:color="FFFFFF" w:sz="0"/>
            </w:tcBorders>
            <w:shd w:fill="E8F0F2" w:color="auto" w:val="clear"/>
            <w:tcMar>
              <w:top w:type="dxa" w:w="160"/>
              <w:left w:type="dxa" w:w="220"/>
              <w:bottom w:type="dxa" w:w="120"/>
              <w:right w:type="dxa" w:w="220"/>
            </w:tcMar>
          </w:tcPr>
          <w:p>
            <w:pPr>
              <w:spacing w:after="100"/>
            </w:pPr>
            <w:r>
              <w:rPr>
                <w:b/>
                <w:bCs/>
                <w:color w:val="0F4C5C"/>
                <w:sz w:val="22"/>
                <w:szCs w:val="22"/>
              </w:rPr>
              <w:t xml:space="preserve">Key takeaways</w:t>
            </w:r>
          </w:p>
          <w:p>
            <w:pPr>
              <w:pStyle w:val="ListParagraph"/>
              <w:numPr>
                <w:ilvl w:val="0"/>
                <w:numId w:val="2"/>
              </w:numPr>
              <w:spacing w:after="80" w:line="276"/>
            </w:pPr>
            <w:r>
              <w:rPr>
                <w:b/>
                <w:bCs/>
              </w:rPr>
              <w:t xml:space="preserve">The sell-off is mostly flow, partly fundamentals.</w:t>
            </w:r>
            <w:r>
              <w:t xml:space="preserve"> A real but contained regulatory hit (GoRide commission cut to 8%) was amplified by forced selling: the MSCI deletion and, most recently, the removal of the Rp50 price floor.</w:t>
            </w:r>
          </w:p>
          <w:p>
            <w:pPr>
              <w:pStyle w:val="ListParagraph"/>
              <w:numPr>
                <w:ilvl w:val="0"/>
                <w:numId w:val="2"/>
              </w:numPr>
              <w:spacing w:after="80" w:line="276"/>
            </w:pPr>
            <w:r>
              <w:rPr>
                <w:b/>
                <w:bCs/>
              </w:rPr>
              <w:t xml:space="preserve">The group earnings hit is modest.</w:t>
            </w:r>
            <w:r>
              <w:t xml:space="preserve"> FY26 ODS adjusted EBITDA guidance was cut by ~Rp300bn, but Group adjusted EBITDA guidance of Rp3.2–3.4tn was maintained as Fintech offsets the damage.</w:t>
            </w:r>
          </w:p>
          <w:p>
            <w:pPr>
              <w:pStyle w:val="ListParagraph"/>
              <w:numPr>
                <w:ilvl w:val="0"/>
                <w:numId w:val="2"/>
              </w:numPr>
              <w:spacing w:after="80" w:line="276"/>
            </w:pPr>
            <w:r>
              <w:rPr>
                <w:b/>
                <w:bCs/>
              </w:rPr>
              <w:t xml:space="preserve">M&amp;A optionality has faded.</w:t>
            </w:r>
            <w:r>
              <w:t xml:space="preserve"> Grab’s US$1.49bn Atome acquisition lowers the near-term urgency of a Grab–GOTO deal; we no longer treat a merger as part of the core thesis.</w:t>
            </w:r>
          </w:p>
          <w:p>
            <w:pPr>
              <w:pStyle w:val="ListParagraph"/>
              <w:numPr>
                <w:ilvl w:val="0"/>
                <w:numId w:val="2"/>
              </w:numPr>
              <w:spacing w:after="80" w:line="276"/>
            </w:pPr>
            <w:r>
              <w:rPr>
                <w:b/>
                <w:bCs/>
              </w:rPr>
              <w:t xml:space="preserve">Operations keep improving.</w:t>
            </w:r>
            <w:r>
              <w:t xml:space="preserve"> 2Q26 Core GTV +83% YoY, adjusted EBITDA +137% YoY and a second consecutive quarterly net profit, with Fintech now the main growth engine.</w:t>
            </w:r>
          </w:p>
          <w:p>
            <w:pPr>
              <w:pStyle w:val="ListParagraph"/>
              <w:numPr>
                <w:ilvl w:val="0"/>
                <w:numId w:val="2"/>
              </w:numPr>
              <w:spacing w:after="80" w:line="276"/>
            </w:pPr>
            <w:r>
              <w:rPr>
                <w:b/>
                <w:bCs/>
              </w:rPr>
              <w:t xml:space="preserve">Valuation looks stretched to the downside.</w:t>
            </w:r>
            <w:r>
              <w:t xml:space="preserve"> We value GOTO at Rp70–90/share. Even after applying a higher regulatory discount, prices in the Rp20s appear to price in far more damage than the earnings revision justifies.</w:t>
            </w:r>
          </w:p>
        </w:tc>
      </w:tr>
    </w:tbl>
    <w:p>
      <w:pPr>
        <w:spacing w:after="200"/>
      </w:pPr>
    </w:p>
    <w:p>
      <w:pPr>
        <w:pStyle w:val="Heading1"/>
      </w:pPr>
      <w:r>
        <w:t xml:space="preserve">1. What Happened to GOTO?</w:t>
      </w:r>
    </w:p>
    <w:p>
      <w:pPr>
        <w:spacing w:after="140" w:line="288"/>
        <w:jc w:val="both"/>
      </w:pPr>
      <w:r>
        <w:t xml:space="preserve">GOTO’s recent share-price weakness reflects three overlapping forces: a regulatory shock to ride-hailing economics, a sequence of technical events that created forced supply, and a fading premium for potential M&amp;A. Only the first has a direct, measurable earnings impact, and that impact is smaller at the group level than the headlines suggest.</w:t>
      </w:r>
    </w:p>
    <w:p>
      <w:pPr>
        <w:pStyle w:val="Heading2"/>
      </w:pPr>
      <w:r>
        <w:t xml:space="preserve">1.1 Regulatory shock: GoRide commission cut</w:t>
      </w:r>
    </w:p>
    <w:p>
      <w:pPr>
        <w:spacing w:after="140" w:line="288"/>
        <w:jc w:val="both"/>
      </w:pPr>
      <w:r>
        <w:t xml:space="preserve">The first and most fundamental concern was the reduction in the commission GoRide may charge on motorcycle ride-hailing from 20% to 8%, effective July 2026. Management acknowledged that GoRide becomes loss-making under the new structure and cut FY26 On-Demand Services (ODS) adjusted EBITDA guidance by around Rp300bn, to Rp1.4–1.5tn.</w:t>
      </w:r>
    </w:p>
    <w:p>
      <w:pPr>
        <w:spacing w:after="140" w:line="288"/>
        <w:jc w:val="both"/>
      </w:pPr>
      <w:r>
        <w:t xml:space="preserve">The group-level impact is more contained. GoRide contributes only around </w:t>
      </w:r>
      <w:r>
        <w:rPr>
          <w:b/>
          <w:bCs/>
        </w:rPr>
        <w:t xml:space="preserve">7% of Group net revenue</w:t>
      </w:r>
      <w:r>
        <w:t xml:space="preserve">, and </w:t>
      </w:r>
      <w:r>
        <w:rPr>
          <w:b/>
          <w:bCs/>
        </w:rPr>
        <w:t xml:space="preserve">Group adjusted EBITDA guidance was maintained at Rp3.2–3.4tn</w:t>
      </w:r>
      <w:r>
        <w:t xml:space="preserve">, as stronger Fintech profitability offsets the weaker ODS economics. The longer-lasting cost may be to sentiment: the decision shows the government is willing to intervene directly in platform economics, which justifies a higher risk premium across the business.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079"/>
        <w:gridCol w:w="2079"/>
        <w:gridCol w:w="2080"/>
      </w:tblGrid>
      <w:tr>
        <w:trPr>
          <w:tblHeader/>
        </w:trPr>
        <w:tc>
          <w:tcPr>
            <w:tcW w:type="dxa" w:w="34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FY26 adjusted EBITDA guidance</w:t>
            </w:r>
          </w:p>
        </w:tc>
        <w:tc>
          <w:tcPr>
            <w:tcW w:type="dxa" w:w="2079"/>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Previous</w:t>
            </w:r>
          </w:p>
        </w:tc>
        <w:tc>
          <w:tcPr>
            <w:tcW w:type="dxa" w:w="2079"/>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Revised</w:t>
            </w:r>
          </w:p>
        </w:tc>
        <w:tc>
          <w:tcPr>
            <w:tcW w:type="dxa" w:w="208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Change</w:t>
            </w:r>
          </w:p>
        </w:tc>
      </w:tr>
      <w:tr>
        <w:trPr>
          <w:tblHeader w:val="false"/>
        </w:trPr>
        <w:tc>
          <w:tcPr>
            <w:tcW w:type="dxa" w:w="3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On-Demand Services (ODS)</w:t>
            </w:r>
          </w:p>
        </w:tc>
        <w:tc>
          <w:tcPr>
            <w:tcW w:type="dxa" w:w="207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~Rp1.7–1.8tn*</w:t>
            </w:r>
          </w:p>
        </w:tc>
        <w:tc>
          <w:tcPr>
            <w:tcW w:type="dxa" w:w="207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Rp1.4–1.5tn</w:t>
            </w:r>
          </w:p>
        </w:tc>
        <w:tc>
          <w:tcPr>
            <w:tcW w:type="dxa" w:w="208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~–Rp300bn</w:t>
            </w:r>
          </w:p>
        </w:tc>
      </w:tr>
      <w:tr>
        <w:trPr>
          <w:tblHeader w:val="false"/>
        </w:trPr>
        <w:tc>
          <w:tcPr>
            <w:tcW w:type="dxa" w:w="34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Group</w:t>
            </w:r>
          </w:p>
        </w:tc>
        <w:tc>
          <w:tcPr>
            <w:tcW w:type="dxa" w:w="207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Rp3.2–3.4tn</w:t>
            </w:r>
          </w:p>
        </w:tc>
        <w:tc>
          <w:tcPr>
            <w:tcW w:type="dxa" w:w="207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Rp3.2–3.4tn</w:t>
            </w:r>
          </w:p>
        </w:tc>
        <w:tc>
          <w:tcPr>
            <w:tcW w:type="dxa" w:w="208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Unchanged</w:t>
            </w:r>
          </w:p>
        </w:tc>
      </w:tr>
    </w:tbl>
    <w:p>
      <w:pPr>
        <w:spacing w:after="200" w:before="60"/>
      </w:pPr>
      <w:r>
        <w:rPr>
          <w:i/>
          <w:iCs/>
          <w:color w:val="595959"/>
          <w:sz w:val="17"/>
          <w:szCs w:val="17"/>
        </w:rPr>
        <w:t xml:space="preserve">*Previous ODS guidance implied from the ~Rp300bn reduction. Source: company guidance.</w:t>
      </w:r>
    </w:p>
    <w:p>
      <w:pPr>
        <w:pStyle w:val="Heading2"/>
      </w:pPr>
      <w:r>
        <w:t xml:space="preserve">1.2 Technical pressure: index deletion and the Rp50 floor</w:t>
      </w:r>
    </w:p>
    <w:p>
      <w:pPr>
        <w:spacing w:after="140" w:line="288"/>
        <w:jc w:val="both"/>
      </w:pPr>
      <w:r>
        <w:t xml:space="preserve">On top of the fundamental news, a series of technical events created large forced supply at a time when the stock had little ability to clear it.</w:t>
      </w:r>
    </w:p>
    <w:p>
      <w:pPr>
        <w:pStyle w:val="ListParagraph"/>
        <w:numPr>
          <w:ilvl w:val="0"/>
          <w:numId w:val="2"/>
        </w:numPr>
        <w:spacing w:after="80" w:line="276"/>
      </w:pPr>
      <w:r>
        <w:rPr>
          <w:b/>
          <w:bCs/>
        </w:rPr>
        <w:t xml:space="preserve">MSCI deletion.</w:t>
      </w:r>
      <w:r>
        <w:t xml:space="preserve"> MSCI removed GOTO from its Indonesia index at the end of August, citing liquidity and replicability concerns while the stock was trapped at the Rp50 minimum price. We estimate the resulting passive selling requirement at around Rp1tn, or roughly 20bn shares at Rp50.</w:t>
      </w:r>
    </w:p>
    <w:p>
      <w:pPr>
        <w:pStyle w:val="ListParagraph"/>
        <w:numPr>
          <w:ilvl w:val="0"/>
          <w:numId w:val="2"/>
        </w:numPr>
        <w:spacing w:after="80" w:line="276"/>
      </w:pPr>
      <w:r>
        <w:rPr>
          <w:b/>
          <w:bCs/>
        </w:rPr>
        <w:t xml:space="preserve">Morgan Stanley negotiated-market purchase.</w:t>
      </w:r>
      <w:r>
        <w:t xml:space="preserve"> Around the same period, Morgan Stanley acquired approximately 21.7bn shares through negotiated-market transactions at around Rp25/share. The volume is close to our estimate of MSCI-related selling, which suggests the trade may have absorbed part of the institutional supply; this is unconfirmed. The price is itself telling: a large block clearing at roughly half the regular-market floor was an early sign of where the stock’s true clearing level sat.</w:t>
      </w:r>
    </w:p>
    <w:p>
      <w:pPr>
        <w:pStyle w:val="ListParagraph"/>
        <w:numPr>
          <w:ilvl w:val="0"/>
          <w:numId w:val="2"/>
        </w:numPr>
        <w:spacing w:after="80" w:line="276"/>
      </w:pPr>
      <w:r>
        <w:rPr>
          <w:b/>
          <w:bCs/>
        </w:rPr>
        <w:t xml:space="preserve">Removal of the price floor.</w:t>
      </w:r>
      <w:r>
        <w:t xml:space="preserve"> When IDX lowered the minimum share price from Rp50 to Rp1 on 28 September, selling that had been unable to clear below Rp50 was released into the market at once, accelerating price discovery.</w:t>
      </w:r>
    </w:p>
    <w:p>
      <w:pPr>
        <w:spacing w:after="140" w:line="288"/>
        <w:jc w:val="both"/>
      </w:pPr>
      <w:r>
        <w:t xml:space="preserve">Much of the move below Rp50 therefore reflects the release of pent-up supply rather than new information about earnings. Once forced selling is exhausted, the share price should re-anchor more closely to fundamentals, although trading is likely to remain volatile while the shareholder base turns over.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Timing</w:t>
            </w:r>
          </w:p>
        </w:tc>
        <w:tc>
          <w:tcPr>
            <w:tcW w:type="dxa" w:w="3869"/>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Event</w:t>
            </w:r>
          </w:p>
        </w:tc>
        <w:tc>
          <w:tcPr>
            <w:tcW w:type="dxa" w:w="3869"/>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Implication</w:t>
            </w:r>
          </w:p>
        </w:tc>
      </w:tr>
      <w:tr>
        <w:trPr>
          <w:tblHeader w:val="false"/>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July 2026</w:t>
            </w:r>
          </w:p>
        </w:tc>
        <w:tc>
          <w:tcPr>
            <w:tcW w:type="dxa" w:w="386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GoRide commission cut from 20% to 8% takes effect</w:t>
            </w:r>
          </w:p>
        </w:tc>
        <w:tc>
          <w:tcPr>
            <w:tcW w:type="dxa" w:w="386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GoRide turns loss-making; ODS EBITDA guidance cut by ~Rp300bn</w:t>
            </w:r>
          </w:p>
        </w:tc>
      </w:tr>
      <w:tr>
        <w:trPr>
          <w:tblHeader w:val="false"/>
        </w:trPr>
        <w:tc>
          <w:tcPr>
            <w:tcW w:type="dxa" w:w="19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End-August 2026</w:t>
            </w:r>
          </w:p>
        </w:tc>
        <w:tc>
          <w:tcPr>
            <w:tcW w:type="dxa" w:w="386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MSCI deletes GOTO from its Indonesia index</w:t>
            </w:r>
          </w:p>
        </w:tc>
        <w:tc>
          <w:tcPr>
            <w:tcW w:type="dxa" w:w="386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~Rp1tn (~20bn shares) of estimated passive selling</w:t>
            </w:r>
          </w:p>
        </w:tc>
      </w:tr>
      <w:tr>
        <w:trPr>
          <w:tblHeader w:val="false"/>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Around the same period</w:t>
            </w:r>
          </w:p>
        </w:tc>
        <w:tc>
          <w:tcPr>
            <w:tcW w:type="dxa" w:w="386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Morgan Stanley buys ~21.7bn shares at ~Rp25 in the negotiated market</w:t>
            </w:r>
          </w:p>
        </w:tc>
        <w:tc>
          <w:tcPr>
            <w:tcW w:type="dxa" w:w="386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May have absorbed part of the passive supply (unconfirmed)</w:t>
            </w:r>
          </w:p>
        </w:tc>
      </w:tr>
      <w:tr>
        <w:trPr>
          <w:tblHeader w:val="false"/>
        </w:trPr>
        <w:tc>
          <w:tcPr>
            <w:tcW w:type="dxa" w:w="19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15 September 2026</w:t>
            </w:r>
          </w:p>
        </w:tc>
        <w:tc>
          <w:tcPr>
            <w:tcW w:type="dxa" w:w="386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Grab agrees to acquire 60% of Atome Financial</w:t>
            </w:r>
          </w:p>
        </w:tc>
        <w:tc>
          <w:tcPr>
            <w:tcW w:type="dxa" w:w="386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Reduces near-term Grab–GOTO merger optionality</w:t>
            </w:r>
          </w:p>
        </w:tc>
      </w:tr>
      <w:tr>
        <w:trPr>
          <w:tblHeader w:val="false"/>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28 September 2026</w:t>
            </w:r>
          </w:p>
        </w:tc>
        <w:tc>
          <w:tcPr>
            <w:tcW w:type="dxa" w:w="386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IDX lowers minimum share price from Rp50 to Rp1</w:t>
            </w:r>
          </w:p>
        </w:tc>
        <w:tc>
          <w:tcPr>
            <w:tcW w:type="dxa" w:w="386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Pent-up selling released; rapid price discovery</w:t>
            </w:r>
          </w:p>
        </w:tc>
      </w:tr>
      <w:tr>
        <w:trPr>
          <w:tblHeader w:val="false"/>
        </w:trPr>
        <w:tc>
          <w:tcPr>
            <w:tcW w:type="dxa" w:w="19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October 2026</w:t>
            </w:r>
          </w:p>
        </w:tc>
        <w:tc>
          <w:tcPr>
            <w:tcW w:type="dxa" w:w="386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EGMS to vote on cancelling &gt;32bn treasury shares</w:t>
            </w:r>
          </w:p>
        </w:tc>
        <w:tc>
          <w:tcPr>
            <w:tcW w:type="dxa" w:w="386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Permanent reduction in issued share count if approved</w:t>
            </w:r>
          </w:p>
        </w:tc>
      </w:tr>
    </w:tbl>
    <w:p>
      <w:pPr>
        <w:spacing w:after="120"/>
      </w:pPr>
    </w:p>
    <w:p>
      <w:pPr>
        <w:pStyle w:val="Heading2"/>
      </w:pPr>
      <w:r>
        <w:t xml:space="preserve">1.3 Fading M&amp;A optionality</w:t>
      </w:r>
    </w:p>
    <w:p>
      <w:pPr>
        <w:spacing w:after="140" w:line="288"/>
        <w:jc w:val="both"/>
      </w:pPr>
      <w:r>
        <w:t xml:space="preserve">Sentiment has also been weighed down by the fading prospect of a Grab–GOTO merger. On 15 September, Grab instead announced its largest cash acquisition to date, agreeing to buy </w:t>
      </w:r>
      <w:r>
        <w:rPr>
          <w:b/>
          <w:bCs/>
        </w:rPr>
        <w:t xml:space="preserve">60% of Atome Financial for US$1.49bn</w:t>
      </w:r>
      <w:r>
        <w:t xml:space="preserve">, an initial equity valuation of roughly US$2.5bn. Grab has also committed to acquire the remaining 40% about two years after completion, at a valuation set within a US$2.0–4.5bn framework.</w:t>
      </w:r>
    </w:p>
    <w:p>
      <w:pPr>
        <w:spacing w:after="140" w:line="288"/>
        <w:jc w:val="both"/>
      </w:pPr>
      <w:r>
        <w:t xml:space="preserve">This does not confirm that a Grab–GOTO transaction is off the table. But Grab’s decision to commit substantial capital to Atome, with a further payment already committed, may reduce both its near-term appetite and its balance-sheet capacity to pursue GOTO.</w:t>
      </w:r>
    </w:p>
    <w:p>
      <w:pPr>
        <w:spacing w:after="140" w:line="288"/>
        <w:jc w:val="both"/>
      </w:pPr>
      <w:r>
        <w:t xml:space="preserve">Any transaction would also face significant government and regulatory hurdles. Ride-hailing is increasingly treated as a strategic sector, and the government has just intervened directly in industry economics through the 8% commission cap. Until there is more clarity on Grab’s strategic priorities and the government’s preferred structure for the industry, the market is likely to assign little value to M&amp;A optionality. We think that is the right approach, and </w:t>
      </w:r>
      <w:r>
        <w:rPr>
          <w:b/>
          <w:bCs/>
        </w:rPr>
        <w:t xml:space="preserve">we no longer treat a merger as part of our core thesis</w:t>
      </w:r>
      <w:r>
        <w:t xml:space="preserve">.</w:t>
      </w:r>
    </w:p>
    <w:p>
      <w:pPr>
        <w:pStyle w:val="Heading1"/>
      </w:pPr>
      <w:r>
        <w:t xml:space="preserve">2. What’s Next for GOTO?</w:t>
      </w:r>
    </w:p>
    <w:p>
      <w:pPr>
        <w:pStyle w:val="Heading2"/>
      </w:pPr>
      <w:r>
        <w:t xml:space="preserve">2.1 Operating momentum remains intact</w:t>
      </w:r>
    </w:p>
    <w:p>
      <w:pPr>
        <w:spacing w:after="140" w:line="288"/>
        <w:jc w:val="both"/>
      </w:pPr>
      <w:r>
        <w:t xml:space="preserve">Despite these pressures, GOTO’s underlying operating performance continues to improve. In 2Q26, Group Core GTV grew 83% YoY to Rp164tn, net revenue rose 31% YoY to Rp5.7tn, adjusted EBITDA increased 137% YoY to above Rp1.0tn, and the company recorded its </w:t>
      </w:r>
      <w:r>
        <w:rPr>
          <w:b/>
          <w:bCs/>
        </w:rPr>
        <w:t xml:space="preserve">second consecutive quarterly net profit</w:t>
      </w:r>
      <w:r>
        <w:t xml:space="preserve">.</w:t>
      </w:r>
    </w:p>
    <w:p>
      <w:pPr>
        <w:spacing w:after="140" w:line="288"/>
        <w:jc w:val="both"/>
      </w:pPr>
      <w:r>
        <w:t xml:space="preserve">Financial Services has become the key growth engine. Fintech Core GTV reached Rp157tn in the quarter (around Rp630tn annualised), total Fintech GTV reached Rp265tn (around Rp1,060tn annualised), loans outstanding grew 58% YoY to Rp11tn, and Fintech adjusted EBITDA reached Rp481bn. Fintech is therefore not only offsetting the GoRide headwind but increasingly driving the group’s earnings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3238"/>
        <w:gridCol w:w="2600"/>
      </w:tblGrid>
      <w:tr>
        <w:trPr>
          <w:tblHeader/>
        </w:trPr>
        <w:tc>
          <w:tcPr>
            <w:tcW w:type="dxa" w:w="38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2Q26 metric</w:t>
            </w:r>
          </w:p>
        </w:tc>
        <w:tc>
          <w:tcPr>
            <w:tcW w:type="dxa" w:w="3238"/>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Value</w:t>
            </w:r>
          </w:p>
        </w:tc>
        <w:tc>
          <w:tcPr>
            <w:tcW w:type="dxa" w:w="26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YoY growth</w:t>
            </w:r>
          </w:p>
        </w:tc>
      </w:tr>
      <w:tr>
        <w:trPr>
          <w:tblHeader w:val="false"/>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Group Core GTV</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Rp164tn</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+83%</w:t>
            </w:r>
          </w:p>
        </w:tc>
      </w:tr>
      <w:tr>
        <w:trPr>
          <w:tblHeader w:val="false"/>
        </w:trPr>
        <w:tc>
          <w:tcPr>
            <w:tcW w:type="dxa" w:w="38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Net revenue</w:t>
            </w:r>
          </w:p>
        </w:tc>
        <w:tc>
          <w:tcPr>
            <w:tcW w:type="dxa" w:w="3238"/>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Rp5.7tn</w:t>
            </w:r>
          </w:p>
        </w:tc>
        <w:tc>
          <w:tcPr>
            <w:tcW w:type="dxa" w:w="26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+31%</w:t>
            </w:r>
          </w:p>
        </w:tc>
      </w:tr>
      <w:tr>
        <w:trPr>
          <w:tblHeader w:val="false"/>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Group adjusted EBITDA</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&gt;Rp1.0tn</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+137%</w:t>
            </w:r>
          </w:p>
        </w:tc>
      </w:tr>
      <w:tr>
        <w:trPr>
          <w:tblHeader w:val="false"/>
        </w:trPr>
        <w:tc>
          <w:tcPr>
            <w:tcW w:type="dxa" w:w="38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Net profit</w:t>
            </w:r>
          </w:p>
        </w:tc>
        <w:tc>
          <w:tcPr>
            <w:tcW w:type="dxa" w:w="3238"/>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Positive (2nd consecutive quarter)</w:t>
            </w:r>
          </w:p>
        </w:tc>
        <w:tc>
          <w:tcPr>
            <w:tcW w:type="dxa" w:w="26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w:t>
            </w:r>
          </w:p>
        </w:tc>
      </w:tr>
      <w:tr>
        <w:trPr>
          <w:tblHeader w:val="false"/>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Fintech Core GTV</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Rp157tn (~Rp630tn annualised)</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w:t>
            </w:r>
          </w:p>
        </w:tc>
      </w:tr>
      <w:tr>
        <w:trPr>
          <w:tblHeader w:val="false"/>
        </w:trPr>
        <w:tc>
          <w:tcPr>
            <w:tcW w:type="dxa" w:w="38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Total Fintech GTV</w:t>
            </w:r>
          </w:p>
        </w:tc>
        <w:tc>
          <w:tcPr>
            <w:tcW w:type="dxa" w:w="3238"/>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Rp265tn (~Rp1,060tn annualised)</w:t>
            </w:r>
          </w:p>
        </w:tc>
        <w:tc>
          <w:tcPr>
            <w:tcW w:type="dxa" w:w="26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w:t>
            </w:r>
          </w:p>
        </w:tc>
      </w:tr>
      <w:tr>
        <w:trPr>
          <w:tblHeader w:val="false"/>
        </w:trPr>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Loans outstanding</w:t>
            </w:r>
          </w:p>
        </w:tc>
        <w:tc>
          <w:tcPr>
            <w:tcW w:type="dxa" w:w="32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Rp11tn</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+58%</w:t>
            </w:r>
          </w:p>
        </w:tc>
      </w:tr>
      <w:tr>
        <w:trPr>
          <w:tblHeader w:val="false"/>
        </w:trPr>
        <w:tc>
          <w:tcPr>
            <w:tcW w:type="dxa" w:w="38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Fintech adjusted EBITDA</w:t>
            </w:r>
          </w:p>
        </w:tc>
        <w:tc>
          <w:tcPr>
            <w:tcW w:type="dxa" w:w="3238"/>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Rp481bn</w:t>
            </w:r>
          </w:p>
        </w:tc>
        <w:tc>
          <w:tcPr>
            <w:tcW w:type="dxa" w:w="26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w:t>
            </w:r>
          </w:p>
        </w:tc>
      </w:tr>
    </w:tbl>
    <w:p>
      <w:pPr>
        <w:spacing w:after="200" w:before="60"/>
      </w:pPr>
      <w:r>
        <w:rPr>
          <w:i/>
          <w:iCs/>
          <w:color w:val="595959"/>
          <w:sz w:val="17"/>
          <w:szCs w:val="17"/>
        </w:rPr>
        <w:t xml:space="preserve">Source: GOTO 2Q26 results. Annualised figures are simple quarterly run-rates (×4).</w:t>
      </w:r>
    </w:p>
    <w:p>
      <w:pPr>
        <w:pStyle w:val="Heading2"/>
      </w:pPr>
      <w:r>
        <w:t xml:space="preserve">2.2 Thesis and valuation</w:t>
      </w:r>
    </w:p>
    <w:p>
      <w:pPr>
        <w:spacing w:after="140" w:line="288"/>
        <w:jc w:val="both"/>
      </w:pPr>
      <w:r>
        <w:t xml:space="preserve">The results support our long-term thesis: GOTO’s scale and network effects across Gojek, GoPay and Tokopedia can drive continued transaction growth, deeper monetisation and improving profitability as the ecosystem matures. On the basis of these structural advantages, </w:t>
      </w:r>
      <w:r>
        <w:rPr>
          <w:b/>
          <w:bCs/>
        </w:rPr>
        <w:t xml:space="preserve">we value GOTO at Rp70–90/share</w:t>
      </w:r>
      <w:r>
        <w:t xml:space="preserve">.</w:t>
      </w:r>
    </w:p>
    <w:p>
      <w:pPr>
        <w:spacing w:after="140" w:line="288"/>
        <w:jc w:val="both"/>
      </w:pPr>
      <w:r>
        <w:t xml:space="preserve">Capital management is also supportive. The company proposes to cancel more than 32bn treasury shares, around 2.7% of issued shares, subject to approval at the October EGMS. Because treasury shares are already excluded from the outstanding share count, the direct per-share effect is limited. However, cancellation permanently removes the possibility of reissuance and signals capital discipline.</w:t>
      </w:r>
    </w:p>
    <w:p>
      <w:pPr>
        <w:spacing w:after="140" w:line="288"/>
        <w:jc w:val="both"/>
      </w:pPr>
      <w:r>
        <w:t xml:space="preserve">The key question is whether the fundamental earnings impact justifies the size of the correction. On our numbers it does not: the regulatory change cost roughly Rp300bn of ODS EBITDA, yet Group guidance is unchanged, while the share price has fallen well below the former Rp50 floor. The illustrative table below shows the valuation implied by prices in the Rp20–30 range.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538"/>
        <w:gridCol w:w="1800"/>
        <w:gridCol w:w="1800"/>
      </w:tblGrid>
      <w:tr>
        <w:trPr>
          <w:tblHeader/>
        </w:trPr>
        <w:tc>
          <w:tcPr>
            <w:tcW w:type="dxa" w:w="15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Share price</w:t>
            </w:r>
          </w:p>
        </w:tc>
        <w:tc>
          <w:tcPr>
            <w:tcW w:type="dxa" w:w="20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Implied market cap</w:t>
            </w:r>
          </w:p>
        </w:tc>
        <w:tc>
          <w:tcPr>
            <w:tcW w:type="dxa" w:w="2538"/>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Mkt cap / FY26 adj. EBITDA</w:t>
            </w:r>
          </w:p>
        </w:tc>
        <w:tc>
          <w:tcPr>
            <w:tcW w:type="dxa" w:w="18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Upside to Rp70</w:t>
            </w:r>
          </w:p>
        </w:tc>
        <w:tc>
          <w:tcPr>
            <w:tcW w:type="dxa" w:w="1800"/>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right"/>
            </w:pPr>
            <w:r>
              <w:rPr>
                <w:b/>
                <w:bCs/>
                <w:color w:val="FFFFFF"/>
                <w:sz w:val="19"/>
                <w:szCs w:val="19"/>
              </w:rPr>
              <w:t xml:space="preserve">Upside to Rp90</w:t>
            </w:r>
          </w:p>
        </w:tc>
      </w:tr>
      <w:tr>
        <w:trPr>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Rp20</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Rp23.1tn</w:t>
            </w:r>
          </w:p>
        </w:tc>
        <w:tc>
          <w:tcPr>
            <w:tcW w:type="dxa" w:w="25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7.0x</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+250%</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+350%</w:t>
            </w:r>
          </w:p>
        </w:tc>
      </w:tr>
      <w:tr>
        <w:trPr>
          <w:tblHeader w:val="false"/>
        </w:trPr>
        <w:tc>
          <w:tcPr>
            <w:tcW w:type="dxa" w:w="15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Rp25</w:t>
            </w:r>
          </w:p>
        </w:tc>
        <w:tc>
          <w:tcPr>
            <w:tcW w:type="dxa" w:w="20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Rp28.8tn</w:t>
            </w:r>
          </w:p>
        </w:tc>
        <w:tc>
          <w:tcPr>
            <w:tcW w:type="dxa" w:w="2538"/>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8.7x</w:t>
            </w:r>
          </w:p>
        </w:tc>
        <w:tc>
          <w:tcPr>
            <w:tcW w:type="dxa" w:w="18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+180%</w:t>
            </w:r>
          </w:p>
        </w:tc>
        <w:tc>
          <w:tcPr>
            <w:tcW w:type="dxa" w:w="1800"/>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right"/>
            </w:pPr>
            <w:r>
              <w:rPr>
                <w:sz w:val="19"/>
                <w:szCs w:val="19"/>
              </w:rPr>
              <w:t xml:space="preserve">+260%</w:t>
            </w:r>
          </w:p>
        </w:tc>
      </w:tr>
      <w:tr>
        <w:trPr>
          <w:tblHeader w:val="false"/>
        </w:trPr>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Rp30</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Rp34.6tn</w:t>
            </w:r>
          </w:p>
        </w:tc>
        <w:tc>
          <w:tcPr>
            <w:tcW w:type="dxa" w:w="25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10.5x</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+133%</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right"/>
            </w:pPr>
            <w:r>
              <w:rPr>
                <w:sz w:val="19"/>
                <w:szCs w:val="19"/>
              </w:rPr>
              <w:t xml:space="preserve">+200%</w:t>
            </w:r>
          </w:p>
        </w:tc>
      </w:tr>
    </w:tbl>
    <w:p>
      <w:pPr>
        <w:spacing w:after="200" w:before="60"/>
      </w:pPr>
      <w:r>
        <w:rPr>
          <w:i/>
          <w:iCs/>
          <w:color w:val="595959"/>
          <w:sz w:val="17"/>
          <w:szCs w:val="17"/>
        </w:rPr>
        <w:t xml:space="preserve">Illustrative only. Assumes ~1185bn issued shares (implied from 32bn treasury shares = 2.7%) less treasury shares (~1153bn outstanding), and the Rp3.3tn midpoint of FY26 Group adjusted EBITDA guidance. Excludes net cash and other adjustments; replace with exact figures from the latest filings.</w:t>
      </w:r>
    </w:p>
    <w:p>
      <w:pPr>
        <w:pStyle w:val="Heading2"/>
      </w:pPr>
      <w:r>
        <w:t xml:space="preserve">2.3 What to watch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Potential catalysts</w:t>
            </w:r>
          </w:p>
        </w:tc>
        <w:tc>
          <w:tcPr>
            <w:tcW w:type="dxa" w:w="4819"/>
            <w:tcBorders>
              <w:top w:val="single" w:color="BFBFBF" w:sz="4"/>
              <w:left w:val="single" w:color="BFBFBF" w:sz="4"/>
              <w:bottom w:val="single" w:color="BFBFBF" w:sz="4"/>
              <w:right w:val="single" w:color="BFBFBF" w:sz="4"/>
            </w:tcBorders>
            <w:shd w:fill="0F4C5C" w:color="auto" w:val="clear"/>
            <w:tcMar>
              <w:top w:type="dxa" w:w="70"/>
              <w:left w:type="dxa" w:w="110"/>
              <w:bottom w:type="dxa" w:w="70"/>
              <w:right w:type="dxa" w:w="110"/>
            </w:tcMar>
          </w:tcPr>
          <w:p>
            <w:pPr>
              <w:jc w:val="left"/>
            </w:pPr>
            <w:r>
              <w:rPr>
                <w:b/>
                <w:bCs/>
                <w:color w:val="FFFFFF"/>
                <w:sz w:val="19"/>
                <w:szCs w:val="19"/>
              </w:rPr>
              <w:t xml:space="preserve">Key risks</w:t>
            </w:r>
          </w:p>
        </w:tc>
      </w:tr>
      <w:tr>
        <w:trPr>
          <w:tblHeader w:val="false"/>
        </w:trPr>
        <w:tc>
          <w:tcPr>
            <w:tcW w:type="dxa" w:w="481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Continued Fintech scaling: loan book, GoPay usage and Fintech EBITDA</w:t>
            </w:r>
          </w:p>
        </w:tc>
        <w:tc>
          <w:tcPr>
            <w:tcW w:type="dxa" w:w="481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Further intervention, e.g. extension of commission caps to GoCar, food delivery or fintech lending</w:t>
            </w:r>
          </w:p>
        </w:tc>
      </w:tr>
      <w:tr>
        <w:trPr>
          <w:tblHeader w:val="false"/>
        </w:trPr>
        <w:tc>
          <w:tcPr>
            <w:tcW w:type="dxa" w:w="481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Regulatory stabilisation and clarity on the long-term commission framework</w:t>
            </w:r>
          </w:p>
        </w:tc>
        <w:tc>
          <w:tcPr>
            <w:tcW w:type="dxa" w:w="481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GoRide losses larger than currently guided, or slower ODS restructuring</w:t>
            </w:r>
          </w:p>
        </w:tc>
      </w:tr>
      <w:tr>
        <w:trPr>
          <w:tblHeader w:val="false"/>
        </w:trPr>
        <w:tc>
          <w:tcPr>
            <w:tcW w:type="dxa" w:w="481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EGMS approval of the treasury share cancellation</w:t>
            </w:r>
          </w:p>
        </w:tc>
        <w:tc>
          <w:tcPr>
            <w:tcW w:type="dxa" w:w="481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Asset quality as the loan book grows rapidly (+58% YoY)</w:t>
            </w:r>
          </w:p>
        </w:tc>
      </w:tr>
      <w:tr>
        <w:trPr>
          <w:tblHeader w:val="false"/>
        </w:trPr>
        <w:tc>
          <w:tcPr>
            <w:tcW w:type="dxa" w:w="481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Exhaustion of forced selling and a rebuilt shareholder base</w:t>
            </w:r>
          </w:p>
        </w:tc>
        <w:tc>
          <w:tcPr>
            <w:tcW w:type="dxa" w:w="4819"/>
            <w:tcBorders>
              <w:top w:val="single" w:color="BFBFBF" w:sz="4"/>
              <w:left w:val="single" w:color="BFBFBF" w:sz="4"/>
              <w:bottom w:val="single" w:color="BFBFBF" w:sz="4"/>
              <w:right w:val="single" w:color="BFBFBF" w:sz="4"/>
            </w:tcBorders>
            <w:shd w:fill="F5F8F9" w:color="auto" w:val="clear"/>
            <w:tcMar>
              <w:top w:type="dxa" w:w="70"/>
              <w:left w:type="dxa" w:w="110"/>
              <w:bottom w:type="dxa" w:w="70"/>
              <w:right w:type="dxa" w:w="110"/>
            </w:tcMar>
          </w:tcPr>
          <w:p>
            <w:pPr>
              <w:jc w:val="left"/>
            </w:pPr>
            <w:r>
              <w:rPr>
                <w:sz w:val="19"/>
                <w:szCs w:val="19"/>
              </w:rPr>
              <w:t xml:space="preserve">Continued volatile price discovery and residual institutional selling</w:t>
            </w:r>
          </w:p>
        </w:tc>
      </w:tr>
      <w:tr>
        <w:trPr>
          <w:tblHeader w:val="false"/>
        </w:trPr>
        <w:tc>
          <w:tcPr>
            <w:tcW w:type="dxa" w:w="481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Delivery against the maintained Rp3.2–3.4tn Group adjusted EBITDA guidance</w:t>
            </w:r>
          </w:p>
        </w:tc>
        <w:tc>
          <w:tcPr>
            <w:tcW w:type="dxa" w:w="4819"/>
            <w:tcBorders>
              <w:top w:val="single" w:color="BFBFBF" w:sz="4"/>
              <w:left w:val="single" w:color="BFBFBF" w:sz="4"/>
              <w:bottom w:val="single" w:color="BFBFBF" w:sz="4"/>
              <w:right w:val="single" w:color="BFBFBF" w:sz="4"/>
            </w:tcBorders>
            <w:tcMar>
              <w:top w:type="dxa" w:w="70"/>
              <w:left w:type="dxa" w:w="110"/>
              <w:bottom w:type="dxa" w:w="70"/>
              <w:right w:type="dxa" w:w="110"/>
            </w:tcMar>
          </w:tcPr>
          <w:p>
            <w:pPr>
              <w:jc w:val="left"/>
            </w:pPr>
            <w:r>
              <w:rPr>
                <w:sz w:val="19"/>
                <w:szCs w:val="19"/>
              </w:rPr>
              <w:t xml:space="preserve">Any eventual consolidation on terms shaped by government priorities rather than shareholder value</w:t>
            </w:r>
          </w:p>
        </w:tc>
      </w:tr>
    </w:tbl>
    <w:p>
      <w:pPr>
        <w:spacing w:after="120"/>
      </w:pPr>
    </w:p>
    <w:p>
      <w:pPr>
        <w:pStyle w:val="Heading1"/>
      </w:pPr>
      <w:r>
        <w:t xml:space="preserve">3. Conclusion</w:t>
      </w:r>
    </w:p>
    <w:p>
      <w:pPr>
        <w:spacing w:after="140" w:line="288"/>
        <w:jc w:val="both"/>
      </w:pPr>
      <w:r>
        <w:t xml:space="preserve">Regulatory risk is clearly higher than before, and a Grab merger should no longer be treated as part of the investment case. Neither point changes the core picture. The direct earnings impact of the GoRide commission cut is modest at the group level, Group profitability guidance is intact, and Fintech is scaling quickly. Much of the recent decline reflects forced and pent-up selling rather than a deterioration in fundamentals.</w:t>
      </w:r>
    </w:p>
    <w:p>
      <w:pPr>
        <w:spacing w:after="140" w:line="288"/>
        <w:jc w:val="both"/>
      </w:pPr>
      <w:r>
        <w:t xml:space="preserve">If Fintech continues to scale, Group profitability keeps improving and the regulatory environment stabilises, </w:t>
      </w:r>
      <w:r>
        <w:rPr>
          <w:b/>
          <w:bCs/>
        </w:rPr>
        <w:t xml:space="preserve">prices in the Rp20s imply a substantially more attractive valuation relative to GOTO’s longer-term earnings potential</w:t>
      </w:r>
      <w:r>
        <w:t xml:space="preserve"> and our Rp70–90/share fair value range.</w:t>
      </w:r>
    </w:p>
    <w:p>
      <w:pPr>
        <w:spacing w:after="200"/>
      </w:pPr>
    </w:p>
    <w:p>
      <w:pPr>
        <w:pBdr>
          <w:top w:val="single" w:color="BFBFBF" w:sz="4" w:space="6"/>
        </w:pBdr>
      </w:pPr>
      <w:r>
        <w:rPr>
          <w:i/>
          <w:iCs/>
          <w:color w:val="595959"/>
          <w:sz w:val="16"/>
          <w:szCs w:val="16"/>
        </w:rPr>
        <w:t xml:space="preserve">Disclaimer: This note is for discussion purposes only and does not constitute investment advice or a recommendation to buy or sell any security. Figures are based on company disclosures, publicly reported transactions and our own estimates as of 1 October 2026, and may be subject to revision.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595959"/>
        <w:sz w:val="16"/>
        <w:szCs w:val="16"/>
      </w:rPr>
      <w:t xml:space="preserve">GOTO  |  Equity Research Note</w:t>
    </w:r>
    <w:r>
      <w:rPr>
        <w:color w:val="595959"/>
        <w:sz w:val="16"/>
        <w:szCs w:val="16"/>
      </w:rPr>
      <w:t xml:space="preserve">	1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Calibri" w:cs="Calibri" w:eastAsia="Calibri" w:hAnsi="Calibri"/>
      <w:b/>
      <w:bCs/>
      <w:color w:val="0F4C5C"/>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0F4C5C"/>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1F1F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GOTO: Separating the Noise from the Fundamentals</dc:title>
  <dc:creator>Research</dc:creator>
  <cp:lastModifiedBy>Un-named</cp:lastModifiedBy>
  <cp:revision>1</cp:revision>
  <dcterms:created xsi:type="dcterms:W3CDTF">2026-10-01T08:51:37.327Z</dcterms:created>
  <dcterms:modified xsi:type="dcterms:W3CDTF">2026-10-01T08:51:37.328Z</dcterms:modified>
</cp:coreProperties>
</file>

<file path=docProps/custom.xml><?xml version="1.0" encoding="utf-8"?>
<Properties xmlns="http://schemas.openxmlformats.org/officeDocument/2006/custom-properties" xmlns:vt="http://schemas.openxmlformats.org/officeDocument/2006/docPropsVTypes"/>
</file>