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What Happened to GOTO?</w:t>
      </w:r>
    </w:p>
    <w:p>
      <w:pPr>
        <w:spacing w:after="160" w:line="288"/>
        <w:jc w:val="both"/>
      </w:pPr>
      <w:r>
        <w:t xml:space="preserve">GOTO’s recent share-price weakness has been driven by a combination of regulatory uncertainty and technical selling pressure. The distinction matters: only the regulatory change has a direct impact on earnings, while the technical selling was largely forced and price-insensitive, and therefore says little about the company’s fundamental value.</w:t>
      </w:r>
    </w:p>
    <w:p>
      <w:pPr>
        <w:spacing w:after="160" w:line="288"/>
        <w:jc w:val="both"/>
      </w:pPr>
      <w:r>
        <w:t xml:space="preserve">The first major concern was the reduction in GoRide’s commission rate from 20% to 8% effective July 2026, a 60% cut in the take rate on every GoRide trip. Management acknowledged that GoRide becomes loss-making under the new structure and subsequently cut FY26 ODS adjusted EBITDA guidance by around Rp300bn to Rp1.4–1.5tn. The impact, however, needs to be kept in proportion. GoRide contributes only around 7% of Group net revenue, so even if GoRide revenue fell by the full 60% with no change in volumes, the hit would be roughly 4% of Group net revenue. Group adjusted EBITDA guidance was maintained at Rp3.2–3.4tn, as stronger Fintech profitability offsets the weaker ODS economics. Because the new rate only applies from July, the FY26 guidance cut captures roughly half a year; on a full-year basis the drag could be closer to Rp600bn before any mitigation, or around 18% of the Group EBITDA guidance midpoint. That is a meaningful hit, but it is well short of the 40–60% fall in the share price from the former Rp50 floor to the Rp20s.</w:t>
      </w:r>
    </w:p>
    <w:p>
      <w:pPr>
        <w:spacing w:after="160" w:line="288"/>
        <w:jc w:val="both"/>
      </w:pPr>
      <w:r>
        <w:t xml:space="preserve">The second source of pressure was technical. MSCI removed GOTO from its Indonesia index at the end of August due to liquidity and replicability concerns while the stock was trapped at the Rp50 minimum price. Index-tracking funds must sell a deleted stock regardless of price or valuation, creating an estimated passive selling requirement of around Rp1tn, or roughly 20bn shares at Rp50. Because the stock was already at the minimum price, no bids could be placed below Rp50 on the regular market, so this supply could not clear normally and instead built up as an overhang.</w:t>
      </w:r>
    </w:p>
    <w:p>
      <w:pPr>
        <w:spacing w:after="160" w:line="288"/>
        <w:jc w:val="both"/>
      </w:pPr>
      <w:r>
        <w:t xml:space="preserve">Around the same period, Morgan Stanley acquired approximately 21.7bn shares through negotiated-market transactions at around Rp25/share, a trade worth roughly Rp540bn. Three points stand out. </w:t>
      </w:r>
      <w:r>
        <w:rPr>
          <w:b/>
          <w:bCs/>
        </w:rPr>
        <w:t xml:space="preserve">First, the volume.</w:t>
      </w:r>
      <w:r>
        <w:t xml:space="preserve"> At 21.7bn shares, the block is almost identical to the estimated ~20bn shares of MSCI-related selling, which suggests it may have absorbed a large part of the passive supply, although this remains unconfirmed. </w:t>
      </w:r>
      <w:r>
        <w:rPr>
          <w:b/>
          <w:bCs/>
        </w:rPr>
        <w:t xml:space="preserve">Second, the price.</w:t>
      </w:r>
      <w:r>
        <w:t xml:space="preserve"> The block traded at half the regular-market floor. Sellers were willing to accept Rp25 to exit immediately rather than wait in the queue at Rp50, which showed that Rp50 was an artificial level and that the real clearing price for large volumes was much lower. </w:t>
      </w:r>
      <w:r>
        <w:rPr>
          <w:b/>
          <w:bCs/>
        </w:rPr>
        <w:t xml:space="preserve">Third, the block sets a visible institutional entry price.</w:t>
      </w:r>
      <w:r>
        <w:t xml:space="preserve"> Large institutions are generally reluctant to realise losses below their entry cost, both because of mark-to-market reporting and because selling below cost crystallises a loss on a position they have just built. Holders who bought around Rp25 therefore have little incentive to sell below that level. Other investors, in turn, may treat Rp25 as a reference point where sophisticated capital was willing to commit around Rp540bn, and step in to buy near the same price. Together, these effects can make the Rp25 area act as a support zone. This should not be overstated: Morgan Stanley may have acted on behalf of clients rather than for its own book, the position may be hedged, and any support level only holds if fundamentals do not deteriorate further.</w:t>
      </w:r>
    </w:p>
    <w:p>
      <w:pPr>
        <w:spacing w:after="160" w:line="288"/>
        <w:jc w:val="both"/>
      </w:pPr>
      <w:r>
        <w:t xml:space="preserve">Finally, when IDX lowered the minimum share price from Rp50 to Rp1 on 28 September, selling that had previously been unable to clear below Rp50 was immediately released into the market, accelerating GOTO’s price discovery. The share price has since moved into the Rp20s, close to the level at which the Morgan Stanley block traded. This is consistent with the view that the negotiated-market price had already signalled where the market would clear once the floor was removed. Volatility is likely to stay elevated in the near term: at these levels IDX’s Rp1 minimum tick size means a single tick moves the share price by roughly 4–5%.</w:t>
      </w:r>
    </w:p>
    <w:p>
      <w:pPr>
        <w:spacing w:after="160" w:line="288"/>
        <w:jc w:val="both"/>
      </w:pPr>
      <w:r>
        <w:t xml:space="preserve">Another catalyst that may have weakened sentiment is the fading optionality of a potential Grab–GOTO merger. On 15 September, Grab instead announced its largest cash acquisition to date, agreeing to acquire 60% of Atome Financial for US$1.49bn, implying an initial equity valuation of roughly US$2.5bn. Grab has also committed to acquiring the remaining 40% approximately two years after completion, with the eventual valuation subject to a US$2.0–4.5bn framework. This implies a further payment of roughly US$0.8–1.8bn and a total commitment of around US$2.3–3.3bn. This does not confirm that a Grab–GOTO transaction is cancelled. It does show that Grab’s near-term capital and management attention are being directed towards consumer finance through Atome rather than towards acquiring GOTO, reducing the strategic urgency of a deal.</w:t>
      </w:r>
    </w:p>
    <w:p>
      <w:pPr>
        <w:spacing w:after="160" w:line="288"/>
        <w:jc w:val="both"/>
      </w:pPr>
      <w:r>
        <w:t xml:space="preserve">At the same time, any potential transaction remains exposed to government and regulatory considerations. Ride-hailing has increasingly been treated as a strategic sector, and the government has just shown, through the reduction of motorcycle ride-hailing commissions to 8%, that it is willing to intervene directly in industry economics. A merger combining the two largest platforms would likely face similar scrutiny over competition and over driver and consumer welfare. As a result, the market may be assigning less value to the previously anticipated M&amp;A optionality until there is greater clarity on both Grab’s strategic priorities and the government’s preferred structure for the industry.</w:t>
      </w:r>
    </w:p>
    <w:p>
      <w:pPr>
        <w:pStyle w:val="Heading1"/>
      </w:pPr>
      <w:r>
        <w:t xml:space="preserve">What’s Next for GOTO?</w:t>
      </w:r>
    </w:p>
    <w:p>
      <w:pPr>
        <w:spacing w:after="160" w:line="288"/>
        <w:jc w:val="both"/>
      </w:pPr>
      <w:r>
        <w:t xml:space="preserve">Despite these pressures, GOTO’s underlying operating performance remains on an improving trajectory. In 2Q26, Group Core GTV grew 83% YoY to Rp164tn, net revenue increased 31% YoY to Rp5.7tn, adjusted EBITDA rose 137% YoY to above Rp1.0tn, and GOTO recorded its second consecutive quarterly net profit. Annualised, 2Q26 adjusted EBITDA implies a run-rate of more than Rp4tn, above the FY26 guidance of Rp3.2–3.4tn. This suggests the maintained guidance leaves room to absorb GoRide’s losses in the second half.</w:t>
      </w:r>
    </w:p>
    <w:p>
      <w:pPr>
        <w:spacing w:after="160" w:line="288"/>
        <w:jc w:val="both"/>
      </w:pPr>
      <w:r>
        <w:t xml:space="preserve">Financial Services has increasingly become the key growth engine. Fintech Core GTV reached Rp157tn in 2Q26, equivalent to approximately Rp630tn annualised, while total Fintech GTV reached Rp265tn, equivalent to more than Rp1,060tn annualised. Loans outstanding increased 58% YoY to Rp11tn and Fintech adjusted EBITDA reached Rp481bn. Annualised, Fintech EBITDA of roughly Rp1.9tn already exceeds the full-year ODS guidance of Rp1.4–1.5tn. In other words, the segment most exposed to the commission cut is no longer the largest driver of Group profitability, and its weight in the investment case shrinks with every quarter that Fintech grows. With the loan book expanding this quickly, asset quality becomes the key metric to monitor.</w:t>
      </w:r>
    </w:p>
    <w:p>
      <w:pPr>
        <w:spacing w:after="160" w:line="288"/>
        <w:jc w:val="both"/>
      </w:pPr>
      <w:r>
        <w:t xml:space="preserve">This remains consistent with our long-term thesis that GOTO’s scale and network effects across Gojek, GoPay and Tokopedia can support continued transaction growth, deeper monetisation and improving profitability as the ecosystem matures. Our research values GOTO at Rp70–90/share based on these structural advantages. The company is also proposing to cancel more than 32bn treasury shares, or around 2.7% of issued shares, which would permanently reduce the share count if approved at the October EGMS. Because treasury shares are already excluded from the outstanding share count, the direct per-share effect is modest. Cancellation does, however, remove the possibility of the shares being reissued, and it signals capital discipline.</w:t>
      </w:r>
    </w:p>
    <w:p>
      <w:pPr>
        <w:spacing w:after="160" w:line="288"/>
        <w:jc w:val="both"/>
      </w:pPr>
      <w:r>
        <w:t xml:space="preserve">At around Rp25, with roughly 1.15tn shares outstanding, GOTO’s market value is approximately Rp29tn. That is around 9x the midpoint of FY26 Group adjusted EBITDA guidance and around 7x the 2Q26 annualised run-rate, before taking net cash into account. Our Rp70–90/share valuation implies upside of roughly 180–260% from that level.</w:t>
      </w:r>
    </w:p>
    <w:p>
      <w:pPr>
        <w:spacing w:after="160" w:line="288"/>
        <w:jc w:val="both"/>
      </w:pPr>
      <w:r>
        <w:t xml:space="preserve">Regulatory risk is clearly higher, and the potential Grab merger should no longer be treated as a core part of the thesis. The key question is whether the fundamental earnings impact justifies the size of the share-price correction. Our analysis suggests it does not. The full-year GoRide drag of around Rp600bn before mitigation compares with a 40–60% fall in the share price, and much of that fall was driven by forced, price-insensitive selling that should fade once the overhang is absorbed. If Fintech continues to scale, Group profitability improves and regulatory uncertainty stabilises, prices in the Rp20s would imply a substantially more attractive valuation relative to GOTO’s longer-term earnings potential.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40"/>
      <w:outlineLvl w:val="0"/>
    </w:pPr>
    <w:rPr>
      <w:rFonts w:ascii="Calibri" w:cs="Calibri" w:eastAsia="Calibri" w:hAnsi="Calibri"/>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Happened to GOTO?</dc:title>
  <dc:creator>Un-named</dc:creator>
  <cp:lastModifiedBy>Un-named</cp:lastModifiedBy>
  <cp:revision>1</cp:revision>
  <dcterms:created xsi:type="dcterms:W3CDTF">2026-10-01T09:18:15.026Z</dcterms:created>
  <dcterms:modified xsi:type="dcterms:W3CDTF">2026-10-01T09:18:15.038Z</dcterms:modified>
</cp:coreProperties>
</file>

<file path=docProps/custom.xml><?xml version="1.0" encoding="utf-8"?>
<Properties xmlns="http://schemas.openxmlformats.org/officeDocument/2006/custom-properties" xmlns:vt="http://schemas.openxmlformats.org/officeDocument/2006/docPropsVTypes"/>
</file>