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Note: Exit ULTJ, Buy GOTO</w:t>
      </w:r>
    </w:p>
    <w:p>
      <w:r>
        <w:t>2 October 2026 · First draft</w:t>
      </w:r>
    </w:p>
    <w:p>
      <w:r>
        <w:t>Action. We are selling our full holding in ULTJ and moving the proceeds into GOTO. ULTJ has upcoming catalysts, but what the company will look like after the Frisian Flag deal is still unclear. GOTO has fallen for technical reasons that have little to do with how the business is performing, and we think the market is now mispricing it.</w:t>
      </w:r>
    </w:p>
    <w:p>
      <w:pPr>
        <w:pStyle w:val="Heading1"/>
      </w:pPr>
      <w:r>
        <w:t>1. Why we are selling ULTJ</w:t>
      </w:r>
    </w:p>
    <w:p>
      <w:r>
        <w:t>ULTJ will hold an extraordinary shareholder meeting on 27 October 2026. Shareholders will vote on a rights issue of up to 7.87bn new shares at Rp2,150, which will fund the ~Rp14.6tn purchase of 100% of Frisian Flag Indonesia. They will also vote on an additional final cash dividend from retained earnings and on board changes. After the deal, FrieslandCampina would control about 29–31% of ULTJ and must make a mandatory tender offer (MTO) to other shareholders. Under the rules, the MTO price cannot be lower than Rp2,150. The tender offer is targeted for early 2027.</w:t>
      </w:r>
    </w:p>
    <w:p>
      <w:r>
        <w:t>We see two possible positives for current holders: the extra dividend, and the chance that the MTO price is set above Rp2,150. Neither is certain yet. The size of the dividend has not been fixed, and Rp2,150 is a floor, not a promised price. The share price also moved close to that floor as soon as the deal was announced (Rp2,060 on 18 September), so most of the upside is already in the price.</w:t>
      </w:r>
    </w:p>
    <w:p>
      <w:r>
        <w:t>The bigger issue is what happens after the deal. ULTJ will issue a large block of new shares, take on a much larger business and get a new controlling shareholder. The new owner's plans for strategy, dividend policy and the listing itself are not yet clear. Holding the stock until an MTO in early 2027 ties up capital for several months for a limited and uncertain gain. We prefer to take our profit now.</w:t>
      </w:r>
    </w:p>
    <w:p>
      <w:pPr>
        <w:pStyle w:val="Heading1"/>
      </w:pPr>
      <w:r>
        <w:t>2. Why we are buying GOTO</w:t>
      </w:r>
    </w:p>
    <w:p>
      <w:r>
        <w:t>The fall in the share price is mostly technical. From mid-May, GOTO was stuck at Rp50, the exchange's minimum price, and very few shares changed hands. Because the stock had become illiquid, MSCI announced on 13 August that it would remove GOTO from its index, effective 31 August. FTSE has also removed the stock. Index-tracking funds must sell when a stock leaves the index, whatever the price. Mirae estimated outflows of up to Rp1tn. With no buyers allowed below Rp50, these sell orders could not be filled and built up in a queue. On 28 September the exchange lowered the minimum price to Rp1, and the queued selling went through. The stock fell to Rp28 by 1 October. Some of the selling may also have come from investors who bought with borrowed money and had to sell when the price dropped (margin calls). Management has said the price moves reflect technical factors and index changes rather than the business.</w:t>
      </w:r>
    </w:p>
    <w:p>
      <w:r>
        <w:t>The business keeps improving. In 2Q26, net revenue rose 31% to Rp5.7tn, and adjusted EBITDA rose 137% to more than Rp1tn. Net profit was Rp252bn, the second profitable quarter in a row. Management says operating profit, which excludes currency movements and changes in the value of its Tokopedia stake, should stay positive. This means the profit comes from the business itself, not from one-off accounting gains. The payments and lending business (Fintech) is now the main source of profit. Its adjusted EBITDA grew 447% to Rp481bn and overtook On-Demand Services (Gojek) for the first time.</w:t>
      </w:r>
    </w:p>
    <w:p>
      <w:r>
        <w:t>The valuation is low. GOTO held Rp23.5tn of cash at the end of June. At Rp28, the whole company is worth about Rp32tn, so cash alone covers roughly 73% of the market value. Borrowings, and any cash used to fund GoPay Later loans, still need to be deducted to get a precise net figure. Even so, investors are paying very little for a business that is growing and profitable.</w:t>
      </w:r>
    </w:p>
    <w:p>
      <w:r>
        <w:t>Driver regulation is manageable. From 1 July 2026, the government capped the commission on two-wheel rides (GoRide) at 8%. GoRide is only about 7% of group net revenue. The company has already cut its full-year On-Demand EBITDA guidance by about Rp300bn to reflect this, so the market already knows the cost. GOTO also has other ways to earn, including payments, lending, food and parcel delivery, and services for merchants.</w:t>
      </w:r>
    </w:p>
    <w:p>
      <w:pPr>
        <w:pStyle w:val="Heading1"/>
      </w:pPr>
      <w:r>
        <w:t>3. Key risks</w:t>
      </w:r>
    </w:p>
    <w:p>
      <w:r>
        <w:t>Regulation may spread to GoCar, GoFood or GoSend, which are much larger than GoRide. Ministers met in August to discuss food delivery. Full-year guidance also implies weaker profit in the second half. Selling pressure may continue for some time, and with a Rp1 tick each price step is now 3–4% of the share price, so the stock will be volatile. The paylater business faces tighter OJK rules and a new competitor in Grab-backed Atome.</w:t>
      </w:r>
    </w:p>
    <w:p>
      <w:pPr>
        <w:pStyle w:val="Heading1"/>
      </w:pPr>
      <w:r>
        <w:t>Conclusion</w:t>
      </w:r>
    </w:p>
    <w:p>
      <w:r>
        <w:t>ULTJ's remaining upside is small and depends on decisions that have not been made yet. GOTO's fall is driven mainly by forced, price-insensitive selling, while the business is profitable and grows every quarter. We think the selling has pushed GOTO well below its fair value, and we are reallocating from ULTJ to GOTO.</w:t>
      </w:r>
    </w:p>
    <w:p>
      <w:r>
        <w:rPr>
          <w:i/>
          <w:sz w:val="18"/>
        </w:rPr>
        <w:t>Sources: ULTJ disclosures via Bisnis Indonesia, IDX Channel, CNBC Indonesia and Kontan; GoTo 2Q26 results and earnings call; MSCI via Reuters; Mirae Asset; Kompas; Katadata; IDN Financials. Prices as of 2 October 2026. Not investment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