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What Happened to GOTO?</w:t>
      </w:r>
    </w:p>
    <w:p>
      <w:pPr>
        <w:spacing w:after="160" w:line="288"/>
        <w:jc w:val="both"/>
      </w:pPr>
      <w:r>
        <w:t xml:space="preserve">GOTO has fallen 44%, from the Rp50 floor to Rp28 on 1 October. Two forces drove the fall: a regulatory cut to ride-hailing economics, and a chain of technical selling. The distinction matters. Only the regulation affects earnings. The technical selling was forced and insensitive to price, so it says little about what the business is worth.</w:t>
      </w:r>
    </w:p>
    <w:p>
      <w:pPr>
        <w:spacing w:after="160" w:line="288"/>
        <w:jc w:val="both"/>
      </w:pPr>
      <w:r>
        <w:rPr>
          <w:b/>
          <w:bCs/>
        </w:rPr>
        <w:t xml:space="preserve">The regulatory hit is real but contained.</w:t>
      </w:r>
      <w:r>
        <w:t xml:space="preserve"> Under Presidential Regulation 27/2026, GoRide's commission fell from 20% to 8% on 1 July, a 60% cut in take rate. Management says GoRide is now loss-making and cut FY26 On-Demand Services (ODS) adjusted EBITDA guidance by ~Rp300bn to Rp1.4–1.5tn. It raised Fintech guidance by the same Rp300bn, to Rp1.7–1.8tn, so Group guidance of Rp3.2–3.4tn is unchanged. GoRide is only ~7% of Group net revenue: even a full 60% revenue loss with flat volumes costs about 4% of Group revenue. The guidance cut covers only half a year, so the full-year drag could be nearer Rp600bn before mitigation, about 18% of Group EBITDA. That is meaningful, but well short of a 44% fall in the share price.</w:t>
      </w:r>
    </w:p>
    <w:p>
      <w:pPr>
        <w:spacing w:after="160" w:line="288"/>
        <w:jc w:val="both"/>
      </w:pPr>
      <w:r>
        <w:rPr>
          <w:b/>
          <w:bCs/>
        </w:rPr>
        <w:t xml:space="preserve">Forced selling, step one: the MSCI deletion.</w:t>
      </w:r>
      <w:r>
        <w:t xml:space="preserve"> MSCI announced on 13 August that it would delete GOTO, effective 31 August. Its reason was liquidity: the stock had been stuck at the Rp50 minimum price since mid-May. Index funds must sell regardless of price, and Mirae estimated outflows of up to Rp1tn (~20bn shares). With no bids allowed below Rp50, this supply could not clear. It queued instead: by 25 September about 39bn shares (~Rp2tn) were waiting to sell at Rp50, roughly double the MSCI estimate.</w:t>
      </w:r>
    </w:p>
    <w:p>
      <w:pPr>
        <w:spacing w:after="160" w:line="288"/>
        <w:jc w:val="both"/>
      </w:pPr>
      <w:r>
        <w:rPr>
          <w:b/>
          <w:bCs/>
        </w:rPr>
        <w:t xml:space="preserve">Step two: the Morgan Stanley block, which reveals the clearing price rather than a support level.</w:t>
      </w:r>
      <w:r>
        <w:t xml:space="preserve"> On 2 September, two days after the deletion took effect, Morgan Stanley bought 21.9bn shares at Rp25 in the negotiated market (~Rp548bn). The size is almost exactly the estimated index selling, which suggests it absorbed that supply. The price, half the Rp50 floor, showed the floor was artificial: large holders would accept Rp25 to get out. Morgan Stanley does not, however, behave like an anchor investor defending its cost. It already held 5.7%, typical of a custodian or broker holding shares for clients. It sold 7.4bn shares at Rp25–27 just two days later, and traded in a Rp25–29 band through 11 September. Analysts also note that a negotiated-market price is not a reference price for the regular market. The right reading is that </w:t>
      </w:r>
      <w:r>
        <w:rPr>
          <w:b/>
          <w:bCs/>
        </w:rPr>
        <w:t xml:space="preserve">Rp25–29 is where large blocks have actually cleared</w:t>
      </w:r>
      <w:r>
        <w:t xml:space="preserve">. That is useful evidence of value, but no one has an incentive to defend it as a floor.</w:t>
      </w:r>
    </w:p>
    <w:p>
      <w:pPr>
        <w:spacing w:after="160" w:line="288"/>
        <w:jc w:val="both"/>
      </w:pPr>
      <w:r>
        <w:rPr>
          <w:b/>
          <w:bCs/>
        </w:rPr>
        <w:t xml:space="preserve">Step three: the floor was removed.</w:t>
      </w:r>
      <w:r>
        <w:t xml:space="preserve"> On 28 September IDX cut the minimum price from Rp50 to Rp1, releasing the queued selling. GOTO hit its daily lower limit three days running (Rp43, Rp37, Rp32) and reached Rp28 on 1 October, inside the band where Morgan Stanley's blocks traded. Volatility will stay high: with a Rp1 tick, each price step is now 3–4% of the share price.</w:t>
      </w:r>
    </w:p>
    <w:p>
      <w:pPr>
        <w:spacing w:after="160" w:line="288"/>
        <w:jc w:val="both"/>
      </w:pPr>
      <w:r>
        <w:rPr>
          <w:b/>
          <w:bCs/>
        </w:rPr>
        <w:t xml:space="preserve">The merger option was already fading; Grab–Atome confirms it.</w:t>
      </w:r>
      <w:r>
        <w:t xml:space="preserve"> Grab–GOTO talks were reported called off in September 2025. On 15 September 2026 Grab agreed to buy 60% of Atome Financial for US$1.49bn and committed to buy the remaining 40% later at a US$2.0–4.5bn valuation, roughly US$2.3–3.3bn in total. Atome competes directly with GoPay Later. The deal points Grab's capital and attention elsewhere. Any merger would also face the competition regulator (KPPU), which has warned that a combined entity would control more than 90% of the market. The state fund Danantara is quietly building a stake of under 1% in GOTO, so the government is a shareholder as well as the regulator. The merger should be treated as a free option, not part of the thesis.</w:t>
      </w:r>
    </w:p>
    <w:p>
      <w:pPr>
        <w:pStyle w:val="Heading1"/>
      </w:pPr>
      <w:r>
        <w:t xml:space="preserve">What’s Next for GOTO?</w:t>
      </w:r>
    </w:p>
    <w:p>
      <w:pPr>
        <w:spacing w:after="160" w:line="288"/>
        <w:jc w:val="both"/>
      </w:pPr>
      <w:r>
        <w:rPr>
          <w:b/>
          <w:bCs/>
        </w:rPr>
        <w:t xml:space="preserve">The business keeps improving, and the earnings mix is shifting to Fintech.</w:t>
      </w:r>
      <w:r>
        <w:t xml:space="preserve"> In 2Q26, Core GTV rose 83% to Rp164tn, net revenue 31% to Rp5.7tn, and adjusted EBITDA 137% to more than Rp1.0tn. Net profit was Rp252bn, the second profitable quarter in a row. Fintech EBITDA grew 447% to Rp481bn and overtook ODS for the first time; loans grew 58% to Rp11tn. On full-year guidance, Fintech (Rp1.7–1.8tn) now out-earns ODS (Rp1.4–1.5tn). The business hit by the cap is no longer the main profit engine, and its weight shrinks every quarter Fintech grows.</w:t>
      </w:r>
    </w:p>
    <w:p>
      <w:pPr>
        <w:spacing w:after="160" w:line="288"/>
        <w:jc w:val="both"/>
      </w:pPr>
      <w:r>
        <w:rPr>
          <w:b/>
          <w:bCs/>
        </w:rPr>
        <w:t xml:space="preserve">The balance sheet backs the valuation.</w:t>
      </w:r>
      <w:r>
        <w:t xml:space="preserve"> GOTO held Rp23.5tn of cash at June and generated Rp809bn of adjusted free cash flow in 2Q. At Rp28, its ~1.15tn shares are worth ~Rp32tn, so gross cash covers about 73% of the market value. The rest of the business is valued at under 3x FY26 EBITDA guidance, although borrowings and any customer funds must be deducted before relying on that figure. The company will also ask shareholders on 14 October to cancel 32.18bn treasury shares (2.7%) that had been earmarked for employee stock plans. That removes a planned source of future dilution.</w:t>
      </w:r>
    </w:p>
    <w:p>
      <w:pPr>
        <w:spacing w:after="160" w:line="288"/>
        <w:jc w:val="both"/>
      </w:pPr>
      <w:r>
        <w:rPr>
          <w:b/>
          <w:bCs/>
        </w:rPr>
        <w:t xml:space="preserve">What could go wrong.</w:t>
      </w:r>
      <w:r>
        <w:t xml:space="preserve"> First, regulation may spread. The 8% cap covers two-wheel rides </w:t>
      </w:r>
      <w:r>
        <w:rPr>
          <w:b/>
          <w:bCs/>
        </w:rPr>
        <w:t xml:space="preserve">so far</w:t>
      </w:r>
      <w:r>
        <w:t xml:space="preserve">, and ministers met in August to discuss food delivery. Extending it to GoCar, GoFood or GoSend would hit much larger businesses. Second, guidance implies a weaker second half. 1H26 EBITDA was Rp1.92tn, so the full-year range needs only Rp0.64–0.74tn a quarter in 2H, against more than Rp1.0tn in 2Q. Either guidance is conservative, or management expects a 30%+ drop as the cap bites. Third, Fintech faces tighter paylater rules from the financial regulator (OJK) and a Grab-funded Atome. Fourth, on earnings rather than cash, GOTO is not yet cheap: annualised 2Q net profit puts it at about 30x.</w:t>
      </w:r>
    </w:p>
    <w:p>
      <w:pPr>
        <w:spacing w:after="160" w:line="288"/>
        <w:jc w:val="both"/>
      </w:pPr>
      <w:r>
        <w:rPr>
          <w:b/>
          <w:bCs/>
        </w:rPr>
        <w:t xml:space="preserve">Conclusion.</w:t>
      </w:r>
      <w:r>
        <w:t xml:space="preserve"> We value GOTO at Rp70–90/share; the sell-side consensus is ~Rp75–79, with 24 Buy ratings and no Sell. Regulatory risk is clearly higher and the merger is no longer part of the thesis. Even so, a full-year GoRide drag of ~Rp600bn does not justify a 44% fall, especially when most of that fall was forced selling and cash covers three-quarters of the market value. The key test is 3Q26 results, the first full quarter under the cap. If ODS EBITDA holds above the level implied by guidance, Fintech keeps compounding and the cap stays limited to two-wheel rides, prices around Rp25–30 will look substantially undervalued against GOTO’s longer-term earnings.</w:t>
      </w:r>
    </w:p>
    <w:p>
      <w:pPr>
        <w:spacing w:before="240"/>
      </w:pPr>
      <w:r>
        <w:rPr>
          <w:i/>
          <w:iCs/>
          <w:color w:val="595959"/>
          <w:sz w:val="17"/>
          <w:szCs w:val="17"/>
        </w:rPr>
        <w:t xml:space="preserve">Sources: GoTo releases and 2Q26 earnings call; Grab Form 6-K (SEC); MSCI via Reuters; Mirae Asset; IDX ownership disclosures via CNBC Indonesia, Kontan and Katadata; Bisnis Indonesia; Jakarta Globe. Prices as of 1 October 2026. Not investment advice.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Happened to GOTO?</dc:title>
  <dc:creator>Un-named</dc:creator>
  <cp:lastModifiedBy>Un-named</cp:lastModifiedBy>
  <cp:revision>1</cp:revision>
  <dcterms:created xsi:type="dcterms:W3CDTF">2026-10-01T09:36:59.790Z</dcterms:created>
  <dcterms:modified xsi:type="dcterms:W3CDTF">2026-10-01T09:36:59.791Z</dcterms:modified>
</cp:coreProperties>
</file>

<file path=docProps/custom.xml><?xml version="1.0" encoding="utf-8"?>
<Properties xmlns="http://schemas.openxmlformats.org/officeDocument/2006/custom-properties" xmlns:vt="http://schemas.openxmlformats.org/officeDocument/2006/docPropsVTypes"/>
</file>