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300" w:lineRule="auto"/>
      </w:pPr>
      <w:r>
        <w:rPr>
          <w:rFonts w:ascii="Calibri" w:hAnsi="Calibri" w:eastAsia="Microsoft YaHei"/>
          <w:b/>
          <w:i w:val="0"/>
          <w:color w:val="000000"/>
          <w:sz w:val="46"/>
        </w:rPr>
        <w:t>SCC UI/UX 设计规范</w:t>
      </w:r>
    </w:p>
    <w:p>
      <w:pPr>
        <w:spacing w:after="360" w:line="300" w:lineRule="auto"/>
      </w:pPr>
      <w:r>
        <w:rPr>
          <w:rFonts w:ascii="Calibri" w:hAnsi="Calibri" w:eastAsia="Microsoft YaHei"/>
          <w:b w:val="0"/>
          <w:i/>
          <w:color w:val="555555"/>
          <w:sz w:val="28"/>
        </w:rPr>
        <w:t>自然语言 CAD 编译器界面</w:t>
      </w:r>
    </w:p>
    <w:p>
      <w:pPr>
        <w:spacing w:after="40" w:line="300" w:lineRule="auto"/>
      </w:pPr>
      <w:r>
        <w:rPr>
          <w:rFonts w:ascii="Calibri" w:hAnsi="Calibri" w:eastAsia="Microsoft YaHei"/>
          <w:b/>
          <w:i w:val="0"/>
          <w:color w:val="000000"/>
          <w:sz w:val="22"/>
        </w:rPr>
        <w:t>文档：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 xml:space="preserve"> SCC 用户界面与体验设计规范</w:t>
      </w:r>
    </w:p>
    <w:p>
      <w:pPr>
        <w:spacing w:after="40" w:line="300" w:lineRule="auto"/>
      </w:pPr>
      <w:r>
        <w:rPr>
          <w:rFonts w:ascii="Calibri" w:hAnsi="Calibri" w:eastAsia="Microsoft YaHei"/>
          <w:b/>
          <w:i w:val="0"/>
          <w:color w:val="000000"/>
          <w:sz w:val="22"/>
        </w:rPr>
        <w:t>版本：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 xml:space="preserve"> 1.0</w:t>
      </w:r>
    </w:p>
    <w:p>
      <w:pPr>
        <w:spacing w:after="40" w:line="300" w:lineRule="auto"/>
      </w:pPr>
      <w:r>
        <w:rPr>
          <w:rFonts w:ascii="Calibri" w:hAnsi="Calibri" w:eastAsia="Microsoft YaHei"/>
          <w:b/>
          <w:i w:val="0"/>
          <w:color w:val="000000"/>
          <w:sz w:val="22"/>
        </w:rPr>
        <w:t>日期：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 xml:space="preserve"> 2026-07-03</w:t>
      </w:r>
    </w:p>
    <w:p>
      <w:pPr>
        <w:spacing w:after="40" w:line="300" w:lineRule="auto"/>
      </w:pPr>
      <w:r>
        <w:rPr>
          <w:rFonts w:ascii="Calibri" w:hAnsi="Calibri" w:eastAsia="Microsoft YaHei"/>
          <w:b/>
          <w:i w:val="0"/>
          <w:color w:val="000000"/>
          <w:sz w:val="22"/>
        </w:rPr>
        <w:t>状态：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 xml:space="preserve"> 设计草案</w:t>
      </w:r>
    </w:p>
    <w:p>
      <w:pPr>
        <w:spacing w:after="40" w:line="300" w:lineRule="auto"/>
      </w:pPr>
      <w:r>
        <w:rPr>
          <w:rFonts w:ascii="Calibri" w:hAnsi="Calibri" w:eastAsia="Microsoft YaHei"/>
          <w:b/>
          <w:i w:val="0"/>
          <w:color w:val="000000"/>
          <w:sz w:val="22"/>
        </w:rPr>
        <w:t>范围：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 xml:space="preserve"> 仅前端 UI/UX；不包含业务逻辑</w:t>
      </w:r>
    </w:p>
    <w:p>
      <w:pPr>
        <w:spacing w:after="360"/>
        <w:pBdr>
          <w:bottom w:val="single" w:sz="6" w:space="1" w:color="2E74B5"/>
        </w:pBdr>
      </w:pPr>
    </w:p>
    <w:p>
      <w:pPr>
        <w:pStyle w:val="Heading1"/>
      </w:pPr>
      <w:r>
        <w:t>执行摘要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本规范定义了语义约束编译器（SCC）的用户界面与体验设计。UI 是严格位于确定性编译器流水线之外的交互与可视化层，不引入业务逻辑。它通过定义良好的 API 与 LLM 意图编译器、M1 语义编译器、M2 运行时状态机以及未来的 M3 几何求解器进行通信。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本设计面向三类用户：需要精确控制的 CAD 工程师、偏好自然语言输入的普通用户，以及需要观察内部流水线的开发者。</w:t>
      </w:r>
    </w:p>
    <w:p>
      <w:pPr>
        <w:pStyle w:val="Heading1"/>
      </w:pPr>
      <w:r>
        <w:t>1. 产品愿景</w:t>
      </w:r>
    </w:p>
    <w:p>
      <w:pPr>
        <w:pStyle w:val="Heading2"/>
      </w:pPr>
      <w:r>
        <w:t>1.1 目的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SCC 是一个确定性 CAD 编译器系统。其目的是将人类设计意图——通过自然语言表达并由参考文档支持——转换为一个经过验证、可复现的几何模型。</w:t>
      </w:r>
    </w:p>
    <w:p>
      <w:pPr>
        <w:pStyle w:val="Heading2"/>
      </w:pPr>
      <w:r>
        <w:t>1.2 目标用户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</w:tcPr>
          <w:p>
            <w:r>
              <w:rPr>
                <w:rFonts w:ascii="Calibri" w:hAnsi="Calibri" w:eastAsia="Microsoft YaHei"/>
                <w:b/>
                <w:i w:val="0"/>
                <w:color w:val="000000"/>
                <w:sz w:val="22"/>
              </w:rPr>
              <w:t>用户</w:t>
            </w:r>
          </w:p>
        </w:tc>
        <w:tc>
          <w:tcPr>
            <w:tcW w:type="dxa" w:w="3120"/>
            <w:shd w:fill="E8EEF5"/>
          </w:tcPr>
          <w:p>
            <w:r>
              <w:rPr>
                <w:rFonts w:ascii="Calibri" w:hAnsi="Calibri" w:eastAsia="Microsoft YaHei"/>
                <w:b/>
                <w:i w:val="0"/>
                <w:color w:val="000000"/>
                <w:sz w:val="22"/>
              </w:rPr>
              <w:t>目标</w:t>
            </w:r>
          </w:p>
        </w:tc>
        <w:tc>
          <w:tcPr>
            <w:tcW w:type="dxa" w:w="3120"/>
            <w:shd w:fill="E8EEF5"/>
          </w:tcPr>
          <w:p>
            <w:r>
              <w:rPr>
                <w:rFonts w:ascii="Calibri" w:hAnsi="Calibri" w:eastAsia="Microsoft YaHei"/>
                <w:b/>
                <w:i w:val="0"/>
                <w:color w:val="000000"/>
                <w:sz w:val="22"/>
              </w:rPr>
              <w:t>主要交互方式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CAD 工程师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精确约束编写、权限控制、确定性验证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结构化提案编辑、IR 检查、变更控制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普通用户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无需学习 CAD 语法即可创建模型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自然语言聊天、文档上传、可视化反馈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开发者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调试编译器与运行时流水线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原始 JSON、追踪时间线、状态差异、日志</w:t>
            </w:r>
          </w:p>
        </w:tc>
      </w:tr>
    </w:tbl>
    <w:p/>
    <w:p>
      <w:pPr>
        <w:pStyle w:val="Heading2"/>
      </w:pPr>
      <w:r>
        <w:t>1.3 完整用户工作流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用户通过自然语言和/或参考文档（PDF、Word、Markdown）描述意图。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LLM 意图编译器将组合输入转换为 Proposal JSON。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M1 验证 Proposal，检测冲突，并生成确定性的 ConstraintIR。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M2 将 ConstraintIR 作为确定性状态机执行，生成 GraphState 与 ExecutionTrace。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未来的 M3 解释 GraphState 并求解几何，生成 CAD 预览。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用户审阅模型，提供后续指令并迭代。</w:t>
      </w:r>
    </w:p>
    <w:p>
      <w:pPr>
        <w:pStyle w:val="Heading1"/>
      </w:pPr>
      <w:r>
        <w:t>2. 信息架构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应用采用单一主工作区，并按角色提供不同的覆盖视图。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4680"/>
        <w:gridCol w:w="4680"/>
      </w:tblGrid>
      <w:tr>
        <w:tc>
          <w:tcPr>
            <w:tcW w:type="dxa" w:w="4680"/>
            <w:shd w:fill="E8EEF5"/>
          </w:tcPr>
          <w:p>
            <w:r>
              <w:rPr>
                <w:rFonts w:ascii="Calibri" w:hAnsi="Calibri" w:eastAsia="Microsoft YaHei"/>
                <w:b/>
                <w:i w:val="0"/>
                <w:color w:val="000000"/>
                <w:sz w:val="22"/>
              </w:rPr>
              <w:t>页面 / 视图</w:t>
            </w:r>
          </w:p>
        </w:tc>
        <w:tc>
          <w:tcPr>
            <w:tcW w:type="dxa" w:w="4680"/>
            <w:shd w:fill="E8EEF5"/>
          </w:tcPr>
          <w:p>
            <w:r>
              <w:rPr>
                <w:rFonts w:ascii="Calibri" w:hAnsi="Calibri" w:eastAsia="Microsoft YaHei"/>
                <w:b/>
                <w:i w:val="0"/>
                <w:color w:val="000000"/>
                <w:sz w:val="22"/>
              </w:rPr>
              <w:t>职责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欢迎页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项目选择、最近文件、快速启动模板、用户角色切换。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工作区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主要设计环境：输入、画布与侧边面板。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项目浏览器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设计项目、版本与导出产物列表。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聊天 / 意图面板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自然语言输入、文档上传、对话历史与意图确认。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Proposal 查看器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以结构化方式展示 LLM 生成的 Proposal JSON。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ConstraintIR 查看器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以可视化图展示 M1 生成的 ConstraintIR。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运行时查看器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展示 M2 执行后的 GraphState 摘要与 ExecutionTrace 时间线。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几何查看器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展示 M3 生成的 CAD 预览（当前实现占位）。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冲突面板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以自然语言展示 M1 冲突报告与修复建议。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属性检查器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编辑所选实体与约束的属性。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历史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Proposal、IR 与运行时状态的有版本快照。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设置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偏好设置、API 端点、模型选择与无障碍选项。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调试面板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面向开发者的原始 JSON、编译器日志、运行时日志与求解器日志。</w:t>
            </w:r>
          </w:p>
        </w:tc>
      </w:tr>
    </w:tbl>
    <w:p/>
    <w:p>
      <w:pPr>
        <w:pStyle w:val="Heading1"/>
      </w:pPr>
      <w:r>
        <w:t>3. 布局规范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工作区采用三栏布局，底部悬浮输入编辑器。视觉风格为深色、单色、iOS 风格毛玻璃。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4680"/>
        <w:gridCol w:w="4680"/>
      </w:tblGrid>
      <w:tr>
        <w:tc>
          <w:tcPr>
            <w:tcW w:type="dxa" w:w="4680"/>
            <w:shd w:fill="E8EEF5"/>
          </w:tcPr>
          <w:p>
            <w:r>
              <w:rPr>
                <w:rFonts w:ascii="Calibri" w:hAnsi="Calibri" w:eastAsia="Microsoft YaHei"/>
                <w:b/>
                <w:i w:val="0"/>
                <w:color w:val="000000"/>
                <w:sz w:val="22"/>
              </w:rPr>
              <w:t>区域</w:t>
            </w:r>
          </w:p>
        </w:tc>
        <w:tc>
          <w:tcPr>
            <w:tcW w:type="dxa" w:w="4680"/>
            <w:shd w:fill="E8EEF5"/>
          </w:tcPr>
          <w:p>
            <w:r>
              <w:rPr>
                <w:rFonts w:ascii="Calibri" w:hAnsi="Calibri" w:eastAsia="Microsoft YaHei"/>
                <w:b/>
                <w:i w:val="0"/>
                <w:color w:val="000000"/>
                <w:sz w:val="22"/>
              </w:rPr>
              <w:t>内容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左侧边栏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聊天 / 意图面板、文档上传列表、对话历史、快速模板。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中央画布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根据当前模式显示约束图、CAD 几何预览或执行追踪时间线。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右侧检查器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属性检查器、Proposal 查看器、IR / Trace 查看器、冲突详情。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底部编辑器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自然语言与文档上传的悬浮输入栏。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顶部工具栏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项目名称、撤销/重做、运行控制、模式切换、用户菜单。</w:t>
            </w:r>
          </w:p>
        </w:tc>
      </w:tr>
    </w:tbl>
    <w:p/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颜色系统：黑色背景、白色主文本、灰色辅助文本，以及半透明白色面板配合背景模糊。不使用颜色编码语义含义；层级通过间距、不透明度和边框亮度传达。</w:t>
      </w:r>
    </w:p>
    <w:p>
      <w:pPr>
        <w:pStyle w:val="Heading1"/>
      </w:pPr>
      <w:r>
        <w:t>4. 用户交互流程</w:t>
      </w:r>
    </w:p>
    <w:p>
      <w:pPr>
        <w:pStyle w:val="Heading2"/>
      </w:pPr>
      <w:r>
        <w:t>4.1 主流程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</w:tcPr>
          <w:p>
            <w:r>
              <w:rPr>
                <w:rFonts w:ascii="Calibri" w:hAnsi="Calibri" w:eastAsia="Microsoft YaHei"/>
                <w:b/>
                <w:i w:val="0"/>
                <w:color w:val="000000"/>
                <w:sz w:val="22"/>
              </w:rPr>
              <w:t>步骤</w:t>
            </w:r>
          </w:p>
        </w:tc>
        <w:tc>
          <w:tcPr>
            <w:tcW w:type="dxa" w:w="2340"/>
            <w:shd w:fill="E8EEF5"/>
          </w:tcPr>
          <w:p>
            <w:r>
              <w:rPr>
                <w:rFonts w:ascii="Calibri" w:hAnsi="Calibri" w:eastAsia="Microsoft YaHei"/>
                <w:b/>
                <w:i w:val="0"/>
                <w:color w:val="000000"/>
                <w:sz w:val="22"/>
              </w:rPr>
              <w:t>操作</w:t>
            </w:r>
          </w:p>
        </w:tc>
        <w:tc>
          <w:tcPr>
            <w:tcW w:type="dxa" w:w="2340"/>
            <w:shd w:fill="E8EEF5"/>
          </w:tcPr>
          <w:p>
            <w:r>
              <w:rPr>
                <w:rFonts w:ascii="Calibri" w:hAnsi="Calibri" w:eastAsia="Microsoft YaHei"/>
                <w:b/>
                <w:i w:val="0"/>
                <w:color w:val="000000"/>
                <w:sz w:val="22"/>
              </w:rPr>
              <w:t>系统响应</w:t>
            </w:r>
          </w:p>
        </w:tc>
        <w:tc>
          <w:tcPr>
            <w:tcW w:type="dxa" w:w="2340"/>
            <w:shd w:fill="E8EEF5"/>
          </w:tcPr>
          <w:p>
            <w:r>
              <w:rPr>
                <w:rFonts w:ascii="Calibri" w:hAnsi="Calibri" w:eastAsia="Microsoft YaHei"/>
                <w:b/>
                <w:i w:val="0"/>
                <w:color w:val="000000"/>
                <w:sz w:val="22"/>
              </w:rPr>
              <w:t>UI 更新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用户输入自然语言或上传文档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UI 提取文本并转发给 LLM 意图编译器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聊天面板显示输入；编辑器显示文档标签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LLM 生成 Proposal JSON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UI 仅接收 Proposal JSON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Proposal 查看器以结构化树打开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M1 验证 Proposal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UI 提交到 /compile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编译阶段显示加载指示器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4a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M1 检测到冲突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UI 接收冲突报告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冲突面板打开，显示解释与建议修复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4b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M1 生成 ConstraintIR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UI 接收 ConstraintIR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ConstraintIR 查看器渲染图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M2 执行 ConstraintIR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UI 提交到 /execute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运行时查看器显示 GraphState 与 Trace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6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M3 求解几何（未来）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UI 提交 GraphState 到 /solve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几何查看器渲染 CAD 预览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7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用户提供后续指令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UI 将新文本与当前上下文合并并返回步骤 2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聊天历史新增消息</w:t>
            </w:r>
          </w:p>
        </w:tc>
      </w:tr>
    </w:tbl>
    <w:p/>
    <w:p>
      <w:pPr>
        <w:pStyle w:val="Heading2"/>
      </w:pPr>
      <w:r>
        <w:t>4.2 冲突解决流程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M1 返回包含冲突类型、受影响实体与原因的冲突报告。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UI 以自然语言展示冲突，而非原始编译器错误。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用户直接编辑 Proposal 或在聊天面板中重新表述意图。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修订后的 Proposal 重新提交给 M1 进行验证。</w:t>
      </w:r>
    </w:p>
    <w:p>
      <w:pPr>
        <w:pStyle w:val="Heading2"/>
      </w:pPr>
      <w:r>
        <w:t>4.3 变更流程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用户选择实体或约束，或在聊天中描述变更。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UI 生成 MutationPatch，或请求 LLM 生成新的 Proposal。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M2 针对现有 ConstraintIR 执行该补丁，生成新的 GraphState。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UI 更新画布、追踪与属性检查器。</w:t>
      </w:r>
    </w:p>
    <w:p>
      <w:pPr>
        <w:pStyle w:val="Heading1"/>
      </w:pPr>
      <w:r>
        <w:t>5. UI 组件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4680"/>
        <w:gridCol w:w="4680"/>
      </w:tblGrid>
      <w:tr>
        <w:tc>
          <w:tcPr>
            <w:tcW w:type="dxa" w:w="4680"/>
            <w:shd w:fill="E8EEF5"/>
          </w:tcPr>
          <w:p>
            <w:r>
              <w:rPr>
                <w:rFonts w:ascii="Calibri" w:hAnsi="Calibri" w:eastAsia="Microsoft YaHei"/>
                <w:b/>
                <w:i w:val="0"/>
                <w:color w:val="000000"/>
                <w:sz w:val="22"/>
              </w:rPr>
              <w:t>组件</w:t>
            </w:r>
          </w:p>
        </w:tc>
        <w:tc>
          <w:tcPr>
            <w:tcW w:type="dxa" w:w="4680"/>
            <w:shd w:fill="E8EEF5"/>
          </w:tcPr>
          <w:p>
            <w:r>
              <w:rPr>
                <w:rFonts w:ascii="Calibri" w:hAnsi="Calibri" w:eastAsia="Microsoft YaHei"/>
                <w:b/>
                <w:i w:val="0"/>
                <w:color w:val="000000"/>
                <w:sz w:val="22"/>
              </w:rPr>
              <w:t>职责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ChatInput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接受自然语言文本，支持文档附件、多行与发送操作。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DocumentUploader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PDF、DOCX、Markdown 的拖放文件输入；显示提取状态。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DocumentContextCard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展示已上传文档、提取文本片段与相关性开关。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ProposalTree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实体、关系、尺寸、阵列、锚点的层级树视图。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JSONViewer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可折叠、语法感知的 JSON 展示，用于 Proposal、IR、GraphState 与 Trace。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ConflictPanel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展示冲突报告，包括严重级别、位置与建议修复。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ExecutionTraceViewer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追踪事件的时间线或列表，含快照与命令摘要。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GraphViewport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ConstraintIR 与 GraphState 的交互式图渲染。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GeometryViewport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M3 输出的 2D/3D CAD 预览区域。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PropertyInspector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所选实体/约束属性的表单式编辑器。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MutationEditor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变更操作构建覆盖层：UpdateParameter、SuppressConstraint、ChangeAuthority。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ModeToggle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在用户模式与调试模式之间切换。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NotificationCenter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编译、运行时与求解器状态的 Toast 与内联通知。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StageIndicator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LLM → M1 → M2 → M3 流水线阶段的视觉进度条。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HistoryPanel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带差异与恢复操作的有版本快照。</w:t>
            </w:r>
          </w:p>
        </w:tc>
      </w:tr>
    </w:tbl>
    <w:p/>
    <w:p>
      <w:pPr>
        <w:pStyle w:val="Heading1"/>
      </w:pPr>
      <w:r>
        <w:t>6. 可视化规则</w:t>
      </w:r>
    </w:p>
    <w:p>
      <w:pPr>
        <w:pStyle w:val="Heading2"/>
      </w:pPr>
      <w:r>
        <w:t>6.1 Proposal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主要形式：可折叠树，分类为：实体、关系、尺寸、阵列、锚点、元数据。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次要形式：用于原始 Proposal JSON 的 JSONViewer。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冲突或缺失字段以柔和的白色边框与淡灰色辅助文本高亮。</w:t>
      </w:r>
    </w:p>
    <w:p>
      <w:pPr>
        <w:pStyle w:val="Heading2"/>
      </w:pPr>
      <w:r>
        <w:t>6.2 ConstraintIR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主要形式：节点-连接图，实体为节点，约束为边。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边标签显示约束类型与权限级别。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次要形式：用于原始 ConstraintIR 的 JSONViewer。</w:t>
      </w:r>
    </w:p>
    <w:p>
      <w:pPr>
        <w:pStyle w:val="Heading2"/>
      </w:pPr>
      <w:r>
        <w:t>6.3 GraphState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主要形式：图视口，展示运行时实体/约束状态与参数。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活动约束显示为实线；被抑制约束显示为淡色。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参数值在侧面板或空间允许时以内联标签显示。</w:t>
      </w:r>
    </w:p>
    <w:p>
      <w:pPr>
        <w:pStyle w:val="Heading2"/>
      </w:pPr>
      <w:r>
        <w:t>6.4 几何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主要形式：GeometryViewport，支持平移、缩放与自适应视图控制。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几何以白色线条在深色背景上渲染，与单色配色保持一致。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尺寸与约束以细灰色注释叠加显示。</w:t>
      </w:r>
    </w:p>
    <w:p>
      <w:pPr>
        <w:pStyle w:val="Heading2"/>
      </w:pPr>
      <w:r>
        <w:t>6.5 ExecutionTrace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主要形式：垂直时间线，含快照 ID 与命令摘要。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悬停追踪事件时，高亮图视口中对应的状态变化。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覆盖事件与计划命令分组展示。</w:t>
      </w:r>
    </w:p>
    <w:p>
      <w:pPr>
        <w:pStyle w:val="Heading1"/>
      </w:pPr>
      <w:r>
        <w:t>7. 调试模式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调试模式是面向工程的视图，暴露内部确定性流水线。默认隐藏，可通过模式切换或快捷键访问。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4680"/>
        <w:gridCol w:w="4680"/>
      </w:tblGrid>
      <w:tr>
        <w:tc>
          <w:tcPr>
            <w:tcW w:type="dxa" w:w="4680"/>
            <w:shd w:fill="E8EEF5"/>
          </w:tcPr>
          <w:p>
            <w:r>
              <w:rPr>
                <w:rFonts w:ascii="Calibri" w:hAnsi="Calibri" w:eastAsia="Microsoft YaHei"/>
                <w:b/>
                <w:i w:val="0"/>
                <w:color w:val="000000"/>
                <w:sz w:val="22"/>
              </w:rPr>
              <w:t>面板</w:t>
            </w:r>
          </w:p>
        </w:tc>
        <w:tc>
          <w:tcPr>
            <w:tcW w:type="dxa" w:w="4680"/>
            <w:shd w:fill="E8EEF5"/>
          </w:tcPr>
          <w:p>
            <w:r>
              <w:rPr>
                <w:rFonts w:ascii="Calibri" w:hAnsi="Calibri" w:eastAsia="Microsoft YaHei"/>
                <w:b/>
                <w:i w:val="0"/>
                <w:color w:val="000000"/>
                <w:sz w:val="22"/>
              </w:rPr>
              <w:t>内容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Proposal JSON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LLM 生成的原始 Proposal JSON。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ConstraintIR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M1 生成的原始 ConstraintIR。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ExecutionPlan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M2 计划生成器生成的运行时命令与覆盖操作。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GraphState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M2 执行后的序列化运行时状态。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ExecutionTrace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快照与命令摘要的完整追踪。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编译器日志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M1 解析、验证与降级日志。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运行时日志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M2 状态机执行日志。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求解器日志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M3 几何求解器日志（未来）。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差异查看器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两个版本 Proposal、IR 或 GraphState 的并排比较。</w:t>
            </w:r>
          </w:p>
        </w:tc>
      </w:tr>
    </w:tbl>
    <w:p/>
    <w:p>
      <w:pPr>
        <w:pStyle w:val="Heading1"/>
      </w:pPr>
      <w:r>
        <w:t>8. 用户模式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用户模式是默认的简化界面，面向不需要查看内部流水线的普通用户与 CAD 工程师。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4680"/>
        <w:gridCol w:w="4680"/>
      </w:tblGrid>
      <w:tr>
        <w:tc>
          <w:tcPr>
            <w:tcW w:type="dxa" w:w="4680"/>
            <w:shd w:fill="E8EEF5"/>
          </w:tcPr>
          <w:p>
            <w:r>
              <w:rPr>
                <w:rFonts w:ascii="Calibri" w:hAnsi="Calibri" w:eastAsia="Microsoft YaHei"/>
                <w:b/>
                <w:i w:val="0"/>
                <w:color w:val="000000"/>
                <w:sz w:val="22"/>
              </w:rPr>
              <w:t>可见元素</w:t>
            </w:r>
          </w:p>
        </w:tc>
        <w:tc>
          <w:tcPr>
            <w:tcW w:type="dxa" w:w="4680"/>
            <w:shd w:fill="E8EEF5"/>
          </w:tcPr>
          <w:p>
            <w:r>
              <w:rPr>
                <w:rFonts w:ascii="Calibri" w:hAnsi="Calibri" w:eastAsia="Microsoft YaHei"/>
                <w:b/>
                <w:i w:val="0"/>
                <w:color w:val="000000"/>
                <w:sz w:val="22"/>
              </w:rPr>
              <w:t>用途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意图聊天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自然语言输入与对话历史。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几何视口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求解后模型的 CAD 预览。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冲突消息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设计冲突的通俗解释。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项目文件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上传文档、保存版本与导出产物。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快捷操作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常见变更，如修改尺寸、抑制约束或重新生成。</w:t>
            </w:r>
          </w:p>
        </w:tc>
      </w:tr>
    </w:tbl>
    <w:p/>
    <w:p>
      <w:pPr>
        <w:pStyle w:val="Heading1"/>
      </w:pPr>
      <w:r>
        <w:t>9. API 契约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前端通过以下概念性 API 与 SCC 后端通信。具体的传输协议、认证与错误格式将在实现阶段定义。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</w:tcPr>
          <w:p>
            <w:r>
              <w:rPr>
                <w:rFonts w:ascii="Calibri" w:hAnsi="Calibri" w:eastAsia="Microsoft YaHei"/>
                <w:b/>
                <w:i w:val="0"/>
                <w:color w:val="000000"/>
                <w:sz w:val="22"/>
              </w:rPr>
              <w:t>端点</w:t>
            </w:r>
          </w:p>
        </w:tc>
        <w:tc>
          <w:tcPr>
            <w:tcW w:type="dxa" w:w="2340"/>
            <w:shd w:fill="E8EEF5"/>
          </w:tcPr>
          <w:p>
            <w:r>
              <w:rPr>
                <w:rFonts w:ascii="Calibri" w:hAnsi="Calibri" w:eastAsia="Microsoft YaHei"/>
                <w:b/>
                <w:i w:val="0"/>
                <w:color w:val="000000"/>
                <w:sz w:val="22"/>
              </w:rPr>
              <w:t>用途</w:t>
            </w:r>
          </w:p>
        </w:tc>
        <w:tc>
          <w:tcPr>
            <w:tcW w:type="dxa" w:w="2340"/>
            <w:shd w:fill="E8EEF5"/>
          </w:tcPr>
          <w:p>
            <w:r>
              <w:rPr>
                <w:rFonts w:ascii="Calibri" w:hAnsi="Calibri" w:eastAsia="Microsoft YaHei"/>
                <w:b/>
                <w:i w:val="0"/>
                <w:color w:val="000000"/>
                <w:sz w:val="22"/>
              </w:rPr>
              <w:t>请求</w:t>
            </w:r>
          </w:p>
        </w:tc>
        <w:tc>
          <w:tcPr>
            <w:tcW w:type="dxa" w:w="2340"/>
            <w:shd w:fill="E8EEF5"/>
          </w:tcPr>
          <w:p>
            <w:r>
              <w:rPr>
                <w:rFonts w:ascii="Calibri" w:hAnsi="Calibri" w:eastAsia="Microsoft YaHei"/>
                <w:b/>
                <w:i w:val="0"/>
                <w:color w:val="000000"/>
                <w:sz w:val="22"/>
              </w:rPr>
              <w:t>响应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POST /intent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将自然语言与文档翻译为 Proposal JSON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{ text: string, documents: File[] }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{ proposal: ProposalJSON }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POST /compile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验证 Proposal 并生成 ConstraintIR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{ proposal: ProposalJSON }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{ ir: ConstraintIR } 或 { conflicts: ConflictReport }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POST /execute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在 ConstraintIR 上运行 M2 状态机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{ ir: ConstraintIR, mutation?: MutationPatch }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{ state: GraphState, trace: ExecutionTrace }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POST /solve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从 GraphState 求解几何（未来 M3）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{ state: GraphState }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{ geometry: GeometryModel }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GET /project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加载项目元数据与最新产物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{ projectId: string }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{ project: Project }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POST /project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保存项目快照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{ projectId: string, artifacts: Artifact[] }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{ version: string }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GET /history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列出有版本快照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{ projectId: string }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{ versions: Version[] }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POST /restore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恢复到之前版本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{ projectId: string, version: string }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{ artifacts: Artifact[] }</w:t>
            </w:r>
          </w:p>
        </w:tc>
      </w:tr>
    </w:tbl>
    <w:p/>
    <w:p>
      <w:pPr>
        <w:pStyle w:val="Heading1"/>
      </w:pPr>
      <w:r>
        <w:t>10. 设计语言</w:t>
      </w:r>
    </w:p>
    <w:p>
      <w:pPr>
        <w:pStyle w:val="Heading2"/>
      </w:pPr>
      <w:r>
        <w:t>10.1 颜色系统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</w:tcPr>
          <w:p>
            <w:r>
              <w:rPr>
                <w:rFonts w:ascii="Calibri" w:hAnsi="Calibri" w:eastAsia="Microsoft YaHei"/>
                <w:b/>
                <w:i w:val="0"/>
                <w:color w:val="000000"/>
                <w:sz w:val="22"/>
              </w:rPr>
              <w:t>Token</w:t>
            </w:r>
          </w:p>
        </w:tc>
        <w:tc>
          <w:tcPr>
            <w:tcW w:type="dxa" w:w="3120"/>
            <w:shd w:fill="E8EEF5"/>
          </w:tcPr>
          <w:p>
            <w:r>
              <w:rPr>
                <w:rFonts w:ascii="Calibri" w:hAnsi="Calibri" w:eastAsia="Microsoft YaHei"/>
                <w:b/>
                <w:i w:val="0"/>
                <w:color w:val="000000"/>
                <w:sz w:val="22"/>
              </w:rPr>
              <w:t>值</w:t>
            </w:r>
          </w:p>
        </w:tc>
        <w:tc>
          <w:tcPr>
            <w:tcW w:type="dxa" w:w="3120"/>
            <w:shd w:fill="E8EEF5"/>
          </w:tcPr>
          <w:p>
            <w:r>
              <w:rPr>
                <w:rFonts w:ascii="Calibri" w:hAnsi="Calibri" w:eastAsia="Microsoft YaHei"/>
                <w:b/>
                <w:i w:val="0"/>
                <w:color w:val="000000"/>
                <w:sz w:val="22"/>
              </w:rPr>
              <w:t>用途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背景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#000000 / #0A0A0A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应用背景与画布底色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玻璃面板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rgba(255,255,255,0.08)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悬浮侧边栏、卡片与检查器面板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玻璃高亮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rgba(255,255,255,0.16)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悬停状态与抬升表面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边框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rgba(255,255,255,0.12)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面板边框与分隔线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文本主色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#FFFFFF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标题、标签与重要内容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文本辅助色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rgba(255,255,255,0.64)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描述、元数据、占位符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文本弱化色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rgba(255,255,255,0.38)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禁用或非活动元素</w:t>
            </w:r>
          </w:p>
        </w:tc>
      </w:tr>
    </w:tbl>
    <w:p/>
    <w:p>
      <w:pPr>
        <w:pStyle w:val="Heading2"/>
      </w:pPr>
      <w:r>
        <w:t>10.2 字体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主字体：系统无衬线（类 iOS 默认）或干净的几何无衬线字体，如 Inter 或 SF Pro。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正文字号：桌面 14 pt，触控界面 16 pt。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标题使用紧凑字距；正文使用常规字距。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JSON、代码与追踪日志使用等宽字体。</w:t>
      </w:r>
    </w:p>
    <w:p>
      <w:pPr>
        <w:pStyle w:val="Heading2"/>
      </w:pPr>
      <w:r>
        <w:t>10.3 间距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基础网格：8 px。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面板内边距：16–24 px。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卡片圆角：大面板 16–20 px，按钮与输入框 12 px。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主要分组之间的垂直节奏：24–32 px。</w:t>
      </w:r>
    </w:p>
    <w:p>
      <w:pPr>
        <w:pStyle w:val="Heading2"/>
      </w:pPr>
      <w:r>
        <w:t>10.4 图标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图标风格：细线、单色、1.5 px 描边。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工具使用图标（上传、撤销、运行、设置）与实体类型图标（圆、矩形、线）。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所有图标包含无障碍标签与工具提示。</w:t>
      </w:r>
    </w:p>
    <w:p>
      <w:pPr>
        <w:pStyle w:val="Heading2"/>
      </w:pPr>
      <w:r>
        <w:t>10.5 动画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过渡：面板出现、悬停状态与模态进入使用 200–300 ms ease-out。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渐进展示：流水线阶段指示器随 LLM → M1 → M2 → M3 完成而动画。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图过渡：IR 或 GraphState 变化时节点/边平滑更新。</w:t>
      </w:r>
    </w:p>
    <w:p>
      <w:pPr>
        <w:pStyle w:val="Heading2"/>
      </w:pPr>
      <w:r>
        <w:t>10.6 无障碍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所有文本最小对比度 4.5:1；大号文本 3:1。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所有面板与画布支持键盘导航。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图为节点、追踪事件与冲突消息提供屏幕阅读器标签。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尊重减少动画偏好。</w:t>
      </w:r>
    </w:p>
    <w:p>
      <w:pPr>
        <w:pStyle w:val="Heading2"/>
      </w:pPr>
      <w:r>
        <w:t>10.7 响应式行为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桌面：三栏工作区，侧边栏常驻。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平板：可折叠侧边栏；编辑器使用底部表单。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手机：单列堆叠；画布全屏，面板作为底部表单。</w:t>
      </w:r>
    </w:p>
    <w:p>
      <w:pPr>
        <w:pStyle w:val="Heading1"/>
      </w:pPr>
      <w:r>
        <w:t>11. 未来扩展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以下能力是架构占位符。它们不得影响当前 UI 实现，但应在布局与 API 设计中予以考虑。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4680"/>
        <w:gridCol w:w="4680"/>
      </w:tblGrid>
      <w:tr>
        <w:tc>
          <w:tcPr>
            <w:tcW w:type="dxa" w:w="4680"/>
            <w:shd w:fill="E8EEF5"/>
          </w:tcPr>
          <w:p>
            <w:r>
              <w:rPr>
                <w:rFonts w:ascii="Calibri" w:hAnsi="Calibri" w:eastAsia="Microsoft YaHei"/>
                <w:b/>
                <w:i w:val="0"/>
                <w:color w:val="000000"/>
                <w:sz w:val="22"/>
              </w:rPr>
              <w:t>能力</w:t>
            </w:r>
          </w:p>
        </w:tc>
        <w:tc>
          <w:tcPr>
            <w:tcW w:type="dxa" w:w="4680"/>
            <w:shd w:fill="E8EEF5"/>
          </w:tcPr>
          <w:p>
            <w:r>
              <w:rPr>
                <w:rFonts w:ascii="Calibri" w:hAnsi="Calibri" w:eastAsia="Microsoft YaHei"/>
                <w:b/>
                <w:i w:val="0"/>
                <w:color w:val="000000"/>
                <w:sz w:val="22"/>
              </w:rPr>
              <w:t>占位描述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插件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自定义约束、实体类型与导出器的扩展 API。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多 LLM 提供商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可配置的意图编译器后端；UI 将提供商视为黑盒。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多 CAD 内核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可切换的 M3 求解器；UI 显示当前内核名称。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云端执行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远程 M2/M3 执行；UI 显示进度与队列状态。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协作编辑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多用户 Proposal 编辑，含在线状态与光标。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版本历史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Proposal、IR 与运行时状态的分支与标签。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AI 助手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上下文帮助与建议卡片，输入给 LLM 意图编译器，而非运行时。</w:t>
            </w:r>
          </w:p>
        </w:tc>
      </w:tr>
    </w:tbl>
    <w:p/>
    <w:p>
      <w:pPr>
        <w:spacing w:after="240" w:line="300" w:lineRule="auto"/>
      </w:pPr>
      <w:r>
        <w:rPr>
          <w:rFonts w:ascii="Calibri" w:hAnsi="Calibri" w:eastAsia="Microsoft YaHei"/>
          <w:b w:val="0"/>
          <w:i/>
          <w:color w:val="000000"/>
          <w:sz w:val="22"/>
        </w:rPr>
        <w:t>本规范有意避免实现细节。框架选择、组件库与具体 API 传输协议将在下一阶段确定。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