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EF0E3D">
      <w:pPr>
        <w:pStyle w:val="19"/>
        <w:rPr>
          <w:rFonts w:ascii="Times New Roman" w:hAnsi="Times New Roman" w:eastAsia="黑体" w:cs="Times New Roman"/>
          <w:b w:val="0"/>
          <w:bCs w:val="0"/>
          <w:sz w:val="36"/>
          <w:szCs w:val="24"/>
        </w:rPr>
      </w:pPr>
      <w:r>
        <w:rPr>
          <w:rFonts w:ascii="Times New Roman" w:hAnsi="Times New Roman" w:eastAsia="黑体" w:cs="Times New Roman"/>
          <w:b w:val="0"/>
          <w:bCs w:val="0"/>
          <w:sz w:val="36"/>
          <w:szCs w:val="24"/>
        </w:rPr>
        <w:t>ROV及多波束前视声纳综合选型采购方案</w:t>
      </w:r>
    </w:p>
    <w:p w14:paraId="12BFC377">
      <w:pPr>
        <w:pStyle w:val="3"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</w:p>
    <w:p w14:paraId="22759630">
      <w:pPr>
        <w:pStyle w:val="3"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文中价格为资料所载参考报价，采购价格以供应商提交的含税、运输及系统集成费用的正式报价为准。</w:t>
      </w:r>
    </w:p>
    <w:p w14:paraId="4E055785">
      <w:pPr>
        <w:pStyle w:val="2"/>
      </w:pPr>
    </w:p>
    <w:p w14:paraId="569B1221">
      <w:pPr>
        <w:pStyle w:val="2"/>
        <w:rPr>
          <w:rFonts w:ascii="Times New Roman" w:hAnsi="Times New Roman" w:eastAsia="黑体" w:cs="Times New Roman"/>
          <w:b w:val="0"/>
          <w:bCs w:val="0"/>
          <w:sz w:val="32"/>
          <w:szCs w:val="44"/>
        </w:rPr>
      </w:pPr>
      <w:r>
        <w:rPr>
          <w:rFonts w:ascii="Times New Roman" w:hAnsi="Times New Roman" w:eastAsia="黑体" w:cs="Times New Roman"/>
          <w:b w:val="0"/>
          <w:bCs w:val="0"/>
          <w:sz w:val="32"/>
          <w:szCs w:val="44"/>
        </w:rPr>
        <w:br w:type="page"/>
      </w:r>
    </w:p>
    <w:sdt>
      <w:sdtPr>
        <w:rPr>
          <w:rFonts w:ascii="Times New Roman" w:hAnsi="Times New Roman" w:eastAsia="黑体" w:cs="Times New Roman"/>
          <w:b w:val="0"/>
          <w:bCs w:val="0"/>
          <w:sz w:val="32"/>
          <w:szCs w:val="44"/>
        </w:rPr>
        <w:id w:val="147467923"/>
        <w:docPartObj>
          <w:docPartGallery w:val="Table of Contents"/>
          <w:docPartUnique/>
        </w:docPartObj>
      </w:sdtPr>
      <w:sdtContent>
        <w:p w14:paraId="5C3CDE2A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 w:val="0"/>
            <w:snapToGrid/>
            <w:jc w:val="center"/>
            <w:textAlignment w:val="auto"/>
            <w:outlineLvl w:val="9"/>
            <w:rPr>
              <w:rFonts w:ascii="Times New Roman" w:hAnsi="Times New Roman" w:eastAsia="黑体" w:cs="Times New Roman"/>
              <w:b w:val="0"/>
              <w:bCs w:val="0"/>
              <w:sz w:val="32"/>
              <w:szCs w:val="44"/>
            </w:rPr>
          </w:pPr>
          <w:r>
            <w:rPr>
              <w:rFonts w:ascii="Times New Roman" w:hAnsi="Times New Roman" w:eastAsia="黑体" w:cs="Times New Roman"/>
              <w:b w:val="0"/>
              <w:bCs w:val="0"/>
              <w:sz w:val="32"/>
              <w:szCs w:val="44"/>
            </w:rPr>
            <w:t>目录</w:t>
          </w:r>
        </w:p>
        <w:p w14:paraId="2450E6B2">
          <w:pPr>
            <w:pStyle w:val="15"/>
            <w:tabs>
              <w:tab w:val="right" w:leader="dot" w:pos="8640"/>
            </w:tabs>
            <w:rPr>
              <w:sz w:val="22"/>
              <w:szCs w:val="22"/>
            </w:rPr>
          </w:pP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TOC \o "1-3" \h \z \u</w:instrText>
          </w:r>
          <w:r>
            <w:rPr>
              <w:sz w:val="22"/>
              <w:szCs w:val="22"/>
            </w:rPr>
            <w:fldChar w:fldCharType="separate"/>
          </w: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HYPERLINK \l _Toc10711 </w:instrText>
          </w:r>
          <w:r>
            <w:rPr>
              <w:sz w:val="22"/>
              <w:szCs w:val="22"/>
            </w:rPr>
            <w:fldChar w:fldCharType="separate"/>
          </w:r>
          <w:r>
            <w:rPr>
              <w:rFonts w:hint="eastAsia" w:eastAsia="黑体"/>
              <w:bCs w:val="0"/>
              <w:sz w:val="22"/>
              <w:szCs w:val="40"/>
              <w:bdr w:val="none" w:sz="0" w:space="0"/>
            </w:rPr>
            <w:t xml:space="preserve">一、 </w:t>
          </w:r>
          <w:r>
            <w:rPr>
              <w:rFonts w:ascii="Times New Roman" w:hAnsi="Times New Roman" w:eastAsia="黑体" w:cs="Times New Roman"/>
              <w:bCs w:val="0"/>
              <w:sz w:val="22"/>
              <w:szCs w:val="40"/>
            </w:rPr>
            <w:t>项目目标与硬性要求</w:t>
          </w:r>
          <w:r>
            <w:rPr>
              <w:sz w:val="22"/>
              <w:szCs w:val="22"/>
            </w:rPr>
            <w:tab/>
          </w: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PAGEREF _Toc10711 \h </w:instrText>
          </w:r>
          <w:r>
            <w:rPr>
              <w:sz w:val="22"/>
              <w:szCs w:val="22"/>
            </w:rPr>
            <w:fldChar w:fldCharType="separate"/>
          </w:r>
          <w:r>
            <w:rPr>
              <w:sz w:val="22"/>
              <w:szCs w:val="22"/>
            </w:rPr>
            <w:t>4</w:t>
          </w:r>
          <w:r>
            <w:rPr>
              <w:sz w:val="22"/>
              <w:szCs w:val="22"/>
            </w:rPr>
            <w:fldChar w:fldCharType="end"/>
          </w:r>
          <w:r>
            <w:rPr>
              <w:sz w:val="22"/>
              <w:szCs w:val="22"/>
            </w:rPr>
            <w:fldChar w:fldCharType="end"/>
          </w:r>
        </w:p>
        <w:p w14:paraId="2E0CB0F0">
          <w:pPr>
            <w:pStyle w:val="15"/>
            <w:tabs>
              <w:tab w:val="right" w:leader="dot" w:pos="8640"/>
            </w:tabs>
            <w:rPr>
              <w:sz w:val="22"/>
              <w:szCs w:val="22"/>
            </w:rPr>
          </w:pP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HYPERLINK \l _Toc15953 </w:instrText>
          </w:r>
          <w:r>
            <w:rPr>
              <w:sz w:val="22"/>
              <w:szCs w:val="22"/>
            </w:rPr>
            <w:fldChar w:fldCharType="separate"/>
          </w:r>
          <w:r>
            <w:rPr>
              <w:rFonts w:hint="eastAsia" w:eastAsia="黑体"/>
              <w:bCs w:val="0"/>
              <w:sz w:val="22"/>
              <w:szCs w:val="40"/>
              <w:bdr w:val="none" w:sz="0" w:space="0"/>
            </w:rPr>
            <w:t xml:space="preserve">二、 </w:t>
          </w:r>
          <w:r>
            <w:rPr>
              <w:rFonts w:ascii="Times New Roman" w:hAnsi="Times New Roman" w:eastAsia="黑体" w:cs="Times New Roman"/>
              <w:bCs w:val="0"/>
              <w:sz w:val="22"/>
              <w:szCs w:val="40"/>
            </w:rPr>
            <w:t>候选方案及选型意见</w:t>
          </w:r>
          <w:r>
            <w:rPr>
              <w:sz w:val="22"/>
              <w:szCs w:val="22"/>
            </w:rPr>
            <w:tab/>
          </w: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PAGEREF _Toc15953 \h </w:instrText>
          </w:r>
          <w:r>
            <w:rPr>
              <w:sz w:val="22"/>
              <w:szCs w:val="22"/>
            </w:rPr>
            <w:fldChar w:fldCharType="separate"/>
          </w:r>
          <w:r>
            <w:rPr>
              <w:sz w:val="22"/>
              <w:szCs w:val="22"/>
            </w:rPr>
            <w:t>4</w:t>
          </w:r>
          <w:r>
            <w:rPr>
              <w:sz w:val="22"/>
              <w:szCs w:val="22"/>
            </w:rPr>
            <w:fldChar w:fldCharType="end"/>
          </w:r>
          <w:r>
            <w:rPr>
              <w:sz w:val="22"/>
              <w:szCs w:val="22"/>
            </w:rPr>
            <w:fldChar w:fldCharType="end"/>
          </w:r>
        </w:p>
        <w:p w14:paraId="4F202FB9">
          <w:pPr>
            <w:pStyle w:val="18"/>
            <w:tabs>
              <w:tab w:val="right" w:leader="dot" w:pos="8640"/>
            </w:tabs>
            <w:rPr>
              <w:sz w:val="22"/>
              <w:szCs w:val="22"/>
            </w:rPr>
          </w:pP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HYPERLINK \l _Toc21464 </w:instrText>
          </w:r>
          <w:r>
            <w:rPr>
              <w:sz w:val="22"/>
              <w:szCs w:val="22"/>
            </w:rPr>
            <w:fldChar w:fldCharType="separate"/>
          </w:r>
          <w:r>
            <w:rPr>
              <w:rFonts w:ascii="Times New Roman" w:hAnsi="Times New Roman" w:eastAsia="黑体" w:cs="Times New Roman"/>
              <w:bCs w:val="0"/>
              <w:sz w:val="22"/>
              <w:szCs w:val="28"/>
            </w:rPr>
            <w:t>2.1 选型意见</w:t>
          </w:r>
          <w:r>
            <w:rPr>
              <w:sz w:val="22"/>
              <w:szCs w:val="22"/>
            </w:rPr>
            <w:tab/>
          </w: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PAGEREF _Toc21464 \h </w:instrText>
          </w:r>
          <w:r>
            <w:rPr>
              <w:sz w:val="22"/>
              <w:szCs w:val="22"/>
            </w:rPr>
            <w:fldChar w:fldCharType="separate"/>
          </w:r>
          <w:r>
            <w:rPr>
              <w:sz w:val="22"/>
              <w:szCs w:val="22"/>
            </w:rPr>
            <w:t>5</w:t>
          </w:r>
          <w:r>
            <w:rPr>
              <w:sz w:val="22"/>
              <w:szCs w:val="22"/>
            </w:rPr>
            <w:fldChar w:fldCharType="end"/>
          </w:r>
          <w:r>
            <w:rPr>
              <w:sz w:val="22"/>
              <w:szCs w:val="22"/>
            </w:rPr>
            <w:fldChar w:fldCharType="end"/>
          </w:r>
        </w:p>
        <w:p w14:paraId="273D4344">
          <w:pPr>
            <w:pStyle w:val="15"/>
            <w:tabs>
              <w:tab w:val="right" w:leader="dot" w:pos="8640"/>
            </w:tabs>
            <w:rPr>
              <w:sz w:val="22"/>
              <w:szCs w:val="22"/>
            </w:rPr>
          </w:pP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HYPERLINK \l _Toc30611 </w:instrText>
          </w:r>
          <w:r>
            <w:rPr>
              <w:sz w:val="22"/>
              <w:szCs w:val="22"/>
            </w:rPr>
            <w:fldChar w:fldCharType="separate"/>
          </w:r>
          <w:r>
            <w:rPr>
              <w:rFonts w:hint="eastAsia" w:eastAsia="黑体"/>
              <w:bCs w:val="0"/>
              <w:sz w:val="22"/>
              <w:szCs w:val="40"/>
              <w:bdr w:val="none" w:sz="0" w:space="0"/>
            </w:rPr>
            <w:t xml:space="preserve">三、 </w:t>
          </w:r>
          <w:r>
            <w:rPr>
              <w:rFonts w:ascii="Times New Roman" w:hAnsi="Times New Roman" w:eastAsia="黑体" w:cs="Times New Roman"/>
              <w:bCs w:val="0"/>
              <w:sz w:val="22"/>
              <w:szCs w:val="40"/>
            </w:rPr>
            <w:t>评价方法</w:t>
          </w:r>
          <w:r>
            <w:rPr>
              <w:sz w:val="22"/>
              <w:szCs w:val="22"/>
            </w:rPr>
            <w:tab/>
          </w: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PAGEREF _Toc30611 \h </w:instrText>
          </w:r>
          <w:r>
            <w:rPr>
              <w:sz w:val="22"/>
              <w:szCs w:val="22"/>
            </w:rPr>
            <w:fldChar w:fldCharType="separate"/>
          </w:r>
          <w:r>
            <w:rPr>
              <w:sz w:val="22"/>
              <w:szCs w:val="22"/>
            </w:rPr>
            <w:t>5</w:t>
          </w:r>
          <w:r>
            <w:rPr>
              <w:sz w:val="22"/>
              <w:szCs w:val="22"/>
            </w:rPr>
            <w:fldChar w:fldCharType="end"/>
          </w:r>
          <w:r>
            <w:rPr>
              <w:sz w:val="22"/>
              <w:szCs w:val="22"/>
            </w:rPr>
            <w:fldChar w:fldCharType="end"/>
          </w:r>
        </w:p>
        <w:p w14:paraId="041C30F6">
          <w:pPr>
            <w:pStyle w:val="15"/>
            <w:tabs>
              <w:tab w:val="right" w:leader="dot" w:pos="8640"/>
            </w:tabs>
            <w:rPr>
              <w:sz w:val="22"/>
              <w:szCs w:val="22"/>
            </w:rPr>
          </w:pP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HYPERLINK \l _Toc2019 </w:instrText>
          </w:r>
          <w:r>
            <w:rPr>
              <w:sz w:val="22"/>
              <w:szCs w:val="22"/>
            </w:rPr>
            <w:fldChar w:fldCharType="separate"/>
          </w:r>
          <w:r>
            <w:rPr>
              <w:rFonts w:hint="eastAsia" w:eastAsia="黑体"/>
              <w:bCs w:val="0"/>
              <w:sz w:val="22"/>
              <w:szCs w:val="40"/>
              <w:bdr w:val="none" w:sz="0" w:space="0"/>
            </w:rPr>
            <w:t xml:space="preserve">四、 </w:t>
          </w:r>
          <w:r>
            <w:rPr>
              <w:rFonts w:ascii="Times New Roman" w:hAnsi="Times New Roman" w:eastAsia="黑体" w:cs="Times New Roman"/>
              <w:bCs w:val="0"/>
              <w:sz w:val="22"/>
              <w:szCs w:val="40"/>
            </w:rPr>
            <w:t>候选方案一：基础探测配置</w:t>
          </w:r>
          <w:r>
            <w:rPr>
              <w:sz w:val="22"/>
              <w:szCs w:val="22"/>
            </w:rPr>
            <w:tab/>
          </w: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PAGEREF _Toc2019 \h </w:instrText>
          </w:r>
          <w:r>
            <w:rPr>
              <w:sz w:val="22"/>
              <w:szCs w:val="22"/>
            </w:rPr>
            <w:fldChar w:fldCharType="separate"/>
          </w:r>
          <w:r>
            <w:rPr>
              <w:sz w:val="22"/>
              <w:szCs w:val="22"/>
            </w:rPr>
            <w:t>6</w:t>
          </w:r>
          <w:r>
            <w:rPr>
              <w:sz w:val="22"/>
              <w:szCs w:val="22"/>
            </w:rPr>
            <w:fldChar w:fldCharType="end"/>
          </w:r>
          <w:r>
            <w:rPr>
              <w:sz w:val="22"/>
              <w:szCs w:val="22"/>
            </w:rPr>
            <w:fldChar w:fldCharType="end"/>
          </w:r>
        </w:p>
        <w:p w14:paraId="7361EA2F">
          <w:pPr>
            <w:pStyle w:val="18"/>
            <w:tabs>
              <w:tab w:val="right" w:leader="dot" w:pos="8640"/>
            </w:tabs>
            <w:rPr>
              <w:sz w:val="22"/>
              <w:szCs w:val="22"/>
            </w:rPr>
          </w:pP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HYPERLINK \l _Toc11037 </w:instrText>
          </w:r>
          <w:r>
            <w:rPr>
              <w:sz w:val="22"/>
              <w:szCs w:val="22"/>
            </w:rPr>
            <w:fldChar w:fldCharType="separate"/>
          </w:r>
          <w:r>
            <w:rPr>
              <w:rFonts w:hint="default" w:eastAsia="黑体"/>
              <w:bCs w:val="0"/>
              <w:sz w:val="22"/>
              <w:szCs w:val="28"/>
              <w:bdr w:val="none" w:sz="0" w:space="0"/>
            </w:rPr>
            <w:t xml:space="preserve">4.1 </w:t>
          </w:r>
          <w:r>
            <w:rPr>
              <w:rFonts w:ascii="Times New Roman" w:hAnsi="Times New Roman" w:eastAsia="黑体" w:cs="Times New Roman"/>
              <w:bCs w:val="0"/>
              <w:sz w:val="22"/>
              <w:szCs w:val="28"/>
            </w:rPr>
            <w:t>配置与预算</w:t>
          </w:r>
          <w:r>
            <w:rPr>
              <w:sz w:val="22"/>
              <w:szCs w:val="22"/>
            </w:rPr>
            <w:tab/>
          </w: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PAGEREF _Toc11037 \h </w:instrText>
          </w:r>
          <w:r>
            <w:rPr>
              <w:sz w:val="22"/>
              <w:szCs w:val="22"/>
            </w:rPr>
            <w:fldChar w:fldCharType="separate"/>
          </w:r>
          <w:r>
            <w:rPr>
              <w:sz w:val="22"/>
              <w:szCs w:val="22"/>
            </w:rPr>
            <w:t>6</w:t>
          </w:r>
          <w:r>
            <w:rPr>
              <w:sz w:val="22"/>
              <w:szCs w:val="22"/>
            </w:rPr>
            <w:fldChar w:fldCharType="end"/>
          </w:r>
          <w:r>
            <w:rPr>
              <w:sz w:val="22"/>
              <w:szCs w:val="22"/>
            </w:rPr>
            <w:fldChar w:fldCharType="end"/>
          </w:r>
        </w:p>
        <w:p w14:paraId="3000E111">
          <w:pPr>
            <w:pStyle w:val="18"/>
            <w:tabs>
              <w:tab w:val="right" w:leader="dot" w:pos="8640"/>
            </w:tabs>
            <w:rPr>
              <w:sz w:val="22"/>
              <w:szCs w:val="22"/>
            </w:rPr>
          </w:pP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HYPERLINK \l _Toc12513 </w:instrText>
          </w:r>
          <w:r>
            <w:rPr>
              <w:sz w:val="22"/>
              <w:szCs w:val="22"/>
            </w:rPr>
            <w:fldChar w:fldCharType="separate"/>
          </w:r>
          <w:r>
            <w:rPr>
              <w:rFonts w:hint="default" w:eastAsia="黑体"/>
              <w:bCs w:val="0"/>
              <w:sz w:val="22"/>
              <w:szCs w:val="28"/>
              <w:bdr w:val="none" w:sz="0" w:space="0"/>
            </w:rPr>
            <w:t xml:space="preserve">4.2 </w:t>
          </w:r>
          <w:r>
            <w:rPr>
              <w:rFonts w:ascii="Times New Roman" w:hAnsi="Times New Roman" w:eastAsia="黑体" w:cs="Times New Roman"/>
              <w:bCs w:val="0"/>
              <w:sz w:val="22"/>
              <w:szCs w:val="28"/>
            </w:rPr>
            <w:t>主要性能</w:t>
          </w:r>
          <w:r>
            <w:rPr>
              <w:sz w:val="22"/>
              <w:szCs w:val="22"/>
            </w:rPr>
            <w:tab/>
          </w: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PAGEREF _Toc12513 \h </w:instrText>
          </w:r>
          <w:r>
            <w:rPr>
              <w:sz w:val="22"/>
              <w:szCs w:val="22"/>
            </w:rPr>
            <w:fldChar w:fldCharType="separate"/>
          </w:r>
          <w:r>
            <w:rPr>
              <w:sz w:val="22"/>
              <w:szCs w:val="22"/>
            </w:rPr>
            <w:t>7</w:t>
          </w:r>
          <w:r>
            <w:rPr>
              <w:sz w:val="22"/>
              <w:szCs w:val="22"/>
            </w:rPr>
            <w:fldChar w:fldCharType="end"/>
          </w:r>
          <w:r>
            <w:rPr>
              <w:sz w:val="22"/>
              <w:szCs w:val="22"/>
            </w:rPr>
            <w:fldChar w:fldCharType="end"/>
          </w:r>
        </w:p>
        <w:p w14:paraId="40EC6D73">
          <w:pPr>
            <w:pStyle w:val="18"/>
            <w:tabs>
              <w:tab w:val="right" w:leader="dot" w:pos="8640"/>
            </w:tabs>
            <w:rPr>
              <w:sz w:val="22"/>
              <w:szCs w:val="22"/>
            </w:rPr>
          </w:pP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HYPERLINK \l _Toc19824 </w:instrText>
          </w:r>
          <w:r>
            <w:rPr>
              <w:sz w:val="22"/>
              <w:szCs w:val="22"/>
            </w:rPr>
            <w:fldChar w:fldCharType="separate"/>
          </w:r>
          <w:r>
            <w:rPr>
              <w:rFonts w:hint="default" w:eastAsia="黑体"/>
              <w:bCs w:val="0"/>
              <w:sz w:val="22"/>
              <w:szCs w:val="28"/>
              <w:bdr w:val="none" w:sz="0" w:space="0"/>
            </w:rPr>
            <w:t xml:space="preserve">4.3 </w:t>
          </w:r>
          <w:r>
            <w:rPr>
              <w:rFonts w:ascii="Times New Roman" w:hAnsi="Times New Roman" w:eastAsia="黑体" w:cs="Times New Roman"/>
              <w:bCs w:val="0"/>
              <w:sz w:val="22"/>
              <w:szCs w:val="28"/>
            </w:rPr>
            <w:t>技术特征</w:t>
          </w:r>
          <w:r>
            <w:rPr>
              <w:sz w:val="22"/>
              <w:szCs w:val="22"/>
            </w:rPr>
            <w:tab/>
          </w: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PAGEREF _Toc19824 \h </w:instrText>
          </w:r>
          <w:r>
            <w:rPr>
              <w:sz w:val="22"/>
              <w:szCs w:val="22"/>
            </w:rPr>
            <w:fldChar w:fldCharType="separate"/>
          </w:r>
          <w:r>
            <w:rPr>
              <w:sz w:val="22"/>
              <w:szCs w:val="22"/>
            </w:rPr>
            <w:t>7</w:t>
          </w:r>
          <w:r>
            <w:rPr>
              <w:sz w:val="22"/>
              <w:szCs w:val="22"/>
            </w:rPr>
            <w:fldChar w:fldCharType="end"/>
          </w:r>
          <w:r>
            <w:rPr>
              <w:sz w:val="22"/>
              <w:szCs w:val="22"/>
            </w:rPr>
            <w:fldChar w:fldCharType="end"/>
          </w:r>
        </w:p>
        <w:p w14:paraId="7CA27744">
          <w:pPr>
            <w:pStyle w:val="18"/>
            <w:tabs>
              <w:tab w:val="right" w:leader="dot" w:pos="8640"/>
            </w:tabs>
            <w:rPr>
              <w:sz w:val="22"/>
              <w:szCs w:val="22"/>
            </w:rPr>
          </w:pP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HYPERLINK \l _Toc14749 </w:instrText>
          </w:r>
          <w:r>
            <w:rPr>
              <w:sz w:val="22"/>
              <w:szCs w:val="22"/>
            </w:rPr>
            <w:fldChar w:fldCharType="separate"/>
          </w:r>
          <w:r>
            <w:rPr>
              <w:rFonts w:hint="default" w:eastAsia="黑体"/>
              <w:bCs w:val="0"/>
              <w:sz w:val="22"/>
              <w:szCs w:val="28"/>
              <w:bdr w:val="none" w:sz="0" w:space="0"/>
            </w:rPr>
            <w:t xml:space="preserve">4.4 </w:t>
          </w:r>
          <w:r>
            <w:rPr>
              <w:rFonts w:ascii="Times New Roman" w:hAnsi="Times New Roman" w:eastAsia="黑体" w:cs="Times New Roman"/>
              <w:bCs w:val="0"/>
              <w:sz w:val="22"/>
              <w:szCs w:val="28"/>
            </w:rPr>
            <w:t>技术风险及采购条件</w:t>
          </w:r>
          <w:r>
            <w:rPr>
              <w:sz w:val="22"/>
              <w:szCs w:val="22"/>
            </w:rPr>
            <w:tab/>
          </w: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PAGEREF _Toc14749 \h </w:instrText>
          </w:r>
          <w:r>
            <w:rPr>
              <w:sz w:val="22"/>
              <w:szCs w:val="22"/>
            </w:rPr>
            <w:fldChar w:fldCharType="separate"/>
          </w:r>
          <w:r>
            <w:rPr>
              <w:sz w:val="22"/>
              <w:szCs w:val="22"/>
            </w:rPr>
            <w:t>7</w:t>
          </w:r>
          <w:r>
            <w:rPr>
              <w:sz w:val="22"/>
              <w:szCs w:val="22"/>
            </w:rPr>
            <w:fldChar w:fldCharType="end"/>
          </w:r>
          <w:r>
            <w:rPr>
              <w:sz w:val="22"/>
              <w:szCs w:val="22"/>
            </w:rPr>
            <w:fldChar w:fldCharType="end"/>
          </w:r>
        </w:p>
        <w:p w14:paraId="75254FD5">
          <w:pPr>
            <w:pStyle w:val="15"/>
            <w:tabs>
              <w:tab w:val="right" w:leader="dot" w:pos="8640"/>
            </w:tabs>
            <w:rPr>
              <w:sz w:val="22"/>
              <w:szCs w:val="22"/>
            </w:rPr>
          </w:pP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HYPERLINK \l _Toc3379 </w:instrText>
          </w:r>
          <w:r>
            <w:rPr>
              <w:sz w:val="22"/>
              <w:szCs w:val="22"/>
            </w:rPr>
            <w:fldChar w:fldCharType="separate"/>
          </w:r>
          <w:r>
            <w:rPr>
              <w:rFonts w:hint="eastAsia" w:eastAsia="黑体"/>
              <w:bCs w:val="0"/>
              <w:sz w:val="22"/>
              <w:szCs w:val="40"/>
              <w:bdr w:val="none" w:sz="0" w:space="0"/>
            </w:rPr>
            <w:t xml:space="preserve">五、 </w:t>
          </w:r>
          <w:r>
            <w:rPr>
              <w:rFonts w:ascii="Times New Roman" w:hAnsi="Times New Roman" w:eastAsia="黑体" w:cs="Times New Roman"/>
              <w:bCs w:val="0"/>
              <w:sz w:val="22"/>
              <w:szCs w:val="40"/>
            </w:rPr>
            <w:t>候选方案二：高分辨率成像配置</w:t>
          </w:r>
          <w:r>
            <w:rPr>
              <w:sz w:val="22"/>
              <w:szCs w:val="22"/>
            </w:rPr>
            <w:tab/>
          </w: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PAGEREF _Toc3379 \h </w:instrText>
          </w:r>
          <w:r>
            <w:rPr>
              <w:sz w:val="22"/>
              <w:szCs w:val="22"/>
            </w:rPr>
            <w:fldChar w:fldCharType="separate"/>
          </w:r>
          <w:r>
            <w:rPr>
              <w:sz w:val="22"/>
              <w:szCs w:val="22"/>
            </w:rPr>
            <w:t>8</w:t>
          </w:r>
          <w:r>
            <w:rPr>
              <w:sz w:val="22"/>
              <w:szCs w:val="22"/>
            </w:rPr>
            <w:fldChar w:fldCharType="end"/>
          </w:r>
          <w:r>
            <w:rPr>
              <w:sz w:val="22"/>
              <w:szCs w:val="22"/>
            </w:rPr>
            <w:fldChar w:fldCharType="end"/>
          </w:r>
        </w:p>
        <w:p w14:paraId="0F013636">
          <w:pPr>
            <w:pStyle w:val="18"/>
            <w:tabs>
              <w:tab w:val="right" w:leader="dot" w:pos="8640"/>
            </w:tabs>
            <w:rPr>
              <w:sz w:val="22"/>
              <w:szCs w:val="22"/>
            </w:rPr>
          </w:pP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HYPERLINK \l _Toc28939 </w:instrText>
          </w:r>
          <w:r>
            <w:rPr>
              <w:sz w:val="22"/>
              <w:szCs w:val="22"/>
            </w:rPr>
            <w:fldChar w:fldCharType="separate"/>
          </w:r>
          <w:r>
            <w:rPr>
              <w:rFonts w:hint="default" w:eastAsia="黑体"/>
              <w:bCs w:val="0"/>
              <w:sz w:val="22"/>
              <w:szCs w:val="28"/>
              <w:bdr w:val="none" w:sz="0" w:space="0"/>
            </w:rPr>
            <w:t xml:space="preserve">5.1 </w:t>
          </w:r>
          <w:r>
            <w:rPr>
              <w:rFonts w:ascii="Times New Roman" w:hAnsi="Times New Roman" w:eastAsia="黑体" w:cs="Times New Roman"/>
              <w:bCs w:val="0"/>
              <w:sz w:val="22"/>
              <w:szCs w:val="28"/>
            </w:rPr>
            <w:t>配置与预算</w:t>
          </w:r>
          <w:r>
            <w:rPr>
              <w:sz w:val="22"/>
              <w:szCs w:val="22"/>
            </w:rPr>
            <w:tab/>
          </w: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PAGEREF _Toc28939 \h </w:instrText>
          </w:r>
          <w:r>
            <w:rPr>
              <w:sz w:val="22"/>
              <w:szCs w:val="22"/>
            </w:rPr>
            <w:fldChar w:fldCharType="separate"/>
          </w:r>
          <w:r>
            <w:rPr>
              <w:sz w:val="22"/>
              <w:szCs w:val="22"/>
            </w:rPr>
            <w:t>8</w:t>
          </w:r>
          <w:r>
            <w:rPr>
              <w:sz w:val="22"/>
              <w:szCs w:val="22"/>
            </w:rPr>
            <w:fldChar w:fldCharType="end"/>
          </w:r>
          <w:r>
            <w:rPr>
              <w:sz w:val="22"/>
              <w:szCs w:val="22"/>
            </w:rPr>
            <w:fldChar w:fldCharType="end"/>
          </w:r>
        </w:p>
        <w:p w14:paraId="0B7148FA">
          <w:pPr>
            <w:pStyle w:val="18"/>
            <w:tabs>
              <w:tab w:val="right" w:leader="dot" w:pos="8640"/>
            </w:tabs>
            <w:rPr>
              <w:sz w:val="22"/>
              <w:szCs w:val="22"/>
            </w:rPr>
          </w:pP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HYPERLINK \l _Toc29929 </w:instrText>
          </w:r>
          <w:r>
            <w:rPr>
              <w:sz w:val="22"/>
              <w:szCs w:val="22"/>
            </w:rPr>
            <w:fldChar w:fldCharType="separate"/>
          </w:r>
          <w:r>
            <w:rPr>
              <w:rFonts w:hint="default" w:eastAsia="黑体"/>
              <w:bCs w:val="0"/>
              <w:sz w:val="22"/>
              <w:szCs w:val="28"/>
              <w:bdr w:val="none" w:sz="0" w:space="0"/>
            </w:rPr>
            <w:t xml:space="preserve">5.2 </w:t>
          </w:r>
          <w:r>
            <w:rPr>
              <w:rFonts w:ascii="Times New Roman" w:hAnsi="Times New Roman" w:eastAsia="黑体" w:cs="Times New Roman"/>
              <w:bCs w:val="0"/>
              <w:sz w:val="22"/>
              <w:szCs w:val="28"/>
            </w:rPr>
            <w:t>主要性能</w:t>
          </w:r>
          <w:r>
            <w:rPr>
              <w:sz w:val="22"/>
              <w:szCs w:val="22"/>
            </w:rPr>
            <w:tab/>
          </w: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PAGEREF _Toc29929 \h </w:instrText>
          </w:r>
          <w:r>
            <w:rPr>
              <w:sz w:val="22"/>
              <w:szCs w:val="22"/>
            </w:rPr>
            <w:fldChar w:fldCharType="separate"/>
          </w:r>
          <w:r>
            <w:rPr>
              <w:sz w:val="22"/>
              <w:szCs w:val="22"/>
            </w:rPr>
            <w:t>8</w:t>
          </w:r>
          <w:r>
            <w:rPr>
              <w:sz w:val="22"/>
              <w:szCs w:val="22"/>
            </w:rPr>
            <w:fldChar w:fldCharType="end"/>
          </w:r>
          <w:r>
            <w:rPr>
              <w:sz w:val="22"/>
              <w:szCs w:val="22"/>
            </w:rPr>
            <w:fldChar w:fldCharType="end"/>
          </w:r>
        </w:p>
        <w:p w14:paraId="12DBC2DC">
          <w:pPr>
            <w:pStyle w:val="18"/>
            <w:tabs>
              <w:tab w:val="right" w:leader="dot" w:pos="8640"/>
            </w:tabs>
            <w:rPr>
              <w:sz w:val="22"/>
              <w:szCs w:val="22"/>
            </w:rPr>
          </w:pP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HYPERLINK \l _Toc14735 </w:instrText>
          </w:r>
          <w:r>
            <w:rPr>
              <w:sz w:val="22"/>
              <w:szCs w:val="22"/>
            </w:rPr>
            <w:fldChar w:fldCharType="separate"/>
          </w:r>
          <w:r>
            <w:rPr>
              <w:rFonts w:hint="default" w:eastAsia="黑体"/>
              <w:bCs w:val="0"/>
              <w:sz w:val="22"/>
              <w:szCs w:val="28"/>
              <w:bdr w:val="none" w:sz="0" w:space="0"/>
            </w:rPr>
            <w:t xml:space="preserve">5.3 </w:t>
          </w:r>
          <w:r>
            <w:rPr>
              <w:rFonts w:ascii="Times New Roman" w:hAnsi="Times New Roman" w:eastAsia="黑体" w:cs="Times New Roman"/>
              <w:bCs w:val="0"/>
              <w:sz w:val="22"/>
              <w:szCs w:val="28"/>
            </w:rPr>
            <w:t>技术特征</w:t>
          </w:r>
          <w:r>
            <w:rPr>
              <w:sz w:val="22"/>
              <w:szCs w:val="22"/>
            </w:rPr>
            <w:tab/>
          </w: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PAGEREF _Toc14735 \h </w:instrText>
          </w:r>
          <w:r>
            <w:rPr>
              <w:sz w:val="22"/>
              <w:szCs w:val="22"/>
            </w:rPr>
            <w:fldChar w:fldCharType="separate"/>
          </w:r>
          <w:r>
            <w:rPr>
              <w:sz w:val="22"/>
              <w:szCs w:val="22"/>
            </w:rPr>
            <w:t>9</w:t>
          </w:r>
          <w:r>
            <w:rPr>
              <w:sz w:val="22"/>
              <w:szCs w:val="22"/>
            </w:rPr>
            <w:fldChar w:fldCharType="end"/>
          </w:r>
          <w:r>
            <w:rPr>
              <w:sz w:val="22"/>
              <w:szCs w:val="22"/>
            </w:rPr>
            <w:fldChar w:fldCharType="end"/>
          </w:r>
        </w:p>
        <w:p w14:paraId="22463DEB">
          <w:pPr>
            <w:pStyle w:val="18"/>
            <w:tabs>
              <w:tab w:val="right" w:leader="dot" w:pos="8640"/>
            </w:tabs>
            <w:rPr>
              <w:sz w:val="22"/>
              <w:szCs w:val="22"/>
            </w:rPr>
          </w:pP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HYPERLINK \l _Toc8073 </w:instrText>
          </w:r>
          <w:r>
            <w:rPr>
              <w:sz w:val="22"/>
              <w:szCs w:val="22"/>
            </w:rPr>
            <w:fldChar w:fldCharType="separate"/>
          </w:r>
          <w:r>
            <w:rPr>
              <w:rFonts w:hint="default" w:eastAsia="黑体"/>
              <w:bCs w:val="0"/>
              <w:sz w:val="22"/>
              <w:szCs w:val="28"/>
              <w:bdr w:val="none" w:sz="0" w:space="0"/>
            </w:rPr>
            <w:t xml:space="preserve">5.4 </w:t>
          </w:r>
          <w:r>
            <w:rPr>
              <w:rFonts w:ascii="Times New Roman" w:hAnsi="Times New Roman" w:eastAsia="黑体" w:cs="Times New Roman"/>
              <w:bCs w:val="0"/>
              <w:sz w:val="22"/>
              <w:szCs w:val="28"/>
            </w:rPr>
            <w:t>工程约束及采购条件</w:t>
          </w:r>
          <w:r>
            <w:rPr>
              <w:sz w:val="22"/>
              <w:szCs w:val="22"/>
            </w:rPr>
            <w:tab/>
          </w: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PAGEREF _Toc8073 \h </w:instrText>
          </w:r>
          <w:r>
            <w:rPr>
              <w:sz w:val="22"/>
              <w:szCs w:val="22"/>
            </w:rPr>
            <w:fldChar w:fldCharType="separate"/>
          </w:r>
          <w:r>
            <w:rPr>
              <w:sz w:val="22"/>
              <w:szCs w:val="22"/>
            </w:rPr>
            <w:t>9</w:t>
          </w:r>
          <w:r>
            <w:rPr>
              <w:sz w:val="22"/>
              <w:szCs w:val="22"/>
            </w:rPr>
            <w:fldChar w:fldCharType="end"/>
          </w:r>
          <w:r>
            <w:rPr>
              <w:sz w:val="22"/>
              <w:szCs w:val="22"/>
            </w:rPr>
            <w:fldChar w:fldCharType="end"/>
          </w:r>
        </w:p>
        <w:p w14:paraId="25EAADC4">
          <w:pPr>
            <w:pStyle w:val="15"/>
            <w:tabs>
              <w:tab w:val="right" w:leader="dot" w:pos="8640"/>
            </w:tabs>
            <w:rPr>
              <w:sz w:val="22"/>
              <w:szCs w:val="22"/>
            </w:rPr>
          </w:pP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HYPERLINK \l _Toc9162 </w:instrText>
          </w:r>
          <w:r>
            <w:rPr>
              <w:sz w:val="22"/>
              <w:szCs w:val="22"/>
            </w:rPr>
            <w:fldChar w:fldCharType="separate"/>
          </w:r>
          <w:r>
            <w:rPr>
              <w:rFonts w:hint="eastAsia" w:eastAsia="黑体"/>
              <w:bCs w:val="0"/>
              <w:sz w:val="22"/>
              <w:szCs w:val="40"/>
              <w:bdr w:val="none" w:sz="0" w:space="0"/>
            </w:rPr>
            <w:t xml:space="preserve">六、 </w:t>
          </w:r>
          <w:r>
            <w:rPr>
              <w:rFonts w:ascii="Times New Roman" w:hAnsi="Times New Roman" w:eastAsia="黑体" w:cs="Times New Roman"/>
              <w:bCs w:val="0"/>
              <w:sz w:val="22"/>
              <w:szCs w:val="40"/>
            </w:rPr>
            <w:t>候选方案三：多传感器融合配置</w:t>
          </w:r>
          <w:r>
            <w:rPr>
              <w:sz w:val="22"/>
              <w:szCs w:val="22"/>
            </w:rPr>
            <w:tab/>
          </w: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PAGEREF _Toc9162 \h </w:instrText>
          </w:r>
          <w:r>
            <w:rPr>
              <w:sz w:val="22"/>
              <w:szCs w:val="22"/>
            </w:rPr>
            <w:fldChar w:fldCharType="separate"/>
          </w:r>
          <w:r>
            <w:rPr>
              <w:sz w:val="22"/>
              <w:szCs w:val="22"/>
            </w:rPr>
            <w:t>10</w:t>
          </w:r>
          <w:r>
            <w:rPr>
              <w:sz w:val="22"/>
              <w:szCs w:val="22"/>
            </w:rPr>
            <w:fldChar w:fldCharType="end"/>
          </w:r>
          <w:r>
            <w:rPr>
              <w:sz w:val="22"/>
              <w:szCs w:val="22"/>
            </w:rPr>
            <w:fldChar w:fldCharType="end"/>
          </w:r>
        </w:p>
        <w:p w14:paraId="5C5C06A1">
          <w:pPr>
            <w:pStyle w:val="18"/>
            <w:tabs>
              <w:tab w:val="right" w:leader="dot" w:pos="8640"/>
            </w:tabs>
            <w:rPr>
              <w:sz w:val="22"/>
              <w:szCs w:val="22"/>
            </w:rPr>
          </w:pP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HYPERLINK \l _Toc16048 </w:instrText>
          </w:r>
          <w:r>
            <w:rPr>
              <w:sz w:val="22"/>
              <w:szCs w:val="22"/>
            </w:rPr>
            <w:fldChar w:fldCharType="separate"/>
          </w:r>
          <w:r>
            <w:rPr>
              <w:rFonts w:hint="default" w:eastAsia="黑体"/>
              <w:bCs w:val="0"/>
              <w:sz w:val="22"/>
              <w:szCs w:val="28"/>
              <w:bdr w:val="none" w:sz="0" w:space="0"/>
            </w:rPr>
            <w:t xml:space="preserve">6.1 </w:t>
          </w:r>
          <w:r>
            <w:rPr>
              <w:rFonts w:ascii="Times New Roman" w:hAnsi="Times New Roman" w:eastAsia="黑体" w:cs="Times New Roman"/>
              <w:bCs w:val="0"/>
              <w:sz w:val="22"/>
              <w:szCs w:val="28"/>
            </w:rPr>
            <w:t>配置与预算</w:t>
          </w:r>
          <w:r>
            <w:rPr>
              <w:sz w:val="22"/>
              <w:szCs w:val="22"/>
            </w:rPr>
            <w:tab/>
          </w: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PAGEREF _Toc16048 \h </w:instrText>
          </w:r>
          <w:r>
            <w:rPr>
              <w:sz w:val="22"/>
              <w:szCs w:val="22"/>
            </w:rPr>
            <w:fldChar w:fldCharType="separate"/>
          </w:r>
          <w:r>
            <w:rPr>
              <w:sz w:val="22"/>
              <w:szCs w:val="22"/>
            </w:rPr>
            <w:t>10</w:t>
          </w:r>
          <w:r>
            <w:rPr>
              <w:sz w:val="22"/>
              <w:szCs w:val="22"/>
            </w:rPr>
            <w:fldChar w:fldCharType="end"/>
          </w:r>
          <w:r>
            <w:rPr>
              <w:sz w:val="22"/>
              <w:szCs w:val="22"/>
            </w:rPr>
            <w:fldChar w:fldCharType="end"/>
          </w:r>
        </w:p>
        <w:p w14:paraId="5D54AEF4">
          <w:pPr>
            <w:pStyle w:val="18"/>
            <w:tabs>
              <w:tab w:val="right" w:leader="dot" w:pos="8640"/>
            </w:tabs>
            <w:rPr>
              <w:sz w:val="22"/>
              <w:szCs w:val="22"/>
            </w:rPr>
          </w:pP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HYPERLINK \l _Toc22641 </w:instrText>
          </w:r>
          <w:r>
            <w:rPr>
              <w:sz w:val="22"/>
              <w:szCs w:val="22"/>
            </w:rPr>
            <w:fldChar w:fldCharType="separate"/>
          </w:r>
          <w:r>
            <w:rPr>
              <w:rFonts w:hint="default" w:eastAsia="黑体"/>
              <w:bCs w:val="0"/>
              <w:sz w:val="22"/>
              <w:szCs w:val="28"/>
              <w:bdr w:val="none" w:sz="0" w:space="0"/>
            </w:rPr>
            <w:t xml:space="preserve">6.2 </w:t>
          </w:r>
          <w:r>
            <w:rPr>
              <w:rFonts w:ascii="Times New Roman" w:hAnsi="Times New Roman" w:eastAsia="黑体" w:cs="Times New Roman"/>
              <w:bCs w:val="0"/>
              <w:sz w:val="22"/>
              <w:szCs w:val="28"/>
            </w:rPr>
            <w:t>主要性能</w:t>
          </w:r>
          <w:r>
            <w:rPr>
              <w:sz w:val="22"/>
              <w:szCs w:val="22"/>
            </w:rPr>
            <w:tab/>
          </w: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PAGEREF _Toc22641 \h </w:instrText>
          </w:r>
          <w:r>
            <w:rPr>
              <w:sz w:val="22"/>
              <w:szCs w:val="22"/>
            </w:rPr>
            <w:fldChar w:fldCharType="separate"/>
          </w:r>
          <w:r>
            <w:rPr>
              <w:sz w:val="22"/>
              <w:szCs w:val="22"/>
            </w:rPr>
            <w:t>11</w:t>
          </w:r>
          <w:r>
            <w:rPr>
              <w:sz w:val="22"/>
              <w:szCs w:val="22"/>
            </w:rPr>
            <w:fldChar w:fldCharType="end"/>
          </w:r>
          <w:r>
            <w:rPr>
              <w:sz w:val="22"/>
              <w:szCs w:val="22"/>
            </w:rPr>
            <w:fldChar w:fldCharType="end"/>
          </w:r>
        </w:p>
        <w:p w14:paraId="2A1DDABB">
          <w:pPr>
            <w:pStyle w:val="18"/>
            <w:tabs>
              <w:tab w:val="right" w:leader="dot" w:pos="8640"/>
            </w:tabs>
            <w:rPr>
              <w:sz w:val="22"/>
              <w:szCs w:val="22"/>
            </w:rPr>
          </w:pP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HYPERLINK \l _Toc26498 </w:instrText>
          </w:r>
          <w:r>
            <w:rPr>
              <w:sz w:val="22"/>
              <w:szCs w:val="22"/>
            </w:rPr>
            <w:fldChar w:fldCharType="separate"/>
          </w:r>
          <w:r>
            <w:rPr>
              <w:rFonts w:hint="default" w:eastAsia="黑体"/>
              <w:bCs w:val="0"/>
              <w:sz w:val="22"/>
              <w:szCs w:val="28"/>
              <w:bdr w:val="none" w:sz="0" w:space="0"/>
            </w:rPr>
            <w:t xml:space="preserve">6.3 </w:t>
          </w:r>
          <w:r>
            <w:rPr>
              <w:rFonts w:ascii="Times New Roman" w:hAnsi="Times New Roman" w:eastAsia="黑体" w:cs="Times New Roman"/>
              <w:bCs w:val="0"/>
              <w:sz w:val="22"/>
              <w:szCs w:val="28"/>
            </w:rPr>
            <w:t>技术特征</w:t>
          </w:r>
          <w:r>
            <w:rPr>
              <w:sz w:val="22"/>
              <w:szCs w:val="22"/>
            </w:rPr>
            <w:tab/>
          </w: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PAGEREF _Toc26498 \h </w:instrText>
          </w:r>
          <w:r>
            <w:rPr>
              <w:sz w:val="22"/>
              <w:szCs w:val="22"/>
            </w:rPr>
            <w:fldChar w:fldCharType="separate"/>
          </w:r>
          <w:r>
            <w:rPr>
              <w:sz w:val="22"/>
              <w:szCs w:val="22"/>
            </w:rPr>
            <w:t>11</w:t>
          </w:r>
          <w:r>
            <w:rPr>
              <w:sz w:val="22"/>
              <w:szCs w:val="22"/>
            </w:rPr>
            <w:fldChar w:fldCharType="end"/>
          </w:r>
          <w:r>
            <w:rPr>
              <w:sz w:val="22"/>
              <w:szCs w:val="22"/>
            </w:rPr>
            <w:fldChar w:fldCharType="end"/>
          </w:r>
        </w:p>
        <w:p w14:paraId="3D0B6D8D">
          <w:pPr>
            <w:pStyle w:val="18"/>
            <w:tabs>
              <w:tab w:val="right" w:leader="dot" w:pos="8640"/>
            </w:tabs>
            <w:rPr>
              <w:sz w:val="22"/>
              <w:szCs w:val="22"/>
            </w:rPr>
          </w:pP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HYPERLINK \l _Toc4668 </w:instrText>
          </w:r>
          <w:r>
            <w:rPr>
              <w:sz w:val="22"/>
              <w:szCs w:val="22"/>
            </w:rPr>
            <w:fldChar w:fldCharType="separate"/>
          </w:r>
          <w:r>
            <w:rPr>
              <w:rFonts w:hint="default" w:eastAsia="黑体"/>
              <w:bCs w:val="0"/>
              <w:sz w:val="22"/>
              <w:szCs w:val="28"/>
              <w:bdr w:val="none" w:sz="0" w:space="0"/>
            </w:rPr>
            <w:t xml:space="preserve">6.4 </w:t>
          </w:r>
          <w:r>
            <w:rPr>
              <w:rFonts w:ascii="Times New Roman" w:hAnsi="Times New Roman" w:eastAsia="黑体" w:cs="Times New Roman"/>
              <w:bCs w:val="0"/>
              <w:sz w:val="22"/>
              <w:szCs w:val="28"/>
            </w:rPr>
            <w:t>预算约束、成交条件及替代配置</w:t>
          </w:r>
          <w:r>
            <w:rPr>
              <w:sz w:val="22"/>
              <w:szCs w:val="22"/>
            </w:rPr>
            <w:tab/>
          </w: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PAGEREF _Toc4668 \h </w:instrText>
          </w:r>
          <w:r>
            <w:rPr>
              <w:sz w:val="22"/>
              <w:szCs w:val="22"/>
            </w:rPr>
            <w:fldChar w:fldCharType="separate"/>
          </w:r>
          <w:r>
            <w:rPr>
              <w:sz w:val="22"/>
              <w:szCs w:val="22"/>
            </w:rPr>
            <w:t>12</w:t>
          </w:r>
          <w:r>
            <w:rPr>
              <w:sz w:val="22"/>
              <w:szCs w:val="22"/>
            </w:rPr>
            <w:fldChar w:fldCharType="end"/>
          </w:r>
          <w:r>
            <w:rPr>
              <w:sz w:val="22"/>
              <w:szCs w:val="22"/>
            </w:rPr>
            <w:fldChar w:fldCharType="end"/>
          </w:r>
        </w:p>
        <w:p w14:paraId="623E9FC0">
          <w:pPr>
            <w:pStyle w:val="15"/>
            <w:tabs>
              <w:tab w:val="right" w:leader="dot" w:pos="8640"/>
            </w:tabs>
            <w:rPr>
              <w:sz w:val="22"/>
              <w:szCs w:val="22"/>
            </w:rPr>
          </w:pP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HYPERLINK \l _Toc890 </w:instrText>
          </w:r>
          <w:r>
            <w:rPr>
              <w:sz w:val="22"/>
              <w:szCs w:val="22"/>
            </w:rPr>
            <w:fldChar w:fldCharType="separate"/>
          </w:r>
          <w:r>
            <w:rPr>
              <w:rFonts w:hint="eastAsia" w:eastAsia="黑体"/>
              <w:bCs w:val="0"/>
              <w:sz w:val="22"/>
              <w:szCs w:val="40"/>
              <w:bdr w:val="none" w:sz="0" w:space="0"/>
            </w:rPr>
            <w:t xml:space="preserve">七、 </w:t>
          </w:r>
          <w:r>
            <w:rPr>
              <w:rFonts w:ascii="Times New Roman" w:hAnsi="Times New Roman" w:eastAsia="黑体" w:cs="Times New Roman"/>
              <w:bCs w:val="0"/>
              <w:sz w:val="22"/>
              <w:szCs w:val="40"/>
            </w:rPr>
            <w:t>三套方案横向比较</w:t>
          </w:r>
          <w:r>
            <w:rPr>
              <w:sz w:val="22"/>
              <w:szCs w:val="22"/>
            </w:rPr>
            <w:tab/>
          </w: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PAGEREF _Toc890 \h </w:instrText>
          </w:r>
          <w:r>
            <w:rPr>
              <w:sz w:val="22"/>
              <w:szCs w:val="22"/>
            </w:rPr>
            <w:fldChar w:fldCharType="separate"/>
          </w:r>
          <w:r>
            <w:rPr>
              <w:sz w:val="22"/>
              <w:szCs w:val="22"/>
            </w:rPr>
            <w:t>12</w:t>
          </w:r>
          <w:r>
            <w:rPr>
              <w:sz w:val="22"/>
              <w:szCs w:val="22"/>
            </w:rPr>
            <w:fldChar w:fldCharType="end"/>
          </w:r>
          <w:r>
            <w:rPr>
              <w:sz w:val="22"/>
              <w:szCs w:val="22"/>
            </w:rPr>
            <w:fldChar w:fldCharType="end"/>
          </w:r>
        </w:p>
        <w:p w14:paraId="031A622F">
          <w:pPr>
            <w:pStyle w:val="18"/>
            <w:tabs>
              <w:tab w:val="right" w:leader="dot" w:pos="8640"/>
            </w:tabs>
            <w:rPr>
              <w:sz w:val="22"/>
              <w:szCs w:val="22"/>
            </w:rPr>
          </w:pP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HYPERLINK \l _Toc12271 </w:instrText>
          </w:r>
          <w:r>
            <w:rPr>
              <w:sz w:val="22"/>
              <w:szCs w:val="22"/>
            </w:rPr>
            <w:fldChar w:fldCharType="separate"/>
          </w:r>
          <w:r>
            <w:rPr>
              <w:rFonts w:ascii="Times New Roman" w:hAnsi="Times New Roman" w:eastAsia="黑体" w:cs="Times New Roman"/>
              <w:bCs w:val="0"/>
              <w:sz w:val="22"/>
              <w:szCs w:val="28"/>
            </w:rPr>
            <w:t>7.1 适用范围</w:t>
          </w:r>
          <w:r>
            <w:rPr>
              <w:sz w:val="22"/>
              <w:szCs w:val="22"/>
            </w:rPr>
            <w:tab/>
          </w: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PAGEREF _Toc12271 \h </w:instrText>
          </w:r>
          <w:r>
            <w:rPr>
              <w:sz w:val="22"/>
              <w:szCs w:val="22"/>
            </w:rPr>
            <w:fldChar w:fldCharType="separate"/>
          </w:r>
          <w:r>
            <w:rPr>
              <w:sz w:val="22"/>
              <w:szCs w:val="22"/>
            </w:rPr>
            <w:t>13</w:t>
          </w:r>
          <w:r>
            <w:rPr>
              <w:sz w:val="22"/>
              <w:szCs w:val="22"/>
            </w:rPr>
            <w:fldChar w:fldCharType="end"/>
          </w:r>
          <w:r>
            <w:rPr>
              <w:sz w:val="22"/>
              <w:szCs w:val="22"/>
            </w:rPr>
            <w:fldChar w:fldCharType="end"/>
          </w:r>
        </w:p>
        <w:p w14:paraId="6D87DAFF">
          <w:pPr>
            <w:pStyle w:val="15"/>
            <w:tabs>
              <w:tab w:val="right" w:leader="dot" w:pos="8640"/>
            </w:tabs>
            <w:rPr>
              <w:sz w:val="22"/>
              <w:szCs w:val="22"/>
            </w:rPr>
          </w:pP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HYPERLINK \l _Toc27821 </w:instrText>
          </w:r>
          <w:r>
            <w:rPr>
              <w:sz w:val="22"/>
              <w:szCs w:val="22"/>
            </w:rPr>
            <w:fldChar w:fldCharType="separate"/>
          </w:r>
          <w:r>
            <w:rPr>
              <w:rFonts w:hint="eastAsia" w:eastAsia="黑体"/>
              <w:bCs w:val="0"/>
              <w:sz w:val="22"/>
              <w:szCs w:val="40"/>
              <w:bdr w:val="none" w:sz="0" w:space="0"/>
            </w:rPr>
            <w:t xml:space="preserve">八、 </w:t>
          </w:r>
          <w:r>
            <w:rPr>
              <w:rFonts w:ascii="Times New Roman" w:hAnsi="Times New Roman" w:eastAsia="黑体" w:cs="Times New Roman"/>
              <w:bCs w:val="0"/>
              <w:sz w:val="22"/>
              <w:szCs w:val="40"/>
            </w:rPr>
            <w:t>采购及合同要求</w:t>
          </w:r>
          <w:r>
            <w:rPr>
              <w:sz w:val="22"/>
              <w:szCs w:val="22"/>
            </w:rPr>
            <w:tab/>
          </w: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PAGEREF _Toc27821 \h </w:instrText>
          </w:r>
          <w:r>
            <w:rPr>
              <w:sz w:val="22"/>
              <w:szCs w:val="22"/>
            </w:rPr>
            <w:fldChar w:fldCharType="separate"/>
          </w:r>
          <w:r>
            <w:rPr>
              <w:sz w:val="22"/>
              <w:szCs w:val="22"/>
            </w:rPr>
            <w:t>13</w:t>
          </w:r>
          <w:r>
            <w:rPr>
              <w:sz w:val="22"/>
              <w:szCs w:val="22"/>
            </w:rPr>
            <w:fldChar w:fldCharType="end"/>
          </w:r>
          <w:r>
            <w:rPr>
              <w:sz w:val="22"/>
              <w:szCs w:val="22"/>
            </w:rPr>
            <w:fldChar w:fldCharType="end"/>
          </w:r>
        </w:p>
        <w:p w14:paraId="6176C67A">
          <w:pPr>
            <w:pStyle w:val="18"/>
            <w:tabs>
              <w:tab w:val="right" w:leader="dot" w:pos="8640"/>
            </w:tabs>
            <w:rPr>
              <w:sz w:val="22"/>
              <w:szCs w:val="22"/>
            </w:rPr>
          </w:pP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HYPERLINK \l _Toc26636 </w:instrText>
          </w:r>
          <w:r>
            <w:rPr>
              <w:sz w:val="22"/>
              <w:szCs w:val="22"/>
            </w:rPr>
            <w:fldChar w:fldCharType="separate"/>
          </w:r>
          <w:r>
            <w:rPr>
              <w:rFonts w:hint="default" w:eastAsia="黑体"/>
              <w:bCs w:val="0"/>
              <w:sz w:val="22"/>
              <w:szCs w:val="28"/>
              <w:bdr w:val="none" w:sz="0" w:space="0"/>
            </w:rPr>
            <w:t xml:space="preserve">8.1 </w:t>
          </w:r>
          <w:r>
            <w:rPr>
              <w:rFonts w:ascii="Times New Roman" w:hAnsi="Times New Roman" w:eastAsia="黑体" w:cs="Times New Roman"/>
              <w:bCs w:val="0"/>
              <w:sz w:val="22"/>
              <w:szCs w:val="28"/>
            </w:rPr>
            <w:t>询价范围</w:t>
          </w:r>
          <w:r>
            <w:rPr>
              <w:sz w:val="22"/>
              <w:szCs w:val="22"/>
            </w:rPr>
            <w:tab/>
          </w: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PAGEREF _Toc26636 \h </w:instrText>
          </w:r>
          <w:r>
            <w:rPr>
              <w:sz w:val="22"/>
              <w:szCs w:val="22"/>
            </w:rPr>
            <w:fldChar w:fldCharType="separate"/>
          </w:r>
          <w:r>
            <w:rPr>
              <w:sz w:val="22"/>
              <w:szCs w:val="22"/>
            </w:rPr>
            <w:t>13</w:t>
          </w:r>
          <w:r>
            <w:rPr>
              <w:sz w:val="22"/>
              <w:szCs w:val="22"/>
            </w:rPr>
            <w:fldChar w:fldCharType="end"/>
          </w:r>
          <w:r>
            <w:rPr>
              <w:sz w:val="22"/>
              <w:szCs w:val="22"/>
            </w:rPr>
            <w:fldChar w:fldCharType="end"/>
          </w:r>
        </w:p>
        <w:p w14:paraId="3AC16DD8">
          <w:pPr>
            <w:pStyle w:val="18"/>
            <w:tabs>
              <w:tab w:val="right" w:leader="dot" w:pos="8640"/>
            </w:tabs>
            <w:rPr>
              <w:sz w:val="22"/>
              <w:szCs w:val="22"/>
            </w:rPr>
          </w:pP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HYPERLINK \l _Toc14680 </w:instrText>
          </w:r>
          <w:r>
            <w:rPr>
              <w:sz w:val="22"/>
              <w:szCs w:val="22"/>
            </w:rPr>
            <w:fldChar w:fldCharType="separate"/>
          </w:r>
          <w:r>
            <w:rPr>
              <w:rFonts w:hint="default" w:eastAsia="黑体"/>
              <w:bCs w:val="0"/>
              <w:sz w:val="22"/>
              <w:szCs w:val="28"/>
              <w:bdr w:val="none" w:sz="0" w:space="0"/>
            </w:rPr>
            <w:t xml:space="preserve">8.2 </w:t>
          </w:r>
          <w:r>
            <w:rPr>
              <w:rFonts w:ascii="Times New Roman" w:hAnsi="Times New Roman" w:eastAsia="黑体" w:cs="Times New Roman"/>
              <w:bCs w:val="0"/>
              <w:sz w:val="22"/>
              <w:szCs w:val="28"/>
            </w:rPr>
            <w:t>合同技术附件</w:t>
          </w:r>
          <w:r>
            <w:rPr>
              <w:sz w:val="22"/>
              <w:szCs w:val="22"/>
            </w:rPr>
            <w:tab/>
          </w: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PAGEREF _Toc14680 \h </w:instrText>
          </w:r>
          <w:r>
            <w:rPr>
              <w:sz w:val="22"/>
              <w:szCs w:val="22"/>
            </w:rPr>
            <w:fldChar w:fldCharType="separate"/>
          </w:r>
          <w:r>
            <w:rPr>
              <w:sz w:val="22"/>
              <w:szCs w:val="22"/>
            </w:rPr>
            <w:t>14</w:t>
          </w:r>
          <w:r>
            <w:rPr>
              <w:sz w:val="22"/>
              <w:szCs w:val="22"/>
            </w:rPr>
            <w:fldChar w:fldCharType="end"/>
          </w:r>
          <w:r>
            <w:rPr>
              <w:sz w:val="22"/>
              <w:szCs w:val="22"/>
            </w:rPr>
            <w:fldChar w:fldCharType="end"/>
          </w:r>
        </w:p>
        <w:p w14:paraId="579E64EB">
          <w:pPr>
            <w:pStyle w:val="18"/>
            <w:tabs>
              <w:tab w:val="right" w:leader="dot" w:pos="8640"/>
            </w:tabs>
            <w:rPr>
              <w:sz w:val="22"/>
              <w:szCs w:val="22"/>
            </w:rPr>
          </w:pP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HYPERLINK \l _Toc12973 </w:instrText>
          </w:r>
          <w:r>
            <w:rPr>
              <w:sz w:val="22"/>
              <w:szCs w:val="22"/>
            </w:rPr>
            <w:fldChar w:fldCharType="separate"/>
          </w:r>
          <w:r>
            <w:rPr>
              <w:rFonts w:hint="default" w:eastAsia="黑体"/>
              <w:bCs w:val="0"/>
              <w:sz w:val="22"/>
              <w:szCs w:val="28"/>
              <w:bdr w:val="none" w:sz="0" w:space="0"/>
            </w:rPr>
            <w:t xml:space="preserve">8.3 </w:t>
          </w:r>
          <w:r>
            <w:rPr>
              <w:rFonts w:ascii="Times New Roman" w:hAnsi="Times New Roman" w:eastAsia="黑体" w:cs="Times New Roman"/>
              <w:bCs w:val="0"/>
              <w:sz w:val="22"/>
              <w:szCs w:val="28"/>
            </w:rPr>
            <w:t>采购阶段划分</w:t>
          </w:r>
          <w:r>
            <w:rPr>
              <w:sz w:val="22"/>
              <w:szCs w:val="22"/>
            </w:rPr>
            <w:tab/>
          </w: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PAGEREF _Toc12973 \h </w:instrText>
          </w:r>
          <w:r>
            <w:rPr>
              <w:sz w:val="22"/>
              <w:szCs w:val="22"/>
            </w:rPr>
            <w:fldChar w:fldCharType="separate"/>
          </w:r>
          <w:r>
            <w:rPr>
              <w:sz w:val="22"/>
              <w:szCs w:val="22"/>
            </w:rPr>
            <w:t>14</w:t>
          </w:r>
          <w:r>
            <w:rPr>
              <w:sz w:val="22"/>
              <w:szCs w:val="22"/>
            </w:rPr>
            <w:fldChar w:fldCharType="end"/>
          </w:r>
          <w:r>
            <w:rPr>
              <w:sz w:val="22"/>
              <w:szCs w:val="22"/>
            </w:rPr>
            <w:fldChar w:fldCharType="end"/>
          </w:r>
        </w:p>
        <w:p w14:paraId="5E4F1114">
          <w:pPr>
            <w:pStyle w:val="15"/>
            <w:tabs>
              <w:tab w:val="right" w:leader="dot" w:pos="8640"/>
            </w:tabs>
            <w:rPr>
              <w:sz w:val="22"/>
              <w:szCs w:val="22"/>
            </w:rPr>
          </w:pP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HYPERLINK \l _Toc6320 </w:instrText>
          </w:r>
          <w:r>
            <w:rPr>
              <w:sz w:val="22"/>
              <w:szCs w:val="22"/>
            </w:rPr>
            <w:fldChar w:fldCharType="separate"/>
          </w:r>
          <w:r>
            <w:rPr>
              <w:rFonts w:hint="eastAsia" w:eastAsia="黑体"/>
              <w:bCs w:val="0"/>
              <w:sz w:val="22"/>
              <w:szCs w:val="40"/>
              <w:bdr w:val="none" w:sz="0" w:space="0"/>
            </w:rPr>
            <w:t xml:space="preserve">九、 </w:t>
          </w:r>
          <w:r>
            <w:rPr>
              <w:rFonts w:ascii="Times New Roman" w:hAnsi="Times New Roman" w:eastAsia="黑体" w:cs="Times New Roman"/>
              <w:bCs w:val="0"/>
              <w:sz w:val="22"/>
              <w:szCs w:val="40"/>
            </w:rPr>
            <w:t>验收要求</w:t>
          </w:r>
          <w:r>
            <w:rPr>
              <w:sz w:val="22"/>
              <w:szCs w:val="22"/>
            </w:rPr>
            <w:tab/>
          </w: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PAGEREF _Toc6320 \h </w:instrText>
          </w:r>
          <w:r>
            <w:rPr>
              <w:sz w:val="22"/>
              <w:szCs w:val="22"/>
            </w:rPr>
            <w:fldChar w:fldCharType="separate"/>
          </w:r>
          <w:r>
            <w:rPr>
              <w:sz w:val="22"/>
              <w:szCs w:val="22"/>
            </w:rPr>
            <w:t>15</w:t>
          </w:r>
          <w:r>
            <w:rPr>
              <w:sz w:val="22"/>
              <w:szCs w:val="22"/>
            </w:rPr>
            <w:fldChar w:fldCharType="end"/>
          </w:r>
          <w:r>
            <w:rPr>
              <w:sz w:val="22"/>
              <w:szCs w:val="22"/>
            </w:rPr>
            <w:fldChar w:fldCharType="end"/>
          </w:r>
        </w:p>
        <w:p w14:paraId="44686B8D">
          <w:pPr>
            <w:pStyle w:val="18"/>
            <w:tabs>
              <w:tab w:val="right" w:leader="dot" w:pos="8640"/>
            </w:tabs>
            <w:rPr>
              <w:sz w:val="22"/>
              <w:szCs w:val="22"/>
            </w:rPr>
          </w:pP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HYPERLINK \l _Toc25494 </w:instrText>
          </w:r>
          <w:r>
            <w:rPr>
              <w:sz w:val="22"/>
              <w:szCs w:val="22"/>
            </w:rPr>
            <w:fldChar w:fldCharType="separate"/>
          </w:r>
          <w:r>
            <w:rPr>
              <w:rFonts w:hint="default" w:eastAsia="黑体"/>
              <w:bCs w:val="0"/>
              <w:sz w:val="22"/>
              <w:szCs w:val="28"/>
              <w:bdr w:val="none" w:sz="0" w:space="0"/>
            </w:rPr>
            <w:t xml:space="preserve">9.1 </w:t>
          </w:r>
          <w:r>
            <w:rPr>
              <w:rFonts w:ascii="Times New Roman" w:hAnsi="Times New Roman" w:eastAsia="黑体" w:cs="Times New Roman"/>
              <w:bCs w:val="0"/>
              <w:sz w:val="22"/>
              <w:szCs w:val="28"/>
            </w:rPr>
            <w:t>文件与外观验收</w:t>
          </w:r>
          <w:r>
            <w:rPr>
              <w:sz w:val="22"/>
              <w:szCs w:val="22"/>
            </w:rPr>
            <w:tab/>
          </w: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PAGEREF _Toc25494 \h </w:instrText>
          </w:r>
          <w:r>
            <w:rPr>
              <w:sz w:val="22"/>
              <w:szCs w:val="22"/>
            </w:rPr>
            <w:fldChar w:fldCharType="separate"/>
          </w:r>
          <w:r>
            <w:rPr>
              <w:sz w:val="22"/>
              <w:szCs w:val="22"/>
            </w:rPr>
            <w:t>15</w:t>
          </w:r>
          <w:r>
            <w:rPr>
              <w:sz w:val="22"/>
              <w:szCs w:val="22"/>
            </w:rPr>
            <w:fldChar w:fldCharType="end"/>
          </w:r>
          <w:r>
            <w:rPr>
              <w:sz w:val="22"/>
              <w:szCs w:val="22"/>
            </w:rPr>
            <w:fldChar w:fldCharType="end"/>
          </w:r>
        </w:p>
        <w:p w14:paraId="4765F058">
          <w:pPr>
            <w:pStyle w:val="18"/>
            <w:tabs>
              <w:tab w:val="right" w:leader="dot" w:pos="8640"/>
            </w:tabs>
            <w:rPr>
              <w:sz w:val="22"/>
              <w:szCs w:val="22"/>
            </w:rPr>
          </w:pP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HYPERLINK \l _Toc29509 </w:instrText>
          </w:r>
          <w:r>
            <w:rPr>
              <w:sz w:val="22"/>
              <w:szCs w:val="22"/>
            </w:rPr>
            <w:fldChar w:fldCharType="separate"/>
          </w:r>
          <w:r>
            <w:rPr>
              <w:rFonts w:hint="default" w:eastAsia="黑体"/>
              <w:bCs w:val="0"/>
              <w:sz w:val="22"/>
              <w:szCs w:val="28"/>
              <w:bdr w:val="none" w:sz="0" w:space="0"/>
            </w:rPr>
            <w:t xml:space="preserve">9.2 </w:t>
          </w:r>
          <w:r>
            <w:rPr>
              <w:rFonts w:ascii="Times New Roman" w:hAnsi="Times New Roman" w:eastAsia="黑体" w:cs="Times New Roman"/>
              <w:bCs w:val="0"/>
              <w:sz w:val="22"/>
              <w:szCs w:val="28"/>
            </w:rPr>
            <w:t>水面功能验收</w:t>
          </w:r>
          <w:r>
            <w:rPr>
              <w:sz w:val="22"/>
              <w:szCs w:val="22"/>
            </w:rPr>
            <w:tab/>
          </w: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PAGEREF _Toc29509 \h </w:instrText>
          </w:r>
          <w:r>
            <w:rPr>
              <w:sz w:val="22"/>
              <w:szCs w:val="22"/>
            </w:rPr>
            <w:fldChar w:fldCharType="separate"/>
          </w:r>
          <w:r>
            <w:rPr>
              <w:sz w:val="22"/>
              <w:szCs w:val="22"/>
            </w:rPr>
            <w:t>15</w:t>
          </w:r>
          <w:r>
            <w:rPr>
              <w:sz w:val="22"/>
              <w:szCs w:val="22"/>
            </w:rPr>
            <w:fldChar w:fldCharType="end"/>
          </w:r>
          <w:r>
            <w:rPr>
              <w:sz w:val="22"/>
              <w:szCs w:val="22"/>
            </w:rPr>
            <w:fldChar w:fldCharType="end"/>
          </w:r>
        </w:p>
        <w:p w14:paraId="45ADC291">
          <w:pPr>
            <w:pStyle w:val="18"/>
            <w:tabs>
              <w:tab w:val="right" w:leader="dot" w:pos="8640"/>
            </w:tabs>
            <w:rPr>
              <w:sz w:val="22"/>
              <w:szCs w:val="22"/>
            </w:rPr>
          </w:pP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HYPERLINK \l _Toc32135 </w:instrText>
          </w:r>
          <w:r>
            <w:rPr>
              <w:sz w:val="22"/>
              <w:szCs w:val="22"/>
            </w:rPr>
            <w:fldChar w:fldCharType="separate"/>
          </w:r>
          <w:r>
            <w:rPr>
              <w:rFonts w:hint="default" w:eastAsia="黑体"/>
              <w:bCs w:val="0"/>
              <w:sz w:val="22"/>
              <w:szCs w:val="28"/>
              <w:bdr w:val="none" w:sz="0" w:space="0"/>
            </w:rPr>
            <w:t xml:space="preserve">9.3 </w:t>
          </w:r>
          <w:r>
            <w:rPr>
              <w:rFonts w:ascii="Times New Roman" w:hAnsi="Times New Roman" w:eastAsia="黑体" w:cs="Times New Roman"/>
              <w:bCs w:val="0"/>
              <w:sz w:val="22"/>
              <w:szCs w:val="28"/>
            </w:rPr>
            <w:t>水池或开放水域验收</w:t>
          </w:r>
          <w:r>
            <w:rPr>
              <w:sz w:val="22"/>
              <w:szCs w:val="22"/>
            </w:rPr>
            <w:tab/>
          </w: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PAGEREF _Toc32135 \h </w:instrText>
          </w:r>
          <w:r>
            <w:rPr>
              <w:sz w:val="22"/>
              <w:szCs w:val="22"/>
            </w:rPr>
            <w:fldChar w:fldCharType="separate"/>
          </w:r>
          <w:r>
            <w:rPr>
              <w:sz w:val="22"/>
              <w:szCs w:val="22"/>
            </w:rPr>
            <w:t>15</w:t>
          </w:r>
          <w:r>
            <w:rPr>
              <w:sz w:val="22"/>
              <w:szCs w:val="22"/>
            </w:rPr>
            <w:fldChar w:fldCharType="end"/>
          </w:r>
          <w:r>
            <w:rPr>
              <w:sz w:val="22"/>
              <w:szCs w:val="22"/>
            </w:rPr>
            <w:fldChar w:fldCharType="end"/>
          </w:r>
        </w:p>
        <w:p w14:paraId="3777C0A6">
          <w:pPr>
            <w:pStyle w:val="18"/>
            <w:tabs>
              <w:tab w:val="right" w:leader="dot" w:pos="8640"/>
            </w:tabs>
            <w:rPr>
              <w:sz w:val="22"/>
              <w:szCs w:val="22"/>
            </w:rPr>
          </w:pP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HYPERLINK \l _Toc21375 </w:instrText>
          </w:r>
          <w:r>
            <w:rPr>
              <w:sz w:val="22"/>
              <w:szCs w:val="22"/>
            </w:rPr>
            <w:fldChar w:fldCharType="separate"/>
          </w:r>
          <w:r>
            <w:rPr>
              <w:rFonts w:hint="default" w:eastAsia="黑体"/>
              <w:bCs w:val="0"/>
              <w:sz w:val="22"/>
              <w:szCs w:val="28"/>
              <w:bdr w:val="none" w:sz="0" w:space="0"/>
            </w:rPr>
            <w:t xml:space="preserve">9.4 </w:t>
          </w:r>
          <w:r>
            <w:rPr>
              <w:rFonts w:ascii="Times New Roman" w:hAnsi="Times New Roman" w:eastAsia="黑体" w:cs="Times New Roman"/>
              <w:bCs w:val="0"/>
              <w:sz w:val="22"/>
              <w:szCs w:val="28"/>
            </w:rPr>
            <w:t>验收判定</w:t>
          </w:r>
          <w:r>
            <w:rPr>
              <w:sz w:val="22"/>
              <w:szCs w:val="22"/>
            </w:rPr>
            <w:tab/>
          </w: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PAGEREF _Toc21375 \h </w:instrText>
          </w:r>
          <w:r>
            <w:rPr>
              <w:sz w:val="22"/>
              <w:szCs w:val="22"/>
            </w:rPr>
            <w:fldChar w:fldCharType="separate"/>
          </w:r>
          <w:r>
            <w:rPr>
              <w:sz w:val="22"/>
              <w:szCs w:val="22"/>
            </w:rPr>
            <w:t>15</w:t>
          </w:r>
          <w:r>
            <w:rPr>
              <w:sz w:val="22"/>
              <w:szCs w:val="22"/>
            </w:rPr>
            <w:fldChar w:fldCharType="end"/>
          </w:r>
          <w:r>
            <w:rPr>
              <w:sz w:val="22"/>
              <w:szCs w:val="22"/>
            </w:rPr>
            <w:fldChar w:fldCharType="end"/>
          </w:r>
        </w:p>
        <w:p w14:paraId="6BA23FE2">
          <w:pPr>
            <w:pStyle w:val="15"/>
            <w:tabs>
              <w:tab w:val="right" w:leader="dot" w:pos="8640"/>
            </w:tabs>
            <w:rPr>
              <w:sz w:val="22"/>
              <w:szCs w:val="22"/>
            </w:rPr>
          </w:pP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HYPERLINK \l _Toc20811 </w:instrText>
          </w:r>
          <w:r>
            <w:rPr>
              <w:sz w:val="22"/>
              <w:szCs w:val="22"/>
            </w:rPr>
            <w:fldChar w:fldCharType="separate"/>
          </w:r>
          <w:r>
            <w:rPr>
              <w:rFonts w:ascii="Times New Roman" w:hAnsi="Times New Roman" w:eastAsia="黑体" w:cs="Times New Roman"/>
              <w:bCs w:val="0"/>
              <w:sz w:val="22"/>
              <w:szCs w:val="40"/>
            </w:rPr>
            <w:t>附件A：ROV平台参数对比</w:t>
          </w:r>
          <w:r>
            <w:rPr>
              <w:sz w:val="22"/>
              <w:szCs w:val="22"/>
            </w:rPr>
            <w:tab/>
          </w: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PAGEREF _Toc20811 \h </w:instrText>
          </w:r>
          <w:r>
            <w:rPr>
              <w:sz w:val="22"/>
              <w:szCs w:val="22"/>
            </w:rPr>
            <w:fldChar w:fldCharType="separate"/>
          </w:r>
          <w:r>
            <w:rPr>
              <w:sz w:val="22"/>
              <w:szCs w:val="22"/>
            </w:rPr>
            <w:t>16</w:t>
          </w:r>
          <w:r>
            <w:rPr>
              <w:sz w:val="22"/>
              <w:szCs w:val="22"/>
            </w:rPr>
            <w:fldChar w:fldCharType="end"/>
          </w:r>
          <w:r>
            <w:rPr>
              <w:sz w:val="22"/>
              <w:szCs w:val="22"/>
            </w:rPr>
            <w:fldChar w:fldCharType="end"/>
          </w:r>
        </w:p>
        <w:p w14:paraId="27076248">
          <w:pPr>
            <w:pStyle w:val="15"/>
            <w:tabs>
              <w:tab w:val="right" w:leader="dot" w:pos="8640"/>
            </w:tabs>
            <w:rPr>
              <w:sz w:val="22"/>
              <w:szCs w:val="22"/>
            </w:rPr>
          </w:pP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HYPERLINK \l _Toc32507 </w:instrText>
          </w:r>
          <w:r>
            <w:rPr>
              <w:sz w:val="22"/>
              <w:szCs w:val="22"/>
            </w:rPr>
            <w:fldChar w:fldCharType="separate"/>
          </w:r>
          <w:r>
            <w:rPr>
              <w:rFonts w:ascii="Times New Roman" w:hAnsi="Times New Roman" w:eastAsia="黑体" w:cs="Times New Roman"/>
              <w:bCs w:val="0"/>
              <w:sz w:val="22"/>
              <w:szCs w:val="40"/>
            </w:rPr>
            <w:t>附件B：多波束前视声纳参数对比</w:t>
          </w:r>
          <w:r>
            <w:rPr>
              <w:sz w:val="22"/>
              <w:szCs w:val="22"/>
            </w:rPr>
            <w:tab/>
          </w: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PAGEREF _Toc32507 \h </w:instrText>
          </w:r>
          <w:r>
            <w:rPr>
              <w:sz w:val="22"/>
              <w:szCs w:val="22"/>
            </w:rPr>
            <w:fldChar w:fldCharType="separate"/>
          </w:r>
          <w:r>
            <w:rPr>
              <w:sz w:val="22"/>
              <w:szCs w:val="22"/>
            </w:rPr>
            <w:t>17</w:t>
          </w:r>
          <w:r>
            <w:rPr>
              <w:sz w:val="22"/>
              <w:szCs w:val="22"/>
            </w:rPr>
            <w:fldChar w:fldCharType="end"/>
          </w:r>
          <w:r>
            <w:rPr>
              <w:sz w:val="22"/>
              <w:szCs w:val="22"/>
            </w:rPr>
            <w:fldChar w:fldCharType="end"/>
          </w:r>
        </w:p>
        <w:p w14:paraId="4DCCD313">
          <w:pPr>
            <w:pStyle w:val="15"/>
            <w:tabs>
              <w:tab w:val="right" w:leader="dot" w:pos="8640"/>
            </w:tabs>
            <w:rPr>
              <w:sz w:val="22"/>
              <w:szCs w:val="22"/>
            </w:rPr>
          </w:pP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HYPERLINK \l _Toc19997 </w:instrText>
          </w:r>
          <w:r>
            <w:rPr>
              <w:sz w:val="22"/>
              <w:szCs w:val="22"/>
            </w:rPr>
            <w:fldChar w:fldCharType="separate"/>
          </w:r>
          <w:r>
            <w:rPr>
              <w:rFonts w:ascii="Times New Roman" w:hAnsi="Times New Roman" w:eastAsia="黑体" w:cs="Times New Roman"/>
              <w:bCs w:val="0"/>
              <w:sz w:val="22"/>
              <w:szCs w:val="40"/>
            </w:rPr>
            <w:t>附件C：其他传感器与选配件</w:t>
          </w:r>
          <w:r>
            <w:rPr>
              <w:sz w:val="22"/>
              <w:szCs w:val="22"/>
            </w:rPr>
            <w:tab/>
          </w: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PAGEREF _Toc19997 \h </w:instrText>
          </w:r>
          <w:r>
            <w:rPr>
              <w:sz w:val="22"/>
              <w:szCs w:val="22"/>
            </w:rPr>
            <w:fldChar w:fldCharType="separate"/>
          </w:r>
          <w:r>
            <w:rPr>
              <w:sz w:val="22"/>
              <w:szCs w:val="22"/>
            </w:rPr>
            <w:t>19</w:t>
          </w:r>
          <w:r>
            <w:rPr>
              <w:sz w:val="22"/>
              <w:szCs w:val="22"/>
            </w:rPr>
            <w:fldChar w:fldCharType="end"/>
          </w:r>
          <w:r>
            <w:rPr>
              <w:sz w:val="22"/>
              <w:szCs w:val="22"/>
            </w:rPr>
            <w:fldChar w:fldCharType="end"/>
          </w:r>
        </w:p>
        <w:p w14:paraId="0D587D57">
          <w:pPr>
            <w:pStyle w:val="15"/>
            <w:tabs>
              <w:tab w:val="right" w:leader="dot" w:pos="8640"/>
            </w:tabs>
            <w:rPr>
              <w:sz w:val="22"/>
              <w:szCs w:val="22"/>
            </w:rPr>
          </w:pP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HYPERLINK \l _Toc12242 </w:instrText>
          </w:r>
          <w:r>
            <w:rPr>
              <w:sz w:val="22"/>
              <w:szCs w:val="22"/>
            </w:rPr>
            <w:fldChar w:fldCharType="separate"/>
          </w:r>
          <w:r>
            <w:rPr>
              <w:rFonts w:hint="default" w:eastAsia="黑体"/>
              <w:bCs w:val="0"/>
              <w:sz w:val="22"/>
              <w:szCs w:val="40"/>
              <w:bdr w:val="none" w:sz="0" w:space="0"/>
            </w:rPr>
            <w:t xml:space="preserve">C.1 </w:t>
          </w:r>
          <w:r>
            <w:rPr>
              <w:rFonts w:ascii="Times New Roman" w:hAnsi="Times New Roman" w:eastAsia="黑体" w:cs="Times New Roman"/>
              <w:bCs w:val="0"/>
              <w:sz w:val="22"/>
              <w:szCs w:val="40"/>
            </w:rPr>
            <w:t>DVL A50</w:t>
          </w:r>
          <w:r>
            <w:rPr>
              <w:sz w:val="22"/>
              <w:szCs w:val="22"/>
            </w:rPr>
            <w:tab/>
          </w: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PAGEREF _Toc12242 \h </w:instrText>
          </w:r>
          <w:r>
            <w:rPr>
              <w:sz w:val="22"/>
              <w:szCs w:val="22"/>
            </w:rPr>
            <w:fldChar w:fldCharType="separate"/>
          </w:r>
          <w:r>
            <w:rPr>
              <w:sz w:val="22"/>
              <w:szCs w:val="22"/>
            </w:rPr>
            <w:t>19</w:t>
          </w:r>
          <w:r>
            <w:rPr>
              <w:sz w:val="22"/>
              <w:szCs w:val="22"/>
            </w:rPr>
            <w:fldChar w:fldCharType="end"/>
          </w:r>
          <w:r>
            <w:rPr>
              <w:sz w:val="22"/>
              <w:szCs w:val="22"/>
            </w:rPr>
            <w:fldChar w:fldCharType="end"/>
          </w:r>
        </w:p>
        <w:p w14:paraId="73764760">
          <w:pPr>
            <w:pStyle w:val="15"/>
            <w:tabs>
              <w:tab w:val="right" w:leader="dot" w:pos="8640"/>
            </w:tabs>
            <w:rPr>
              <w:sz w:val="22"/>
              <w:szCs w:val="22"/>
            </w:rPr>
          </w:pP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HYPERLINK \l _Toc22103 </w:instrText>
          </w:r>
          <w:r>
            <w:rPr>
              <w:sz w:val="22"/>
              <w:szCs w:val="22"/>
            </w:rPr>
            <w:fldChar w:fldCharType="separate"/>
          </w:r>
          <w:r>
            <w:rPr>
              <w:rFonts w:hint="default" w:eastAsia="黑体"/>
              <w:bCs w:val="0"/>
              <w:sz w:val="22"/>
              <w:szCs w:val="40"/>
              <w:bdr w:val="none" w:sz="0" w:space="0"/>
            </w:rPr>
            <w:t xml:space="preserve">C.2 </w:t>
          </w:r>
          <w:r>
            <w:rPr>
              <w:rFonts w:ascii="Times New Roman" w:hAnsi="Times New Roman" w:eastAsia="黑体" w:cs="Times New Roman"/>
              <w:bCs w:val="0"/>
              <w:sz w:val="22"/>
              <w:szCs w:val="40"/>
            </w:rPr>
            <w:t>AI-D双目深度摄像机</w:t>
          </w:r>
          <w:r>
            <w:rPr>
              <w:sz w:val="22"/>
              <w:szCs w:val="22"/>
            </w:rPr>
            <w:tab/>
          </w: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PAGEREF _Toc22103 \h </w:instrText>
          </w:r>
          <w:r>
            <w:rPr>
              <w:sz w:val="22"/>
              <w:szCs w:val="22"/>
            </w:rPr>
            <w:fldChar w:fldCharType="separate"/>
          </w:r>
          <w:r>
            <w:rPr>
              <w:sz w:val="22"/>
              <w:szCs w:val="22"/>
            </w:rPr>
            <w:t>19</w:t>
          </w:r>
          <w:r>
            <w:rPr>
              <w:sz w:val="22"/>
              <w:szCs w:val="22"/>
            </w:rPr>
            <w:fldChar w:fldCharType="end"/>
          </w:r>
          <w:r>
            <w:rPr>
              <w:sz w:val="22"/>
              <w:szCs w:val="22"/>
            </w:rPr>
            <w:fldChar w:fldCharType="end"/>
          </w:r>
        </w:p>
        <w:p w14:paraId="63556805">
          <w:pPr>
            <w:pStyle w:val="15"/>
            <w:tabs>
              <w:tab w:val="right" w:leader="dot" w:pos="8640"/>
            </w:tabs>
            <w:rPr>
              <w:sz w:val="22"/>
              <w:szCs w:val="22"/>
            </w:rPr>
          </w:pP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HYPERLINK \l _Toc5388 </w:instrText>
          </w:r>
          <w:r>
            <w:rPr>
              <w:sz w:val="22"/>
              <w:szCs w:val="22"/>
            </w:rPr>
            <w:fldChar w:fldCharType="separate"/>
          </w:r>
          <w:r>
            <w:rPr>
              <w:rFonts w:hint="default" w:eastAsia="黑体"/>
              <w:bCs w:val="0"/>
              <w:sz w:val="22"/>
              <w:szCs w:val="40"/>
              <w:bdr w:val="none" w:sz="0" w:space="0"/>
            </w:rPr>
            <w:t xml:space="preserve">C.3 </w:t>
          </w:r>
          <w:r>
            <w:rPr>
              <w:rFonts w:ascii="Times New Roman" w:hAnsi="Times New Roman" w:eastAsia="黑体" w:cs="Times New Roman"/>
              <w:bCs w:val="0"/>
              <w:sz w:val="22"/>
              <w:szCs w:val="40"/>
            </w:rPr>
            <w:t>P360扫描成像声纳</w:t>
          </w:r>
          <w:r>
            <w:rPr>
              <w:sz w:val="22"/>
              <w:szCs w:val="22"/>
            </w:rPr>
            <w:tab/>
          </w: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PAGEREF _Toc5388 \h </w:instrText>
          </w:r>
          <w:r>
            <w:rPr>
              <w:sz w:val="22"/>
              <w:szCs w:val="22"/>
            </w:rPr>
            <w:fldChar w:fldCharType="separate"/>
          </w:r>
          <w:r>
            <w:rPr>
              <w:sz w:val="22"/>
              <w:szCs w:val="22"/>
            </w:rPr>
            <w:t>20</w:t>
          </w:r>
          <w:r>
            <w:rPr>
              <w:sz w:val="22"/>
              <w:szCs w:val="22"/>
            </w:rPr>
            <w:fldChar w:fldCharType="end"/>
          </w:r>
          <w:r>
            <w:rPr>
              <w:sz w:val="22"/>
              <w:szCs w:val="22"/>
            </w:rPr>
            <w:fldChar w:fldCharType="end"/>
          </w:r>
        </w:p>
        <w:p w14:paraId="6E9E0A70">
          <w:pPr>
            <w:pStyle w:val="15"/>
            <w:tabs>
              <w:tab w:val="right" w:leader="dot" w:pos="8640"/>
            </w:tabs>
            <w:rPr>
              <w:sz w:val="22"/>
              <w:szCs w:val="22"/>
            </w:rPr>
          </w:pP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HYPERLINK \l _Toc17039 </w:instrText>
          </w:r>
          <w:r>
            <w:rPr>
              <w:sz w:val="22"/>
              <w:szCs w:val="22"/>
            </w:rPr>
            <w:fldChar w:fldCharType="separate"/>
          </w:r>
          <w:r>
            <w:rPr>
              <w:rFonts w:ascii="Times New Roman" w:hAnsi="Times New Roman" w:eastAsia="黑体" w:cs="Times New Roman"/>
              <w:bCs w:val="0"/>
              <w:sz w:val="22"/>
              <w:szCs w:val="40"/>
            </w:rPr>
            <w:t>附件D：接口与集成核对表</w:t>
          </w:r>
          <w:r>
            <w:rPr>
              <w:sz w:val="22"/>
              <w:szCs w:val="22"/>
            </w:rPr>
            <w:tab/>
          </w: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PAGEREF _Toc17039 \h </w:instrText>
          </w:r>
          <w:r>
            <w:rPr>
              <w:sz w:val="22"/>
              <w:szCs w:val="22"/>
            </w:rPr>
            <w:fldChar w:fldCharType="separate"/>
          </w:r>
          <w:r>
            <w:rPr>
              <w:sz w:val="22"/>
              <w:szCs w:val="22"/>
            </w:rPr>
            <w:t>20</w:t>
          </w:r>
          <w:r>
            <w:rPr>
              <w:sz w:val="22"/>
              <w:szCs w:val="22"/>
            </w:rPr>
            <w:fldChar w:fldCharType="end"/>
          </w:r>
          <w:r>
            <w:rPr>
              <w:sz w:val="22"/>
              <w:szCs w:val="22"/>
            </w:rPr>
            <w:fldChar w:fldCharType="end"/>
          </w:r>
        </w:p>
        <w:p w14:paraId="5C090F2D">
          <w:pPr>
            <w:pStyle w:val="15"/>
            <w:tabs>
              <w:tab w:val="right" w:leader="dot" w:pos="8640"/>
            </w:tabs>
            <w:rPr>
              <w:sz w:val="22"/>
              <w:szCs w:val="22"/>
            </w:rPr>
          </w:pP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HYPERLINK \l _Toc15317 </w:instrText>
          </w:r>
          <w:r>
            <w:rPr>
              <w:sz w:val="22"/>
              <w:szCs w:val="22"/>
            </w:rPr>
            <w:fldChar w:fldCharType="separate"/>
          </w:r>
          <w:r>
            <w:rPr>
              <w:rFonts w:ascii="Times New Roman" w:hAnsi="Times New Roman" w:eastAsia="黑体" w:cs="Times New Roman"/>
              <w:bCs w:val="0"/>
              <w:sz w:val="22"/>
              <w:szCs w:val="40"/>
            </w:rPr>
            <w:t>附件E：价格依据与待确认事项</w:t>
          </w:r>
          <w:r>
            <w:rPr>
              <w:sz w:val="22"/>
              <w:szCs w:val="22"/>
            </w:rPr>
            <w:tab/>
          </w: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PAGEREF _Toc15317 \h </w:instrText>
          </w:r>
          <w:r>
            <w:rPr>
              <w:sz w:val="22"/>
              <w:szCs w:val="22"/>
            </w:rPr>
            <w:fldChar w:fldCharType="separate"/>
          </w:r>
          <w:r>
            <w:rPr>
              <w:sz w:val="22"/>
              <w:szCs w:val="22"/>
            </w:rPr>
            <w:t>21</w:t>
          </w:r>
          <w:r>
            <w:rPr>
              <w:sz w:val="22"/>
              <w:szCs w:val="22"/>
            </w:rPr>
            <w:fldChar w:fldCharType="end"/>
          </w:r>
          <w:r>
            <w:rPr>
              <w:sz w:val="22"/>
              <w:szCs w:val="22"/>
            </w:rPr>
            <w:fldChar w:fldCharType="end"/>
          </w:r>
        </w:p>
        <w:p w14:paraId="24B87A1D">
          <w:pPr>
            <w:pStyle w:val="15"/>
            <w:tabs>
              <w:tab w:val="right" w:leader="dot" w:pos="8640"/>
            </w:tabs>
            <w:rPr>
              <w:sz w:val="22"/>
              <w:szCs w:val="22"/>
            </w:rPr>
          </w:pP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HYPERLINK \l _Toc20098 </w:instrText>
          </w:r>
          <w:r>
            <w:rPr>
              <w:sz w:val="22"/>
              <w:szCs w:val="22"/>
            </w:rPr>
            <w:fldChar w:fldCharType="separate"/>
          </w:r>
          <w:r>
            <w:rPr>
              <w:rFonts w:hint="default" w:eastAsia="黑体"/>
              <w:bCs w:val="0"/>
              <w:sz w:val="22"/>
              <w:szCs w:val="40"/>
              <w:bdr w:val="none" w:sz="0" w:space="0"/>
            </w:rPr>
            <w:t xml:space="preserve">E.1 </w:t>
          </w:r>
          <w:r>
            <w:rPr>
              <w:rFonts w:ascii="Times New Roman" w:hAnsi="Times New Roman" w:eastAsia="黑体" w:cs="Times New Roman"/>
              <w:bCs w:val="0"/>
              <w:sz w:val="22"/>
              <w:szCs w:val="40"/>
            </w:rPr>
            <w:t>价格依据</w:t>
          </w:r>
          <w:r>
            <w:rPr>
              <w:sz w:val="22"/>
              <w:szCs w:val="22"/>
            </w:rPr>
            <w:tab/>
          </w: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PAGEREF _Toc20098 \h </w:instrText>
          </w:r>
          <w:r>
            <w:rPr>
              <w:sz w:val="22"/>
              <w:szCs w:val="22"/>
            </w:rPr>
            <w:fldChar w:fldCharType="separate"/>
          </w:r>
          <w:r>
            <w:rPr>
              <w:sz w:val="22"/>
              <w:szCs w:val="22"/>
            </w:rPr>
            <w:t>21</w:t>
          </w:r>
          <w:r>
            <w:rPr>
              <w:sz w:val="22"/>
              <w:szCs w:val="22"/>
            </w:rPr>
            <w:fldChar w:fldCharType="end"/>
          </w:r>
          <w:r>
            <w:rPr>
              <w:sz w:val="22"/>
              <w:szCs w:val="22"/>
            </w:rPr>
            <w:fldChar w:fldCharType="end"/>
          </w:r>
        </w:p>
        <w:p w14:paraId="4C8BC800">
          <w:pPr>
            <w:pStyle w:val="15"/>
            <w:tabs>
              <w:tab w:val="right" w:leader="dot" w:pos="8640"/>
            </w:tabs>
            <w:rPr>
              <w:sz w:val="22"/>
              <w:szCs w:val="22"/>
            </w:rPr>
          </w:pP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HYPERLINK \l _Toc20269 </w:instrText>
          </w:r>
          <w:r>
            <w:rPr>
              <w:sz w:val="22"/>
              <w:szCs w:val="22"/>
            </w:rPr>
            <w:fldChar w:fldCharType="separate"/>
          </w:r>
          <w:r>
            <w:rPr>
              <w:rFonts w:hint="default" w:eastAsia="黑体"/>
              <w:bCs w:val="0"/>
              <w:sz w:val="22"/>
              <w:szCs w:val="40"/>
              <w:bdr w:val="none" w:sz="0" w:space="0"/>
            </w:rPr>
            <w:t xml:space="preserve">E.2 </w:t>
          </w:r>
          <w:r>
            <w:rPr>
              <w:rFonts w:ascii="Times New Roman" w:hAnsi="Times New Roman" w:eastAsia="黑体" w:cs="Times New Roman"/>
              <w:bCs w:val="0"/>
              <w:sz w:val="22"/>
              <w:szCs w:val="40"/>
            </w:rPr>
            <w:t>必须向供应商确认</w:t>
          </w:r>
          <w:r>
            <w:rPr>
              <w:sz w:val="22"/>
              <w:szCs w:val="22"/>
            </w:rPr>
            <w:tab/>
          </w: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PAGEREF _Toc20269 \h </w:instrText>
          </w:r>
          <w:r>
            <w:rPr>
              <w:sz w:val="22"/>
              <w:szCs w:val="22"/>
            </w:rPr>
            <w:fldChar w:fldCharType="separate"/>
          </w:r>
          <w:r>
            <w:rPr>
              <w:sz w:val="22"/>
              <w:szCs w:val="22"/>
            </w:rPr>
            <w:t>21</w:t>
          </w:r>
          <w:r>
            <w:rPr>
              <w:sz w:val="22"/>
              <w:szCs w:val="22"/>
            </w:rPr>
            <w:fldChar w:fldCharType="end"/>
          </w:r>
          <w:r>
            <w:rPr>
              <w:sz w:val="22"/>
              <w:szCs w:val="22"/>
            </w:rPr>
            <w:fldChar w:fldCharType="end"/>
          </w:r>
        </w:p>
        <w:p w14:paraId="5A8D5329">
          <w:pPr>
            <w:pStyle w:val="15"/>
            <w:tabs>
              <w:tab w:val="right" w:leader="dot" w:pos="8640"/>
            </w:tabs>
            <w:rPr>
              <w:sz w:val="22"/>
              <w:szCs w:val="22"/>
            </w:rPr>
          </w:pP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HYPERLINK \l _Toc18053 </w:instrText>
          </w:r>
          <w:r>
            <w:rPr>
              <w:sz w:val="22"/>
              <w:szCs w:val="22"/>
            </w:rPr>
            <w:fldChar w:fldCharType="separate"/>
          </w:r>
          <w:r>
            <w:rPr>
              <w:rFonts w:hint="default" w:eastAsia="黑体"/>
              <w:bCs w:val="0"/>
              <w:sz w:val="22"/>
              <w:szCs w:val="40"/>
              <w:bdr w:val="none" w:sz="0" w:space="0"/>
            </w:rPr>
            <w:t xml:space="preserve">E.3 </w:t>
          </w:r>
          <w:r>
            <w:rPr>
              <w:rFonts w:ascii="Times New Roman" w:hAnsi="Times New Roman" w:eastAsia="黑体" w:cs="Times New Roman"/>
              <w:bCs w:val="0"/>
              <w:sz w:val="22"/>
              <w:szCs w:val="40"/>
            </w:rPr>
            <w:t>预算控制原则</w:t>
          </w:r>
          <w:r>
            <w:rPr>
              <w:sz w:val="22"/>
              <w:szCs w:val="22"/>
            </w:rPr>
            <w:tab/>
          </w: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PAGEREF _Toc18053 \h </w:instrText>
          </w:r>
          <w:r>
            <w:rPr>
              <w:sz w:val="22"/>
              <w:szCs w:val="22"/>
            </w:rPr>
            <w:fldChar w:fldCharType="separate"/>
          </w:r>
          <w:r>
            <w:rPr>
              <w:sz w:val="22"/>
              <w:szCs w:val="22"/>
            </w:rPr>
            <w:t>22</w:t>
          </w:r>
          <w:r>
            <w:rPr>
              <w:sz w:val="22"/>
              <w:szCs w:val="22"/>
            </w:rPr>
            <w:fldChar w:fldCharType="end"/>
          </w:r>
          <w:r>
            <w:rPr>
              <w:sz w:val="22"/>
              <w:szCs w:val="22"/>
            </w:rPr>
            <w:fldChar w:fldCharType="end"/>
          </w:r>
        </w:p>
        <w:p w14:paraId="31962BB8">
          <w:r>
            <w:rPr>
              <w:sz w:val="22"/>
              <w:szCs w:val="22"/>
            </w:rPr>
            <w:fldChar w:fldCharType="end"/>
          </w:r>
        </w:p>
      </w:sdtContent>
    </w:sdt>
    <w:p w14:paraId="0224E885"/>
    <w:p w14:paraId="2C5BCD8F">
      <w:r>
        <w:br w:type="page"/>
      </w:r>
    </w:p>
    <w:p w14:paraId="4A4DA59C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eastAsia="黑体"/>
          <w:b w:val="0"/>
          <w:bCs w:val="0"/>
          <w:sz w:val="32"/>
          <w:szCs w:val="44"/>
          <w:bdr w:val="none" w:sz="0" w:space="0"/>
        </w:rPr>
      </w:pPr>
      <w:bookmarkStart w:id="0" w:name="_Toc10711"/>
      <w:bookmarkStart w:id="1" w:name="一项目目标与硬性要求"/>
      <w:bookmarkStart w:id="2" w:name="rov及多波束前视声纳综合选型采购方案"/>
      <w:r>
        <w:rPr>
          <w:rFonts w:ascii="Times New Roman" w:hAnsi="Times New Roman" w:eastAsia="黑体" w:cs="Times New Roman"/>
          <w:b w:val="0"/>
          <w:bCs w:val="0"/>
          <w:sz w:val="32"/>
          <w:szCs w:val="44"/>
        </w:rPr>
        <w:t>项目目标与硬性要求</w:t>
      </w:r>
      <w:bookmarkEnd w:id="0"/>
    </w:p>
    <w:p w14:paraId="57711132">
      <w:pPr>
        <w:pStyle w:val="3"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本项目拟采购一套具备水下视频观察、声学成像、目标探测、障碍物识别及数据二次开发能力的ROV系统。选型以采购总价和系统技术性能为主要评价依据。既有资料中的“作业水深不超过50m、环境流速不超过1节”作为参考工况，不作为方案准入条件。</w:t>
      </w:r>
    </w:p>
    <w:p w14:paraId="18846479">
      <w:pPr>
        <w:pStyle w:val="3"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硬性要求如下：</w:t>
      </w:r>
    </w:p>
    <w:p w14:paraId="25D3DDDD">
      <w:pPr>
        <w:pStyle w:val="3"/>
        <w:numPr>
          <w:ilvl w:val="0"/>
          <w:numId w:val="2"/>
        </w:numPr>
        <w:ind w:left="0" w:leftChars="0" w:firstLine="480" w:firstLineChars="0"/>
        <w:rPr>
          <w:rFonts w:eastAsia="宋体"/>
          <w:b w:val="0"/>
          <w:bCs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各候选方案均须配置多波束前视成像声纳，机械扫描声纳和单波束声纳不作为替代设备。</w:t>
      </w:r>
    </w:p>
    <w:p w14:paraId="35B23A17">
      <w:pPr>
        <w:pStyle w:val="3"/>
        <w:numPr>
          <w:ilvl w:val="0"/>
          <w:numId w:val="2"/>
        </w:numPr>
        <w:ind w:left="0" w:leftChars="0" w:firstLine="480" w:firstLineChars="0"/>
        <w:rPr>
          <w:rFonts w:eastAsia="宋体"/>
          <w:b w:val="0"/>
          <w:bCs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单套系统采购总价上限为20万元。采购总价包括ROV、声纳、方案规定的其他传感器，以及系统交付所需的卷线盘、安装支架、供电转换模块、水密接插件、线缆、运输、税费、集成和联调费用。</w:t>
      </w:r>
    </w:p>
    <w:p w14:paraId="074610C3">
      <w:pPr>
        <w:pStyle w:val="3"/>
        <w:numPr>
          <w:ilvl w:val="0"/>
          <w:numId w:val="2"/>
        </w:numPr>
        <w:ind w:left="0" w:leftChars="0" w:firstLine="480" w:firstLineChars="0"/>
        <w:rPr>
          <w:rFonts w:eastAsia="宋体"/>
          <w:b w:val="0"/>
          <w:bCs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声纳须提供原始数据访问能力及SDK或API，用于数据记录、算法开发和多传感器融合。</w:t>
      </w:r>
    </w:p>
    <w:p w14:paraId="6865C382">
      <w:pPr>
        <w:pStyle w:val="3"/>
        <w:numPr>
          <w:ilvl w:val="0"/>
          <w:numId w:val="2"/>
        </w:numPr>
        <w:ind w:left="0" w:leftChars="0" w:firstLine="480" w:firstLineChars="0"/>
        <w:rPr>
          <w:rFonts w:eastAsia="宋体"/>
          <w:b w:val="0"/>
          <w:bCs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系统额定能力取各组成设备技术指标的最低值。声纳耐压深度高于ROV耐压深度时，系统额定作业深度按ROV耐压深度确定；实际作业范围同时受脐带缆长度限制。</w:t>
      </w:r>
    </w:p>
    <w:bookmarkEnd w:id="1"/>
    <w:p w14:paraId="14C55F56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eastAsia="黑体"/>
          <w:b w:val="0"/>
          <w:bCs w:val="0"/>
          <w:sz w:val="32"/>
          <w:szCs w:val="44"/>
          <w:bdr w:val="none" w:sz="0" w:space="0"/>
        </w:rPr>
      </w:pPr>
      <w:bookmarkStart w:id="3" w:name="_Toc15953"/>
      <w:bookmarkStart w:id="4" w:name="二候选方案及选型意见"/>
      <w:r>
        <w:rPr>
          <w:rFonts w:ascii="Times New Roman" w:hAnsi="Times New Roman" w:eastAsia="黑体" w:cs="Times New Roman"/>
          <w:b w:val="0"/>
          <w:bCs w:val="0"/>
          <w:sz w:val="32"/>
          <w:szCs w:val="44"/>
        </w:rPr>
        <w:t>候选方案及选型意见</w:t>
      </w:r>
      <w:bookmarkEnd w:id="3"/>
    </w:p>
    <w:p w14:paraId="04477003">
      <w:pPr>
        <w:pStyle w:val="3"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依据采购总价、声纳成像性能、ROV平台能力、数据接口和系统集成风险，确定以下三套候选配置。</w:t>
      </w:r>
    </w:p>
    <w:tbl>
      <w:tblPr>
        <w:tblStyle w:val="31"/>
        <w:tblW w:w="1124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9"/>
        <w:gridCol w:w="1720"/>
        <w:gridCol w:w="996"/>
        <w:gridCol w:w="1291"/>
        <w:gridCol w:w="2077"/>
        <w:gridCol w:w="1847"/>
        <w:gridCol w:w="1670"/>
      </w:tblGrid>
      <w:tr w14:paraId="6CB1D4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040457">
            <w:pPr>
              <w:pStyle w:val="2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候选方案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DD4E6C">
            <w:pPr>
              <w:pStyle w:val="2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主要配置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FC8D9A">
            <w:pPr>
              <w:pStyle w:val="2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已知设备价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8E762B">
            <w:pPr>
              <w:pStyle w:val="2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采购总价上限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4ED684">
            <w:pPr>
              <w:pStyle w:val="2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主要技术特征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0F97BB">
            <w:pPr>
              <w:pStyle w:val="2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工程约束</w:t>
            </w:r>
          </w:p>
        </w:tc>
        <w:tc>
          <w:tcPr>
            <w:tcW w:w="167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AE3128">
            <w:pPr>
              <w:pStyle w:val="2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适用任务</w:t>
            </w:r>
          </w:p>
        </w:tc>
      </w:tr>
      <w:tr w14:paraId="4EEC17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98F6B5">
            <w:pPr>
              <w:pStyle w:val="2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方案一：基础探测配置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47C745">
            <w:pPr>
              <w:pStyle w:val="2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HX-300-S + Omniscan 450FS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A8BA13">
            <w:pPr>
              <w:pStyle w:val="26"/>
              <w:keepNext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6.08万元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AD9CF1">
            <w:pPr>
              <w:pStyle w:val="26"/>
              <w:keepNext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不超过7.50万元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DE2C87">
            <w:pPr>
              <w:pStyle w:val="2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300m</w:t>
            </w:r>
            <w:bookmarkStart w:id="83" w:name="_GoBack"/>
            <w:bookmarkEnd w:id="83"/>
            <w:r>
              <w:rPr>
                <w:sz w:val="21"/>
                <w:szCs w:val="21"/>
              </w:rPr>
              <w:t>级ROV、水面连续供电、10kg负载、100m量程声纳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76543D">
            <w:pPr>
              <w:pStyle w:val="2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声纳波束数、总视场和刷新率尚需供应商确认</w:t>
            </w:r>
          </w:p>
        </w:tc>
        <w:tc>
          <w:tcPr>
            <w:tcW w:w="167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549248">
            <w:pPr>
              <w:pStyle w:val="2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常规观察、目标探测和基础数据开发</w:t>
            </w:r>
          </w:p>
        </w:tc>
      </w:tr>
      <w:tr w14:paraId="5DD8F8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1A61A4">
            <w:pPr>
              <w:pStyle w:val="2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bCs/>
                <w:color w:val="C00000"/>
                <w:sz w:val="21"/>
                <w:szCs w:val="21"/>
              </w:rPr>
            </w:pPr>
            <w:r>
              <w:rPr>
                <w:b/>
                <w:bCs/>
                <w:color w:val="C00000"/>
                <w:sz w:val="21"/>
                <w:szCs w:val="21"/>
              </w:rPr>
              <w:t>方案二：高分辨率成像配置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21B491">
            <w:pPr>
              <w:pStyle w:val="2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/>
                <w:bCs/>
                <w:color w:val="C00000"/>
                <w:sz w:val="21"/>
                <w:szCs w:val="21"/>
              </w:rPr>
            </w:pPr>
            <w:r>
              <w:rPr>
                <w:b/>
                <w:bCs/>
                <w:color w:val="C00000"/>
                <w:sz w:val="21"/>
                <w:szCs w:val="21"/>
              </w:rPr>
              <w:t>BlueROV2 Heavy + SV1213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25B3BD">
            <w:pPr>
              <w:pStyle w:val="26"/>
              <w:keepNext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b/>
                <w:bCs/>
                <w:color w:val="C00000"/>
                <w:sz w:val="21"/>
                <w:szCs w:val="21"/>
              </w:rPr>
            </w:pPr>
            <w:r>
              <w:rPr>
                <w:b/>
                <w:bCs/>
                <w:color w:val="C00000"/>
                <w:sz w:val="21"/>
                <w:szCs w:val="21"/>
              </w:rPr>
              <w:t>12.70万元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E7A08F">
            <w:pPr>
              <w:pStyle w:val="26"/>
              <w:keepNext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b/>
                <w:bCs/>
                <w:color w:val="C00000"/>
                <w:sz w:val="21"/>
                <w:szCs w:val="21"/>
              </w:rPr>
            </w:pPr>
            <w:r>
              <w:rPr>
                <w:b/>
                <w:bCs/>
                <w:color w:val="C00000"/>
                <w:sz w:val="21"/>
                <w:szCs w:val="21"/>
              </w:rPr>
              <w:t>不超过14.50万元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BF9C48">
            <w:pPr>
              <w:pStyle w:val="2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/>
                <w:bCs/>
                <w:color w:val="C00000"/>
                <w:sz w:val="21"/>
                <w:szCs w:val="21"/>
              </w:rPr>
            </w:pPr>
            <w:r>
              <w:rPr>
                <w:b/>
                <w:bCs/>
                <w:color w:val="C00000"/>
                <w:sz w:val="21"/>
                <w:szCs w:val="21"/>
              </w:rPr>
              <w:t>768波束、双频可选、140°水平视场、最高40Hz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6DAAE0">
            <w:pPr>
              <w:pStyle w:val="2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/>
                <w:bCs/>
                <w:color w:val="C00000"/>
                <w:sz w:val="21"/>
                <w:szCs w:val="21"/>
              </w:rPr>
            </w:pPr>
            <w:r>
              <w:rPr>
                <w:b/>
                <w:bCs/>
                <w:color w:val="C00000"/>
                <w:sz w:val="21"/>
                <w:szCs w:val="21"/>
              </w:rPr>
              <w:t>ROV额定深度100m；电池续航和声纳供电转换需确认</w:t>
            </w:r>
          </w:p>
        </w:tc>
        <w:tc>
          <w:tcPr>
            <w:tcW w:w="167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E3FE60">
            <w:pPr>
              <w:pStyle w:val="2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/>
                <w:bCs/>
                <w:color w:val="C00000"/>
                <w:sz w:val="21"/>
                <w:szCs w:val="21"/>
              </w:rPr>
            </w:pPr>
            <w:r>
              <w:rPr>
                <w:b/>
                <w:bCs/>
                <w:color w:val="C00000"/>
                <w:sz w:val="21"/>
                <w:szCs w:val="21"/>
              </w:rPr>
              <w:t>近中距离高分辨率声学成像</w:t>
            </w:r>
          </w:p>
        </w:tc>
      </w:tr>
      <w:tr w14:paraId="23AAE8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3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E13E69">
            <w:pPr>
              <w:pStyle w:val="2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bCs/>
                <w:color w:val="C00000"/>
                <w:sz w:val="21"/>
                <w:szCs w:val="21"/>
              </w:rPr>
            </w:pPr>
            <w:r>
              <w:rPr>
                <w:b/>
                <w:bCs/>
                <w:color w:val="C00000"/>
                <w:sz w:val="21"/>
                <w:szCs w:val="21"/>
              </w:rPr>
              <w:t>方案三：多传感器融合配置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1A27C2">
            <w:pPr>
              <w:pStyle w:val="2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/>
                <w:bCs/>
                <w:color w:val="C00000"/>
                <w:sz w:val="21"/>
                <w:szCs w:val="21"/>
              </w:rPr>
            </w:pPr>
            <w:r>
              <w:rPr>
                <w:b/>
                <w:bCs/>
                <w:color w:val="C00000"/>
                <w:sz w:val="21"/>
                <w:szCs w:val="21"/>
              </w:rPr>
              <w:t>HX-300-S + Echo + DVL A50 + 卷线盘</w:t>
            </w:r>
          </w:p>
        </w:tc>
        <w:tc>
          <w:tcPr>
            <w:tcW w:w="99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BF946C">
            <w:pPr>
              <w:pStyle w:val="26"/>
              <w:keepNext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b/>
                <w:bCs/>
                <w:color w:val="C00000"/>
                <w:sz w:val="21"/>
                <w:szCs w:val="21"/>
              </w:rPr>
            </w:pPr>
            <w:r>
              <w:rPr>
                <w:b/>
                <w:bCs/>
                <w:color w:val="C00000"/>
                <w:sz w:val="21"/>
                <w:szCs w:val="21"/>
              </w:rPr>
              <w:t>18.63万元</w:t>
            </w:r>
          </w:p>
        </w:tc>
        <w:tc>
          <w:tcPr>
            <w:tcW w:w="129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2BBA8E">
            <w:pPr>
              <w:pStyle w:val="26"/>
              <w:keepNext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b/>
                <w:bCs/>
                <w:color w:val="C00000"/>
                <w:sz w:val="21"/>
                <w:szCs w:val="21"/>
              </w:rPr>
            </w:pPr>
            <w:r>
              <w:rPr>
                <w:b/>
                <w:bCs/>
                <w:color w:val="C00000"/>
                <w:sz w:val="21"/>
                <w:szCs w:val="21"/>
              </w:rPr>
              <w:t>不超过20.00万元</w:t>
            </w:r>
          </w:p>
        </w:tc>
        <w:tc>
          <w:tcPr>
            <w:tcW w:w="207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6E824F">
            <w:pPr>
              <w:pStyle w:val="2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/>
                <w:bCs/>
                <w:color w:val="C00000"/>
                <w:sz w:val="21"/>
                <w:szCs w:val="21"/>
              </w:rPr>
            </w:pPr>
            <w:r>
              <w:rPr>
                <w:b/>
                <w:bCs/>
                <w:color w:val="C00000"/>
                <w:sz w:val="21"/>
                <w:szCs w:val="21"/>
              </w:rPr>
              <w:t>200m远距声纳、DVL测速、水面连续供电</w:t>
            </w:r>
          </w:p>
        </w:tc>
        <w:tc>
          <w:tcPr>
            <w:tcW w:w="184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188D31">
            <w:pPr>
              <w:pStyle w:val="2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/>
                <w:bCs/>
                <w:color w:val="C00000"/>
                <w:sz w:val="21"/>
                <w:szCs w:val="21"/>
              </w:rPr>
            </w:pPr>
            <w:r>
              <w:rPr>
                <w:b/>
                <w:bCs/>
                <w:color w:val="C00000"/>
                <w:sz w:val="21"/>
                <w:szCs w:val="21"/>
              </w:rPr>
              <w:t>配套费用余量1.37万元，须采用固定总价采购</w:t>
            </w:r>
          </w:p>
        </w:tc>
        <w:tc>
          <w:tcPr>
            <w:tcW w:w="167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5D31A4">
            <w:pPr>
              <w:pStyle w:val="2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/>
                <w:bCs/>
                <w:color w:val="C00000"/>
                <w:sz w:val="21"/>
                <w:szCs w:val="21"/>
              </w:rPr>
            </w:pPr>
            <w:r>
              <w:rPr>
                <w:b/>
                <w:bCs/>
                <w:color w:val="C00000"/>
                <w:sz w:val="21"/>
                <w:szCs w:val="21"/>
              </w:rPr>
              <w:t>声纳、DVL与IMU融合定位开发</w:t>
            </w:r>
          </w:p>
        </w:tc>
      </w:tr>
    </w:tbl>
    <w:p w14:paraId="1509AC34">
      <w:pPr>
        <w:pStyle w:val="4"/>
        <w:widowControl/>
        <w:rPr>
          <w:rFonts w:ascii="Times New Roman" w:hAnsi="Times New Roman" w:eastAsia="黑体" w:cs="Times New Roman"/>
          <w:b w:val="0"/>
          <w:bCs w:val="0"/>
          <w:sz w:val="30"/>
          <w:szCs w:val="32"/>
        </w:rPr>
      </w:pPr>
      <w:bookmarkStart w:id="5" w:name="_Toc21464"/>
      <w:bookmarkStart w:id="6" w:name="选型意见"/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2.1 选型意见</w:t>
      </w:r>
      <w:bookmarkEnd w:id="5"/>
    </w:p>
    <w:p w14:paraId="53A007E3">
      <w:pPr>
        <w:pStyle w:val="3"/>
        <w:numPr>
          <w:ilvl w:val="0"/>
          <w:numId w:val="3"/>
        </w:numPr>
        <w:ind w:left="0" w:leftChars="0" w:firstLine="480" w:firstLineChars="0"/>
        <w:rPr>
          <w:rFonts w:eastAsia="宋体"/>
          <w:b w:val="0"/>
          <w:bCs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方案二作为基准采购方案。该方案的声纳波束数、视场、分辨率和刷新率均有明确指标，采购总价上限为14.5万元，技术性能和预算余量相对均衡。</w:t>
      </w:r>
    </w:p>
    <w:p w14:paraId="5E60558F">
      <w:pPr>
        <w:pStyle w:val="3"/>
        <w:numPr>
          <w:ilvl w:val="0"/>
          <w:numId w:val="3"/>
        </w:numPr>
        <w:ind w:left="0" w:leftChars="0" w:firstLine="480" w:firstLineChars="0"/>
        <w:rPr>
          <w:rFonts w:eastAsia="宋体"/>
          <w:b w:val="0"/>
          <w:bCs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方案一用于采购成本受限且任务以常规探测为主的情况。合同技术附件须明确多波束工作体制、波束数量、原始数据输出和实机成像验收要求。供应商不能提供完整技术证明时，声纳调整为SV1216。</w:t>
      </w:r>
    </w:p>
    <w:p w14:paraId="5CA70A95">
      <w:pPr>
        <w:pStyle w:val="3"/>
        <w:numPr>
          <w:ilvl w:val="0"/>
          <w:numId w:val="3"/>
        </w:numPr>
        <w:ind w:left="0" w:leftChars="0" w:firstLine="480" w:firstLineChars="0"/>
        <w:rPr>
          <w:rFonts w:eastAsia="宋体"/>
          <w:b w:val="0"/>
          <w:bCs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方案三用于有DVL测速、定位和多传感器融合需求的任务。该方案仅在供应商承诺系统完整交付价格不超过20万元时具备采购条件；报价超限时采用第6.4节规定的替代配置。</w:t>
      </w:r>
    </w:p>
    <w:bookmarkEnd w:id="4"/>
    <w:bookmarkEnd w:id="6"/>
    <w:p w14:paraId="6E4B681C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eastAsia="黑体"/>
          <w:b w:val="0"/>
          <w:bCs w:val="0"/>
          <w:sz w:val="32"/>
          <w:szCs w:val="44"/>
          <w:bdr w:val="none" w:sz="0" w:space="0"/>
        </w:rPr>
      </w:pPr>
      <w:bookmarkStart w:id="7" w:name="_Toc30611"/>
      <w:bookmarkStart w:id="8" w:name="三评价方法"/>
      <w:r>
        <w:rPr>
          <w:rFonts w:ascii="Times New Roman" w:hAnsi="Times New Roman" w:eastAsia="黑体" w:cs="Times New Roman"/>
          <w:b w:val="0"/>
          <w:bCs w:val="0"/>
          <w:sz w:val="32"/>
          <w:szCs w:val="44"/>
        </w:rPr>
        <w:t>评价方法</w:t>
      </w:r>
      <w:bookmarkEnd w:id="7"/>
    </w:p>
    <w:p w14:paraId="5E10ADE4">
      <w:pPr>
        <w:pStyle w:val="3"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候选方案按以下指标进行综合评价：</w:t>
      </w:r>
    </w:p>
    <w:tbl>
      <w:tblPr>
        <w:tblStyle w:val="31"/>
        <w:tblW w:w="885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5591"/>
        <w:gridCol w:w="1393"/>
      </w:tblGrid>
      <w:tr w14:paraId="7E15AE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72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369F0D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维度</w:t>
            </w:r>
          </w:p>
        </w:tc>
        <w:tc>
          <w:tcPr>
            <w:tcW w:w="559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5E929C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关注内容</w:t>
            </w:r>
          </w:p>
        </w:tc>
        <w:tc>
          <w:tcPr>
            <w:tcW w:w="139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281C75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决策权重</w:t>
            </w:r>
          </w:p>
        </w:tc>
      </w:tr>
      <w:tr w14:paraId="7C00F5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7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1F2CDA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总体价格</w:t>
            </w:r>
          </w:p>
        </w:tc>
        <w:tc>
          <w:tcPr>
            <w:tcW w:w="55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EB632E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设备价、必要配套、税费运输、集成联调及预算余量</w:t>
            </w:r>
          </w:p>
        </w:tc>
        <w:tc>
          <w:tcPr>
            <w:tcW w:w="139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4C21CF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35%</w:t>
            </w:r>
          </w:p>
        </w:tc>
      </w:tr>
      <w:tr w14:paraId="5A1664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7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140993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声纳性能</w:t>
            </w:r>
          </w:p>
        </w:tc>
        <w:tc>
          <w:tcPr>
            <w:tcW w:w="55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E8D1C2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是否多波束前视、探测距离、波束数、视场、分辨率、刷新率</w:t>
            </w:r>
          </w:p>
        </w:tc>
        <w:tc>
          <w:tcPr>
            <w:tcW w:w="139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D1E3AF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30%</w:t>
            </w:r>
          </w:p>
        </w:tc>
      </w:tr>
      <w:tr w14:paraId="0CF9AE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7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5AB27F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ROV平台</w:t>
            </w:r>
          </w:p>
        </w:tc>
        <w:tc>
          <w:tcPr>
            <w:tcW w:w="55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40CF60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作业深度、负载、速度、供电/续航、缆长</w:t>
            </w:r>
          </w:p>
        </w:tc>
        <w:tc>
          <w:tcPr>
            <w:tcW w:w="139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CD918A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15%</w:t>
            </w:r>
          </w:p>
        </w:tc>
      </w:tr>
      <w:tr w14:paraId="6CDC75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7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657F16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数据与扩展</w:t>
            </w:r>
          </w:p>
        </w:tc>
        <w:tc>
          <w:tcPr>
            <w:tcW w:w="55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06239D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以太网、SDK/API、原始数据、DVL及其他载荷扩展能力</w:t>
            </w:r>
          </w:p>
        </w:tc>
        <w:tc>
          <w:tcPr>
            <w:tcW w:w="139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AAD0A2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10%</w:t>
            </w:r>
          </w:p>
        </w:tc>
      </w:tr>
      <w:tr w14:paraId="51358D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7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6C4711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集成交付风险</w:t>
            </w:r>
          </w:p>
        </w:tc>
        <w:tc>
          <w:tcPr>
            <w:tcW w:w="559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1820BC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电压匹配、水密接口、机械安装、跨品牌联调、资料完整性</w:t>
            </w:r>
          </w:p>
        </w:tc>
        <w:tc>
          <w:tcPr>
            <w:tcW w:w="139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7B5701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10%</w:t>
            </w:r>
          </w:p>
        </w:tc>
      </w:tr>
    </w:tbl>
    <w:p w14:paraId="083954E9">
      <w:pPr>
        <w:pStyle w:val="3"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评价权重用于方案初选，不替代样机试验。技术指标以合同技术附件及验收测试结果为最终判定依据。</w:t>
      </w:r>
    </w:p>
    <w:bookmarkEnd w:id="8"/>
    <w:p w14:paraId="7BB78C90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eastAsia="黑体"/>
          <w:b w:val="0"/>
          <w:bCs w:val="0"/>
          <w:sz w:val="32"/>
          <w:szCs w:val="44"/>
          <w:bdr w:val="none" w:sz="0" w:space="0"/>
        </w:rPr>
      </w:pPr>
      <w:bookmarkStart w:id="9" w:name="_Toc2019"/>
      <w:bookmarkStart w:id="10" w:name="四候选方案一基础探测配置"/>
      <w:r>
        <w:rPr>
          <w:rFonts w:ascii="Times New Roman" w:hAnsi="Times New Roman" w:eastAsia="黑体" w:cs="Times New Roman"/>
          <w:b w:val="0"/>
          <w:bCs w:val="0"/>
          <w:sz w:val="32"/>
          <w:szCs w:val="44"/>
        </w:rPr>
        <w:t>候选方案一：基础探测配置</w:t>
      </w:r>
      <w:bookmarkEnd w:id="9"/>
    </w:p>
    <w:p w14:paraId="69AA1719">
      <w:pPr>
        <w:pStyle w:val="4"/>
        <w:widowControl/>
        <w:numPr>
          <w:ilvl w:val="0"/>
          <w:numId w:val="4"/>
        </w:numPr>
        <w:ind w:left="0" w:leftChars="0" w:firstLine="0" w:firstLineChars="0"/>
        <w:rPr>
          <w:rFonts w:eastAsia="黑体"/>
          <w:b w:val="0"/>
          <w:bCs w:val="0"/>
          <w:sz w:val="30"/>
          <w:szCs w:val="32"/>
          <w:bdr w:val="none" w:sz="0" w:space="0"/>
        </w:rPr>
      </w:pPr>
      <w:bookmarkStart w:id="11" w:name="_Toc11037"/>
      <w:bookmarkStart w:id="12" w:name="配置与预算"/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配置与预算</w:t>
      </w:r>
      <w:bookmarkEnd w:id="11"/>
    </w:p>
    <w:tbl>
      <w:tblPr>
        <w:tblStyle w:val="31"/>
        <w:tblW w:w="885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5292"/>
        <w:gridCol w:w="1668"/>
      </w:tblGrid>
      <w:tr w14:paraId="5D873B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A86E59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项目</w:t>
            </w:r>
          </w:p>
        </w:tc>
        <w:tc>
          <w:tcPr>
            <w:tcW w:w="529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BC56F9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型号/说明</w:t>
            </w:r>
          </w:p>
        </w:tc>
        <w:tc>
          <w:tcPr>
            <w:tcW w:w="1668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3550FE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参考价格</w:t>
            </w:r>
          </w:p>
        </w:tc>
      </w:tr>
      <w:tr w14:paraId="4F3F01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ECC0FD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ROV</w:t>
            </w:r>
          </w:p>
        </w:tc>
        <w:tc>
          <w:tcPr>
            <w:tcW w:w="52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3C59F5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查湃HX-300-S，水面220VAC供电，标配100m零浮力缆</w:t>
            </w:r>
          </w:p>
        </w:tc>
        <w:tc>
          <w:tcPr>
            <w:tcW w:w="166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4252CB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3.88万元</w:t>
            </w:r>
          </w:p>
        </w:tc>
      </w:tr>
      <w:tr w14:paraId="74B635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AB9B07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多波束前视声纳</w:t>
            </w:r>
          </w:p>
        </w:tc>
        <w:tc>
          <w:tcPr>
            <w:tcW w:w="52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079583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Omniscan 450FS，100m耐压版</w:t>
            </w:r>
          </w:p>
        </w:tc>
        <w:tc>
          <w:tcPr>
            <w:tcW w:w="166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48BBDC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2.20万元</w:t>
            </w:r>
          </w:p>
        </w:tc>
      </w:tr>
      <w:tr w14:paraId="43A199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CECF7F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必要配套预留</w:t>
            </w:r>
          </w:p>
        </w:tc>
        <w:tc>
          <w:tcPr>
            <w:tcW w:w="52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2357A5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卷线盘、支架、供电与网络接入、水密接插件、税运及联调</w:t>
            </w:r>
          </w:p>
        </w:tc>
        <w:tc>
          <w:tcPr>
            <w:tcW w:w="166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CB72B0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不超过1.42万元</w:t>
            </w:r>
          </w:p>
        </w:tc>
      </w:tr>
      <w:tr w14:paraId="226743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9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3342AD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采购总价上限</w:t>
            </w:r>
          </w:p>
        </w:tc>
        <w:tc>
          <w:tcPr>
            <w:tcW w:w="529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4D1B24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22"/>
                <w:szCs w:val="22"/>
              </w:rPr>
            </w:pPr>
          </w:p>
        </w:tc>
        <w:tc>
          <w:tcPr>
            <w:tcW w:w="166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2DC376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不超过7.50万元</w:t>
            </w:r>
          </w:p>
        </w:tc>
      </w:tr>
    </w:tbl>
    <w:p w14:paraId="47F18C91">
      <w:pPr>
        <w:pStyle w:val="37"/>
        <w:jc w:val="center"/>
      </w:pPr>
    </w:p>
    <w:p w14:paraId="7F2A7C94">
      <w:pPr>
        <w:pStyle w:val="37"/>
        <w:jc w:val="center"/>
      </w:pPr>
      <w:r>
        <w:drawing>
          <wp:inline distT="0" distB="0" distL="114300" distR="114300">
            <wp:extent cx="2407285" cy="1851660"/>
            <wp:effectExtent l="0" t="0" r="5715" b="2540"/>
            <wp:docPr id="25" name="Picture" descr="图4-1 HX-300-S RO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图4-1 HX-300-S ROV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3152" t="20493" r="15221" b="24405"/>
                    <a:stretch>
                      <a:fillRect/>
                    </a:stretch>
                  </pic:blipFill>
                  <pic:spPr>
                    <a:xfrm>
                      <a:off x="0" y="0"/>
                      <a:ext cx="2407285" cy="18516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650A037">
      <w:pPr>
        <w:pStyle w:val="74"/>
        <w:widowControl/>
        <w:rPr>
          <w:rFonts w:ascii="Times New Roman" w:hAnsi="Times New Roman" w:eastAsia="宋体" w:cs="宋体"/>
          <w:b w:val="0"/>
          <w:bCs w:val="0"/>
          <w:sz w:val="24"/>
          <w:szCs w:val="22"/>
        </w:rPr>
      </w:pPr>
      <w:r>
        <w:rPr>
          <w:rFonts w:ascii="Times New Roman" w:hAnsi="Times New Roman" w:eastAsia="宋体" w:cs="宋体"/>
          <w:b w:val="0"/>
          <w:bCs w:val="0"/>
          <w:sz w:val="24"/>
          <w:szCs w:val="22"/>
        </w:rPr>
        <w:t>图4-1 HX-300-S ROV</w:t>
      </w:r>
    </w:p>
    <w:p w14:paraId="3FF1FF10">
      <w:pPr>
        <w:pStyle w:val="37"/>
        <w:jc w:val="center"/>
      </w:pPr>
      <w:r>
        <w:drawing>
          <wp:inline distT="0" distB="0" distL="114300" distR="114300">
            <wp:extent cx="2240280" cy="1968500"/>
            <wp:effectExtent l="0" t="0" r="0" b="0"/>
            <wp:docPr id="28" name="Picture" descr="图4-2 Omniscan 450FS多波束前视声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图4-2 Omniscan 450FS多波束前视声纳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40280" cy="196876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ED2218E">
      <w:pPr>
        <w:pStyle w:val="74"/>
        <w:widowControl/>
        <w:rPr>
          <w:rFonts w:ascii="Times New Roman" w:hAnsi="Times New Roman" w:eastAsia="宋体" w:cs="宋体"/>
          <w:b w:val="0"/>
          <w:bCs w:val="0"/>
          <w:sz w:val="24"/>
          <w:szCs w:val="22"/>
        </w:rPr>
      </w:pPr>
      <w:r>
        <w:rPr>
          <w:rFonts w:ascii="Times New Roman" w:hAnsi="Times New Roman" w:eastAsia="宋体" w:cs="宋体"/>
          <w:b w:val="0"/>
          <w:bCs w:val="0"/>
          <w:sz w:val="24"/>
          <w:szCs w:val="22"/>
        </w:rPr>
        <w:t>图4-2 Omniscan 450FS多波束前视声纳</w:t>
      </w:r>
    </w:p>
    <w:bookmarkEnd w:id="12"/>
    <w:p w14:paraId="6518F83D">
      <w:pPr>
        <w:pStyle w:val="4"/>
        <w:widowControl/>
        <w:numPr>
          <w:ilvl w:val="0"/>
          <w:numId w:val="4"/>
        </w:numPr>
        <w:ind w:left="0" w:leftChars="0" w:firstLine="0" w:firstLineChars="0"/>
        <w:rPr>
          <w:rFonts w:eastAsia="黑体"/>
          <w:b w:val="0"/>
          <w:bCs w:val="0"/>
          <w:sz w:val="30"/>
          <w:szCs w:val="32"/>
          <w:bdr w:val="none" w:sz="0" w:space="0"/>
        </w:rPr>
      </w:pPr>
      <w:bookmarkStart w:id="13" w:name="_Toc12513"/>
      <w:bookmarkStart w:id="14" w:name="主要性能"/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主要性能</w:t>
      </w:r>
      <w:bookmarkEnd w:id="13"/>
    </w:p>
    <w:p w14:paraId="2384B80C">
      <w:pPr>
        <w:pStyle w:val="3"/>
        <w:numPr>
          <w:ilvl w:val="0"/>
          <w:numId w:val="5"/>
        </w:numPr>
        <w:ind w:left="0" w:leftChars="0" w:firstLine="480" w:firstLineChars="0"/>
        <w:rPr>
          <w:rFonts w:eastAsia="宋体"/>
          <w:b w:val="0"/>
          <w:bCs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ROV：标称耐压深度300m，标配100m缆；6台推进器；最大航速4节；负载10kg；采用水面供电，连续工作时间不受电池容量限制。</w:t>
      </w:r>
    </w:p>
    <w:p w14:paraId="4B78D2B0">
      <w:pPr>
        <w:pStyle w:val="3"/>
        <w:numPr>
          <w:ilvl w:val="0"/>
          <w:numId w:val="5"/>
        </w:numPr>
        <w:ind w:left="0" w:leftChars="0" w:firstLine="480" w:firstLineChars="0"/>
        <w:rPr>
          <w:rFonts w:hint="eastAsia" w:eastAsia="宋体"/>
          <w:b w:val="0"/>
          <w:bCs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摄像与照明：1080p30云台摄像头，俯仰约±50°；2×1500lm可调灯。</w:t>
      </w:r>
    </w:p>
    <w:p w14:paraId="195893E6">
      <w:pPr>
        <w:pStyle w:val="3"/>
        <w:numPr>
          <w:ilvl w:val="0"/>
          <w:numId w:val="5"/>
        </w:numPr>
        <w:ind w:left="0" w:leftChars="0" w:firstLine="480" w:firstLineChars="0"/>
        <w:rPr>
          <w:rFonts w:hint="eastAsia" w:eastAsia="宋体"/>
          <w:b w:val="0"/>
          <w:bCs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声纳：450kHz；最大量程100m；标称距离分辨率最高为当前量程的1/1200；0.8°波束宽度、50°波束高度；100m版空气中约440g；工作最大功耗10W；以太网通信。</w:t>
      </w:r>
    </w:p>
    <w:p w14:paraId="3FEDAE6B">
      <w:pPr>
        <w:pStyle w:val="3"/>
        <w:numPr>
          <w:ilvl w:val="0"/>
          <w:numId w:val="5"/>
        </w:numPr>
        <w:ind w:left="0" w:leftChars="0" w:firstLine="480" w:firstLineChars="0"/>
        <w:rPr>
          <w:rFonts w:hint="eastAsia" w:eastAsia="宋体"/>
          <w:b w:val="0"/>
          <w:bCs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数据接口：现有资料载明支持Cerulean Ping Protocol、SonarLink实时数据流、SDK、ROS2驱动及跨平台显控软件。</w:t>
      </w:r>
    </w:p>
    <w:bookmarkEnd w:id="14"/>
    <w:p w14:paraId="0C60B089">
      <w:pPr>
        <w:pStyle w:val="4"/>
        <w:widowControl/>
        <w:numPr>
          <w:ilvl w:val="0"/>
          <w:numId w:val="4"/>
        </w:numPr>
        <w:ind w:left="0" w:leftChars="0" w:firstLine="0" w:firstLineChars="0"/>
        <w:rPr>
          <w:rFonts w:eastAsia="黑体"/>
          <w:b w:val="0"/>
          <w:bCs w:val="0"/>
          <w:sz w:val="30"/>
          <w:szCs w:val="32"/>
          <w:bdr w:val="none" w:sz="0" w:space="0"/>
        </w:rPr>
      </w:pPr>
      <w:bookmarkStart w:id="15" w:name="_Toc19824"/>
      <w:bookmarkStart w:id="16" w:name="技术特征"/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技术特征</w:t>
      </w:r>
      <w:bookmarkEnd w:id="15"/>
    </w:p>
    <w:p w14:paraId="78120988">
      <w:pPr>
        <w:pStyle w:val="3"/>
        <w:numPr>
          <w:ilvl w:val="0"/>
          <w:numId w:val="6"/>
        </w:numPr>
        <w:ind w:left="0" w:leftChars="0" w:firstLine="480" w:firstLineChars="0"/>
        <w:rPr>
          <w:rFonts w:hint="eastAsia" w:eastAsia="宋体"/>
          <w:b w:val="0"/>
          <w:bCs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已知设备价格为6.08万元，配套费用预算为1.42万元。</w:t>
      </w:r>
    </w:p>
    <w:p w14:paraId="71A75DA4">
      <w:pPr>
        <w:pStyle w:val="3"/>
        <w:numPr>
          <w:ilvl w:val="0"/>
          <w:numId w:val="6"/>
        </w:numPr>
        <w:ind w:left="0" w:leftChars="0" w:firstLine="480" w:firstLineChars="0"/>
        <w:rPr>
          <w:rFonts w:eastAsia="宋体"/>
          <w:b w:val="0"/>
          <w:bCs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ROV标称负载10kg、耐压深度300m，水面供电方式适用于连续作业。</w:t>
      </w:r>
    </w:p>
    <w:p w14:paraId="610A115F">
      <w:pPr>
        <w:pStyle w:val="3"/>
        <w:numPr>
          <w:ilvl w:val="0"/>
          <w:numId w:val="6"/>
        </w:numPr>
        <w:ind w:left="0" w:leftChars="0" w:firstLine="480" w:firstLineChars="0"/>
        <w:rPr>
          <w:rFonts w:hint="eastAsia" w:eastAsia="宋体"/>
          <w:b w:val="0"/>
          <w:bCs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声纳工作功耗不超过10W，100m版空气中质量约440g，对ROV载荷和功率预算影响较小。</w:t>
      </w:r>
    </w:p>
    <w:p w14:paraId="7B5FA441">
      <w:pPr>
        <w:pStyle w:val="3"/>
        <w:numPr>
          <w:ilvl w:val="0"/>
          <w:numId w:val="6"/>
        </w:numPr>
        <w:ind w:left="0" w:leftChars="0" w:firstLine="480" w:firstLineChars="0"/>
        <w:rPr>
          <w:rFonts w:eastAsia="宋体"/>
          <w:b w:val="0"/>
          <w:bCs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ROV与声纳可由同一供应渠道交付，便于明确系统集成和售后责任边界。</w:t>
      </w:r>
    </w:p>
    <w:bookmarkEnd w:id="16"/>
    <w:p w14:paraId="115A1B2F">
      <w:pPr>
        <w:pStyle w:val="4"/>
        <w:widowControl/>
        <w:numPr>
          <w:ilvl w:val="0"/>
          <w:numId w:val="4"/>
        </w:numPr>
        <w:ind w:left="0" w:leftChars="0" w:firstLine="0" w:firstLineChars="0"/>
        <w:rPr>
          <w:rFonts w:eastAsia="黑体"/>
          <w:b w:val="0"/>
          <w:bCs w:val="0"/>
          <w:sz w:val="30"/>
          <w:szCs w:val="32"/>
          <w:bdr w:val="none" w:sz="0" w:space="0"/>
        </w:rPr>
      </w:pPr>
      <w:bookmarkStart w:id="17" w:name="_Toc14749"/>
      <w:bookmarkStart w:id="18" w:name="技术风险及采购条件"/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技术风险及采购条件</w:t>
      </w:r>
      <w:bookmarkEnd w:id="17"/>
    </w:p>
    <w:p w14:paraId="47B6A24A">
      <w:pPr>
        <w:pStyle w:val="3"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现有资料将Omniscan 450FS定义为多波束前视图像声纳，但未提供波束数量、刷新率和水平总视场等指标。采购前须取得原厂规格书，并在合同技术附件中明确以下内容：</w:t>
      </w:r>
    </w:p>
    <w:p w14:paraId="08D69789">
      <w:pPr>
        <w:pStyle w:val="3"/>
        <w:numPr>
          <w:ilvl w:val="0"/>
          <w:numId w:val="7"/>
        </w:numPr>
        <w:ind w:left="0" w:leftChars="0" w:firstLine="480" w:firstLineChars="0"/>
        <w:rPr>
          <w:rFonts w:eastAsia="宋体"/>
          <w:b w:val="0"/>
          <w:bCs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设备属于实时多波束前视成像声纳，不得以机械扫描或单波束产品替代。</w:t>
      </w:r>
    </w:p>
    <w:p w14:paraId="22067DC1">
      <w:pPr>
        <w:pStyle w:val="3"/>
        <w:numPr>
          <w:ilvl w:val="0"/>
          <w:numId w:val="7"/>
        </w:numPr>
        <w:ind w:left="0" w:leftChars="0" w:firstLine="480" w:firstLineChars="0"/>
        <w:rPr>
          <w:rFonts w:eastAsia="宋体"/>
          <w:b w:val="0"/>
          <w:bCs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补充波束数、总水平/垂直视场、最大刷新率、原始数据格式和时间戳能力。</w:t>
      </w:r>
    </w:p>
    <w:p w14:paraId="6059D3F7">
      <w:pPr>
        <w:pStyle w:val="3"/>
        <w:numPr>
          <w:ilvl w:val="0"/>
          <w:numId w:val="7"/>
        </w:numPr>
        <w:ind w:left="0" w:leftChars="0" w:firstLine="480" w:firstLineChars="0"/>
        <w:rPr>
          <w:rFonts w:eastAsia="宋体"/>
          <w:b w:val="0"/>
          <w:bCs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提供SDK/API、示例代码和原始数据记录方法。</w:t>
      </w:r>
    </w:p>
    <w:p w14:paraId="7C88BC5A">
      <w:pPr>
        <w:pStyle w:val="3"/>
        <w:numPr>
          <w:ilvl w:val="0"/>
          <w:numId w:val="7"/>
        </w:numPr>
        <w:ind w:left="0" w:leftChars="0" w:firstLine="480" w:firstLineChars="0"/>
        <w:rPr>
          <w:rFonts w:eastAsia="宋体"/>
          <w:b w:val="0"/>
          <w:bCs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完成浑水目标探测、静态分辨和动态刷新测试后方可验收。</w:t>
      </w:r>
    </w:p>
    <w:p w14:paraId="6795826B">
      <w:pPr>
        <w:pStyle w:val="3"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供应商不能满足上述条件时，方案一的声纳替换为SV1216。替换后的已知设备价格为7.38万元（HX-300-S 3.88万元、SV1216 3.50万元），采购总价仍须控制在20万元以内。</w:t>
      </w:r>
    </w:p>
    <w:bookmarkEnd w:id="10"/>
    <w:bookmarkEnd w:id="18"/>
    <w:p w14:paraId="5C408506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eastAsia="黑体"/>
          <w:b w:val="0"/>
          <w:bCs w:val="0"/>
          <w:sz w:val="32"/>
          <w:szCs w:val="44"/>
          <w:bdr w:val="none" w:sz="0" w:space="0"/>
        </w:rPr>
      </w:pPr>
      <w:bookmarkStart w:id="19" w:name="_Toc3379"/>
      <w:bookmarkStart w:id="20" w:name="五候选方案二高分辨率成像配置"/>
      <w:r>
        <w:rPr>
          <w:rFonts w:ascii="Times New Roman" w:hAnsi="Times New Roman" w:eastAsia="黑体" w:cs="Times New Roman"/>
          <w:b w:val="0"/>
          <w:bCs w:val="0"/>
          <w:sz w:val="32"/>
          <w:szCs w:val="44"/>
        </w:rPr>
        <w:t>候选方案二：高分辨率成像配置</w:t>
      </w:r>
      <w:bookmarkEnd w:id="19"/>
    </w:p>
    <w:p w14:paraId="1551CCDA">
      <w:pPr>
        <w:pStyle w:val="4"/>
        <w:widowControl/>
        <w:numPr>
          <w:ilvl w:val="0"/>
          <w:numId w:val="8"/>
        </w:numPr>
        <w:ind w:left="0" w:leftChars="0" w:firstLine="0" w:firstLineChars="0"/>
        <w:rPr>
          <w:rFonts w:eastAsia="黑体"/>
          <w:b w:val="0"/>
          <w:bCs w:val="0"/>
          <w:sz w:val="30"/>
          <w:szCs w:val="32"/>
          <w:bdr w:val="none" w:sz="0" w:space="0"/>
        </w:rPr>
      </w:pPr>
      <w:bookmarkStart w:id="21" w:name="_Toc28939"/>
      <w:bookmarkStart w:id="22" w:name="配置与预算-1"/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配置与预算</w:t>
      </w:r>
      <w:bookmarkEnd w:id="21"/>
    </w:p>
    <w:tbl>
      <w:tblPr>
        <w:tblStyle w:val="31"/>
        <w:tblW w:w="885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5406"/>
        <w:gridCol w:w="1554"/>
      </w:tblGrid>
      <w:tr w14:paraId="4BD67886"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ED1AFA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项目</w:t>
            </w:r>
          </w:p>
        </w:tc>
        <w:tc>
          <w:tcPr>
            <w:tcW w:w="540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257A91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型号/说明</w:t>
            </w:r>
          </w:p>
        </w:tc>
        <w:tc>
          <w:tcPr>
            <w:tcW w:w="155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DF3AC4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参考价格</w:t>
            </w:r>
          </w:p>
        </w:tc>
      </w:tr>
      <w:tr w14:paraId="18AA45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176299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ROV</w:t>
            </w:r>
          </w:p>
        </w:tc>
        <w:tc>
          <w:tcPr>
            <w:tcW w:w="540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076EF1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BlueROV2 Heavy，100m级，标配100m缆</w:t>
            </w:r>
          </w:p>
        </w:tc>
        <w:tc>
          <w:tcPr>
            <w:tcW w:w="155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3D75D9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4.70万元</w:t>
            </w:r>
          </w:p>
        </w:tc>
      </w:tr>
      <w:tr w14:paraId="1B7959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71D9C8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多波束前视声纳</w:t>
            </w:r>
          </w:p>
        </w:tc>
        <w:tc>
          <w:tcPr>
            <w:tcW w:w="540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E38C53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SV1213，拟选300m型、750kHz/1.2MHz双频配置</w:t>
            </w:r>
          </w:p>
        </w:tc>
        <w:tc>
          <w:tcPr>
            <w:tcW w:w="155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A4606F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8.00万元</w:t>
            </w:r>
          </w:p>
        </w:tc>
      </w:tr>
      <w:tr w14:paraId="78AEF1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CFF05D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必要配套预留</w:t>
            </w:r>
          </w:p>
        </w:tc>
        <w:tc>
          <w:tcPr>
            <w:tcW w:w="540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967510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DC-DC供电、支架、浮力配平、网络与水密接插件、卷线盘、税运及联调</w:t>
            </w:r>
          </w:p>
        </w:tc>
        <w:tc>
          <w:tcPr>
            <w:tcW w:w="155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114213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不超过1.80万元</w:t>
            </w:r>
          </w:p>
        </w:tc>
      </w:tr>
      <w:tr w14:paraId="3821C5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9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154921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采购总价上限</w:t>
            </w:r>
          </w:p>
        </w:tc>
        <w:tc>
          <w:tcPr>
            <w:tcW w:w="540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BA089C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155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C9654E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不超过14.50万元</w:t>
            </w:r>
          </w:p>
        </w:tc>
      </w:tr>
    </w:tbl>
    <w:p w14:paraId="572762FB">
      <w:pPr>
        <w:pStyle w:val="37"/>
        <w:jc w:val="center"/>
      </w:pPr>
    </w:p>
    <w:p w14:paraId="4C9DE765">
      <w:pPr>
        <w:pStyle w:val="37"/>
        <w:jc w:val="center"/>
      </w:pPr>
      <w:r>
        <w:drawing>
          <wp:inline distT="0" distB="0" distL="114300" distR="114300">
            <wp:extent cx="2773680" cy="1464310"/>
            <wp:effectExtent l="0" t="0" r="0" b="0"/>
            <wp:docPr id="36" name="Picture" descr="图5-1 BlueROV2 Heavy RO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图5-1 BlueROV2 Heavy ROV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73680" cy="146450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130C2EA">
      <w:pPr>
        <w:pStyle w:val="74"/>
        <w:widowControl/>
        <w:rPr>
          <w:rFonts w:ascii="Times New Roman" w:hAnsi="Times New Roman" w:eastAsia="宋体" w:cs="宋体"/>
          <w:b w:val="0"/>
          <w:bCs w:val="0"/>
          <w:sz w:val="24"/>
          <w:szCs w:val="22"/>
        </w:rPr>
      </w:pPr>
      <w:r>
        <w:rPr>
          <w:rFonts w:ascii="Times New Roman" w:hAnsi="Times New Roman" w:eastAsia="宋体" w:cs="宋体"/>
          <w:b w:val="0"/>
          <w:bCs w:val="0"/>
          <w:sz w:val="24"/>
          <w:szCs w:val="22"/>
        </w:rPr>
        <w:t>图5-1 BlueROV2 Heavy ROV</w:t>
      </w:r>
    </w:p>
    <w:p w14:paraId="36DEBD3A">
      <w:pPr>
        <w:pStyle w:val="37"/>
        <w:jc w:val="center"/>
      </w:pPr>
      <w:r>
        <w:drawing>
          <wp:inline distT="0" distB="0" distL="114300" distR="114300">
            <wp:extent cx="2026920" cy="1610995"/>
            <wp:effectExtent l="0" t="0" r="0" b="0"/>
            <wp:docPr id="39" name="Picture" descr="图5-2 SV1213多波束前视声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图5-2 SV1213多波束前视声纳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26920" cy="161156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8C96B52">
      <w:pPr>
        <w:pStyle w:val="74"/>
        <w:widowControl/>
        <w:rPr>
          <w:rFonts w:ascii="Times New Roman" w:hAnsi="Times New Roman" w:eastAsia="宋体" w:cs="宋体"/>
          <w:b w:val="0"/>
          <w:bCs w:val="0"/>
          <w:sz w:val="24"/>
          <w:szCs w:val="22"/>
        </w:rPr>
      </w:pPr>
      <w:r>
        <w:rPr>
          <w:rFonts w:ascii="Times New Roman" w:hAnsi="Times New Roman" w:eastAsia="宋体" w:cs="宋体"/>
          <w:b w:val="0"/>
          <w:bCs w:val="0"/>
          <w:sz w:val="24"/>
          <w:szCs w:val="22"/>
        </w:rPr>
        <w:t>图5-2 SV1213多波束前视声纳</w:t>
      </w:r>
    </w:p>
    <w:p w14:paraId="4BE1BBD4">
      <w:pPr>
        <w:pStyle w:val="3"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现有8万元报价未明确对应的单/双频配置及耐压版本。正式询价应按“300m型、750kHz/1.2MHz双频”锁定技术状态。该配置报价超过14.5万元时，可在20万元采购总价上限内重新核定本方案预算。</w:t>
      </w:r>
    </w:p>
    <w:bookmarkEnd w:id="22"/>
    <w:p w14:paraId="5E33874B">
      <w:pPr>
        <w:pStyle w:val="4"/>
        <w:widowControl/>
        <w:numPr>
          <w:ilvl w:val="0"/>
          <w:numId w:val="8"/>
        </w:numPr>
        <w:ind w:left="0" w:leftChars="0" w:firstLine="0" w:firstLineChars="0"/>
        <w:rPr>
          <w:rFonts w:eastAsia="黑体"/>
          <w:b w:val="0"/>
          <w:bCs w:val="0"/>
          <w:sz w:val="30"/>
          <w:szCs w:val="32"/>
          <w:bdr w:val="none" w:sz="0" w:space="0"/>
        </w:rPr>
      </w:pPr>
      <w:bookmarkStart w:id="23" w:name="_Toc29929"/>
      <w:bookmarkStart w:id="24" w:name="主要性能-1"/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主要性能</w:t>
      </w:r>
      <w:bookmarkEnd w:id="23"/>
    </w:p>
    <w:p w14:paraId="4D92A1C6">
      <w:pPr>
        <w:pStyle w:val="3"/>
        <w:numPr>
          <w:ilvl w:val="0"/>
          <w:numId w:val="9"/>
        </w:numPr>
        <w:ind w:left="0" w:leftChars="0" w:firstLine="480" w:firstLineChars="0"/>
        <w:rPr>
          <w:rFonts w:eastAsia="宋体"/>
          <w:b w:val="0"/>
          <w:bCs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ROV：8台350W推进器；负载5kg；最大工作深度100m；最大前进速度1.5m/s；前向/垂向/侧向推力分别约9/14/9kgf。</w:t>
      </w:r>
    </w:p>
    <w:p w14:paraId="6C70CC98">
      <w:pPr>
        <w:pStyle w:val="3"/>
        <w:numPr>
          <w:ilvl w:val="0"/>
          <w:numId w:val="9"/>
        </w:numPr>
        <w:ind w:left="0" w:leftChars="0" w:firstLine="480" w:firstLineChars="0"/>
        <w:rPr>
          <w:rFonts w:hint="eastAsia" w:eastAsia="宋体"/>
          <w:b w:val="0"/>
          <w:bCs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摄像与照明：1080p云台摄像机；2×1500lm可调灯。</w:t>
      </w:r>
    </w:p>
    <w:p w14:paraId="6440A0C5">
      <w:pPr>
        <w:pStyle w:val="3"/>
        <w:numPr>
          <w:ilvl w:val="0"/>
          <w:numId w:val="9"/>
        </w:numPr>
        <w:ind w:left="0" w:leftChars="0" w:firstLine="480" w:firstLineChars="0"/>
        <w:rPr>
          <w:rFonts w:hint="eastAsia" w:eastAsia="宋体"/>
          <w:b w:val="0"/>
          <w:bCs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声纳：常规频率覆盖375kHz至1.2MHz，支持单频或双频；拟采用750kHz/1.2MHz双频组合。</w:t>
      </w:r>
    </w:p>
    <w:p w14:paraId="2B462F7E">
      <w:pPr>
        <w:pStyle w:val="3"/>
        <w:numPr>
          <w:ilvl w:val="0"/>
          <w:numId w:val="9"/>
        </w:numPr>
        <w:ind w:left="0" w:leftChars="0" w:firstLine="480" w:firstLineChars="0"/>
        <w:rPr>
          <w:rFonts w:hint="eastAsia" w:eastAsia="宋体"/>
          <w:b w:val="0"/>
          <w:bCs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拟选频率组合的最大探测距离约为120m/50m。</w:t>
      </w:r>
    </w:p>
    <w:p w14:paraId="07D1E869">
      <w:pPr>
        <w:pStyle w:val="3"/>
        <w:numPr>
          <w:ilvl w:val="0"/>
          <w:numId w:val="9"/>
        </w:numPr>
        <w:ind w:left="0" w:leftChars="0" w:firstLine="480" w:firstLineChars="0"/>
        <w:rPr>
          <w:rFonts w:hint="eastAsia" w:eastAsia="宋体"/>
          <w:b w:val="0"/>
          <w:bCs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水平中心波束宽度：约0.95°/0.6°；水平视场140°；垂直视场20°。</w:t>
      </w:r>
    </w:p>
    <w:p w14:paraId="164044EE">
      <w:pPr>
        <w:pStyle w:val="3"/>
        <w:numPr>
          <w:ilvl w:val="0"/>
          <w:numId w:val="9"/>
        </w:numPr>
        <w:ind w:left="0" w:leftChars="0" w:firstLine="480" w:firstLineChars="0"/>
        <w:rPr>
          <w:rFonts w:hint="eastAsia" w:eastAsia="宋体"/>
          <w:b w:val="0"/>
          <w:bCs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距离分辨率2.5mm；最大40Hz；768波束；盲区不大于0.3m。</w:t>
      </w:r>
    </w:p>
    <w:p w14:paraId="3DC692D6">
      <w:pPr>
        <w:pStyle w:val="3"/>
        <w:numPr>
          <w:ilvl w:val="0"/>
          <w:numId w:val="9"/>
        </w:numPr>
        <w:ind w:left="0" w:leftChars="0" w:firstLine="480" w:firstLineChars="0"/>
        <w:rPr>
          <w:rFonts w:hint="eastAsia" w:eastAsia="宋体"/>
          <w:b w:val="0"/>
          <w:bCs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声纳300m型空气中/水中重量约540g/200g，平均功耗约8W，峰值小于30W，以太网通信。</w:t>
      </w:r>
    </w:p>
    <w:p w14:paraId="7EAE9FF7">
      <w:pPr>
        <w:pStyle w:val="3"/>
        <w:numPr>
          <w:ilvl w:val="0"/>
          <w:numId w:val="9"/>
        </w:numPr>
        <w:ind w:left="0" w:leftChars="0" w:firstLine="480" w:firstLineChars="0"/>
        <w:rPr>
          <w:rFonts w:hint="eastAsia" w:eastAsia="宋体"/>
          <w:b w:val="0"/>
          <w:bCs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数据接口：SapphireViewer支持Windows、Linux和macOS；现有资料载明厂家提供SDK。</w:t>
      </w:r>
    </w:p>
    <w:bookmarkEnd w:id="24"/>
    <w:p w14:paraId="3315529F">
      <w:pPr>
        <w:pStyle w:val="4"/>
        <w:widowControl/>
        <w:numPr>
          <w:ilvl w:val="0"/>
          <w:numId w:val="8"/>
        </w:numPr>
        <w:ind w:left="0" w:leftChars="0" w:firstLine="0" w:firstLineChars="0"/>
        <w:rPr>
          <w:rFonts w:eastAsia="黑体"/>
          <w:b w:val="0"/>
          <w:bCs w:val="0"/>
          <w:sz w:val="30"/>
          <w:szCs w:val="32"/>
          <w:bdr w:val="none" w:sz="0" w:space="0"/>
        </w:rPr>
      </w:pPr>
      <w:bookmarkStart w:id="25" w:name="_Toc14735"/>
      <w:bookmarkStart w:id="26" w:name="技术特征-1"/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技术特征</w:t>
      </w:r>
      <w:bookmarkEnd w:id="25"/>
    </w:p>
    <w:p w14:paraId="7DCA1493">
      <w:pPr>
        <w:pStyle w:val="3"/>
        <w:numPr>
          <w:ilvl w:val="0"/>
          <w:numId w:val="10"/>
        </w:numPr>
        <w:ind w:left="0" w:leftChars="0" w:firstLine="480" w:firstLineChars="0"/>
        <w:rPr>
          <w:rFonts w:eastAsia="宋体"/>
          <w:b w:val="0"/>
          <w:bCs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SV1213的主要指标为768波束、140°水平视场、2.5mm距离分辨率和最高40Hz刷新率。</w:t>
      </w:r>
    </w:p>
    <w:p w14:paraId="21133E54">
      <w:pPr>
        <w:pStyle w:val="3"/>
        <w:numPr>
          <w:ilvl w:val="0"/>
          <w:numId w:val="10"/>
        </w:numPr>
        <w:ind w:left="0" w:leftChars="0" w:firstLine="480" w:firstLineChars="0"/>
        <w:rPr>
          <w:rFonts w:hint="eastAsia" w:eastAsia="宋体"/>
          <w:b w:val="0"/>
          <w:bCs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与A750d相比，SV1213参考报价低7万元；按现有资料，SV1213的波束数和水平视场指标较高。</w:t>
      </w:r>
    </w:p>
    <w:p w14:paraId="4D1B8065">
      <w:pPr>
        <w:pStyle w:val="3"/>
        <w:numPr>
          <w:ilvl w:val="0"/>
          <w:numId w:val="10"/>
        </w:numPr>
        <w:ind w:left="0" w:leftChars="0" w:firstLine="480" w:firstLineChars="0"/>
        <w:rPr>
          <w:rFonts w:eastAsia="宋体"/>
          <w:b w:val="0"/>
          <w:bCs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BlueROV2 Heavy相对Standard增加约0.4万元，推进器数量由6台增加至8台，标称负载由3kg增加至5kg，垂向推力由7kgf增加至14kgf。</w:t>
      </w:r>
    </w:p>
    <w:p w14:paraId="1D0E33EB">
      <w:pPr>
        <w:pStyle w:val="3"/>
        <w:numPr>
          <w:ilvl w:val="0"/>
          <w:numId w:val="10"/>
        </w:numPr>
        <w:ind w:left="0" w:leftChars="0" w:firstLine="480" w:firstLineChars="0"/>
        <w:rPr>
          <w:rFonts w:hint="eastAsia" w:eastAsia="宋体"/>
          <w:b w:val="0"/>
          <w:bCs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方案配套费用预算为1.80万元，可用于电源转换、安装支架、水密连接、配平和系统联调。</w:t>
      </w:r>
    </w:p>
    <w:bookmarkEnd w:id="26"/>
    <w:p w14:paraId="497D7673">
      <w:pPr>
        <w:pStyle w:val="4"/>
        <w:widowControl/>
        <w:numPr>
          <w:ilvl w:val="0"/>
          <w:numId w:val="8"/>
        </w:numPr>
        <w:ind w:left="0" w:leftChars="0" w:firstLine="0" w:firstLineChars="0"/>
        <w:rPr>
          <w:rFonts w:eastAsia="黑体"/>
          <w:b w:val="0"/>
          <w:bCs w:val="0"/>
          <w:sz w:val="30"/>
          <w:szCs w:val="32"/>
          <w:bdr w:val="none" w:sz="0" w:space="0"/>
        </w:rPr>
      </w:pPr>
      <w:bookmarkStart w:id="27" w:name="_Toc8073"/>
      <w:bookmarkStart w:id="28" w:name="工程约束及采购条件"/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工程约束及采购条件</w:t>
      </w:r>
      <w:bookmarkEnd w:id="27"/>
    </w:p>
    <w:p w14:paraId="082D0925">
      <w:pPr>
        <w:pStyle w:val="3"/>
        <w:numPr>
          <w:ilvl w:val="0"/>
          <w:numId w:val="11"/>
        </w:numPr>
        <w:ind w:left="0" w:leftChars="0" w:firstLine="480" w:firstLineChars="0"/>
        <w:rPr>
          <w:rFonts w:eastAsia="宋体"/>
          <w:b w:val="0"/>
          <w:bCs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BlueROV2 Heavy资料给出的系统电压为16.8V，SV1213输入电压为18～50VDC，系统须配置隔离型升压/稳压电源，并对峰值功率和电磁兼容性进行验证。</w:t>
      </w:r>
    </w:p>
    <w:p w14:paraId="14DD2C18">
      <w:pPr>
        <w:pStyle w:val="3"/>
        <w:numPr>
          <w:ilvl w:val="0"/>
          <w:numId w:val="11"/>
        </w:numPr>
        <w:ind w:left="0" w:leftChars="0" w:firstLine="480" w:firstLineChars="0"/>
        <w:rPr>
          <w:rFonts w:eastAsia="宋体"/>
          <w:b w:val="0"/>
          <w:bCs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ROV报价资料未注明电池容量和续航时间。另一份BlueROV2 Standard资料中的3小时续航参数不适用于本配置，相关指标须由供应商书面确认。</w:t>
      </w:r>
    </w:p>
    <w:p w14:paraId="71F83C66">
      <w:pPr>
        <w:pStyle w:val="3"/>
        <w:numPr>
          <w:ilvl w:val="0"/>
          <w:numId w:val="11"/>
        </w:numPr>
        <w:ind w:left="0" w:leftChars="0" w:firstLine="480" w:firstLineChars="0"/>
        <w:rPr>
          <w:rFonts w:hint="eastAsia" w:eastAsia="宋体"/>
          <w:b w:val="0"/>
          <w:bCs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声纳虽可选300m及更深版本，整套系统仍按ROV的100m额定深度和100m缆长评价。</w:t>
      </w:r>
    </w:p>
    <w:p w14:paraId="37716266">
      <w:pPr>
        <w:pStyle w:val="3"/>
        <w:numPr>
          <w:ilvl w:val="0"/>
          <w:numId w:val="11"/>
        </w:numPr>
        <w:ind w:left="0" w:leftChars="0" w:firstLine="480" w:firstLineChars="0"/>
        <w:rPr>
          <w:rFonts w:hint="eastAsia" w:eastAsia="宋体"/>
          <w:b w:val="0"/>
          <w:bCs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合同应明确双频版本、频率组合、耐压等级、避碰输出是否包含、SDK授权范围和水密线缆长度。</w:t>
      </w:r>
    </w:p>
    <w:bookmarkEnd w:id="20"/>
    <w:bookmarkEnd w:id="28"/>
    <w:p w14:paraId="43CFFB24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eastAsia="黑体"/>
          <w:b w:val="0"/>
          <w:bCs w:val="0"/>
          <w:sz w:val="32"/>
          <w:szCs w:val="44"/>
          <w:bdr w:val="none" w:sz="0" w:space="0"/>
        </w:rPr>
      </w:pPr>
      <w:bookmarkStart w:id="29" w:name="_Toc9162"/>
      <w:bookmarkStart w:id="30" w:name="六候选方案三多传感器融合配置"/>
      <w:r>
        <w:rPr>
          <w:rFonts w:ascii="Times New Roman" w:hAnsi="Times New Roman" w:eastAsia="黑体" w:cs="Times New Roman"/>
          <w:b w:val="0"/>
          <w:bCs w:val="0"/>
          <w:sz w:val="32"/>
          <w:szCs w:val="44"/>
        </w:rPr>
        <w:t>候选方案三：多传感器融合配置</w:t>
      </w:r>
      <w:bookmarkEnd w:id="29"/>
    </w:p>
    <w:p w14:paraId="52369205">
      <w:pPr>
        <w:pStyle w:val="4"/>
        <w:widowControl/>
        <w:numPr>
          <w:ilvl w:val="0"/>
          <w:numId w:val="12"/>
        </w:numPr>
        <w:ind w:left="0" w:leftChars="0" w:firstLine="0" w:firstLineChars="0"/>
        <w:rPr>
          <w:rFonts w:eastAsia="黑体"/>
          <w:b w:val="0"/>
          <w:bCs w:val="0"/>
          <w:sz w:val="30"/>
          <w:szCs w:val="32"/>
          <w:bdr w:val="none" w:sz="0" w:space="0"/>
        </w:rPr>
      </w:pPr>
      <w:bookmarkStart w:id="31" w:name="_Toc16048"/>
      <w:bookmarkStart w:id="32" w:name="配置与预算-2"/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配置与预算</w:t>
      </w:r>
      <w:bookmarkEnd w:id="31"/>
    </w:p>
    <w:tbl>
      <w:tblPr>
        <w:tblStyle w:val="31"/>
        <w:tblW w:w="885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5233"/>
        <w:gridCol w:w="1727"/>
      </w:tblGrid>
      <w:tr w14:paraId="24D24C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1B6BAD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项目</w:t>
            </w:r>
          </w:p>
        </w:tc>
        <w:tc>
          <w:tcPr>
            <w:tcW w:w="523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BA3991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型号/说明</w:t>
            </w:r>
          </w:p>
        </w:tc>
        <w:tc>
          <w:tcPr>
            <w:tcW w:w="172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A2B2F6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参考价格</w:t>
            </w:r>
          </w:p>
        </w:tc>
      </w:tr>
      <w:tr w14:paraId="36DC83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E6048E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ROV</w:t>
            </w:r>
          </w:p>
        </w:tc>
        <w:tc>
          <w:tcPr>
            <w:tcW w:w="52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C33BC7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查湃HX-300-S，水面供电，标配100m零浮力缆</w:t>
            </w:r>
          </w:p>
        </w:tc>
        <w:tc>
          <w:tcPr>
            <w:tcW w:w="172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C72201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3.88万元</w:t>
            </w:r>
          </w:p>
        </w:tc>
      </w:tr>
      <w:tr w14:paraId="79FAE8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7C759C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多波束前视声纳</w:t>
            </w:r>
          </w:p>
        </w:tc>
        <w:tc>
          <w:tcPr>
            <w:tcW w:w="52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5B0E76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Sonoptix Echo，双频</w:t>
            </w:r>
          </w:p>
        </w:tc>
        <w:tc>
          <w:tcPr>
            <w:tcW w:w="172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684F3C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7.40万元</w:t>
            </w:r>
          </w:p>
        </w:tc>
      </w:tr>
      <w:tr w14:paraId="3AA297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BBECA9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DVL</w:t>
            </w:r>
          </w:p>
        </w:tc>
        <w:tc>
          <w:tcPr>
            <w:tcW w:w="52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ED9E49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Water Linked DVL A50，300m版</w:t>
            </w:r>
          </w:p>
        </w:tc>
        <w:tc>
          <w:tcPr>
            <w:tcW w:w="172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4D8EBE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7.20万元</w:t>
            </w:r>
          </w:p>
        </w:tc>
      </w:tr>
      <w:tr w14:paraId="2EDB35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E51C1B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卷线盘</w:t>
            </w:r>
          </w:p>
        </w:tc>
        <w:tc>
          <w:tcPr>
            <w:tcW w:w="52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842AE5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内置滑环卷线盘</w:t>
            </w:r>
          </w:p>
        </w:tc>
        <w:tc>
          <w:tcPr>
            <w:tcW w:w="172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E04F7D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0.15万元</w:t>
            </w:r>
          </w:p>
        </w:tc>
      </w:tr>
      <w:tr w14:paraId="7AD19B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6D089A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必要配套余量</w:t>
            </w:r>
          </w:p>
        </w:tc>
        <w:tc>
          <w:tcPr>
            <w:tcW w:w="52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49DE37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安装、供电、网络、水密接插件、税运和联调的全部剩余费用</w:t>
            </w:r>
          </w:p>
        </w:tc>
        <w:tc>
          <w:tcPr>
            <w:tcW w:w="172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06F2CD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不超过1.37万元</w:t>
            </w:r>
          </w:p>
        </w:tc>
      </w:tr>
      <w:tr w14:paraId="17DABA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9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45A539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采购总价上限</w:t>
            </w:r>
          </w:p>
        </w:tc>
        <w:tc>
          <w:tcPr>
            <w:tcW w:w="523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35F531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</w:p>
        </w:tc>
        <w:tc>
          <w:tcPr>
            <w:tcW w:w="172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079BD0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不超过20.00万元</w:t>
            </w:r>
          </w:p>
        </w:tc>
      </w:tr>
    </w:tbl>
    <w:p w14:paraId="0C715AD0">
      <w:pPr>
        <w:pStyle w:val="37"/>
        <w:jc w:val="center"/>
      </w:pPr>
    </w:p>
    <w:p w14:paraId="0AB9242E">
      <w:pPr>
        <w:pStyle w:val="37"/>
        <w:jc w:val="center"/>
      </w:pPr>
      <w:r>
        <w:drawing>
          <wp:inline distT="0" distB="0" distL="114300" distR="114300">
            <wp:extent cx="2026920" cy="2026920"/>
            <wp:effectExtent l="0" t="0" r="0" b="0"/>
            <wp:docPr id="47" name="Picture" descr="图6-1 Sonoptix Echo双频多波束前视声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 descr="图6-1 Sonoptix Echo双频多波束前视声纳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26920" cy="20269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8870ACB">
      <w:pPr>
        <w:pStyle w:val="74"/>
        <w:widowControl/>
        <w:rPr>
          <w:rFonts w:ascii="Times New Roman" w:hAnsi="Times New Roman" w:eastAsia="宋体" w:cs="宋体"/>
          <w:b w:val="0"/>
          <w:bCs w:val="0"/>
          <w:sz w:val="24"/>
          <w:szCs w:val="22"/>
        </w:rPr>
      </w:pPr>
      <w:r>
        <w:rPr>
          <w:rFonts w:ascii="Times New Roman" w:hAnsi="Times New Roman" w:eastAsia="宋体" w:cs="宋体"/>
          <w:b w:val="0"/>
          <w:bCs w:val="0"/>
          <w:sz w:val="24"/>
          <w:szCs w:val="22"/>
        </w:rPr>
        <w:t>图6-1 Sonoptix Echo双频多波束前视声纳</w:t>
      </w:r>
    </w:p>
    <w:p w14:paraId="78EDDD48">
      <w:pPr>
        <w:pStyle w:val="37"/>
        <w:jc w:val="center"/>
      </w:pPr>
      <w:r>
        <w:drawing>
          <wp:inline distT="0" distB="0" distL="114300" distR="114300">
            <wp:extent cx="2026920" cy="2026920"/>
            <wp:effectExtent l="0" t="0" r="0" b="0"/>
            <wp:docPr id="50" name="Picture" descr="图6-2 Water Linked DVL A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" descr="图6-2 Water Linked DVL A5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26920" cy="20269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D3FC98B">
      <w:pPr>
        <w:pStyle w:val="74"/>
        <w:widowControl/>
        <w:rPr>
          <w:rFonts w:ascii="Times New Roman" w:hAnsi="Times New Roman" w:eastAsia="宋体" w:cs="宋体"/>
          <w:b w:val="0"/>
          <w:bCs w:val="0"/>
          <w:sz w:val="24"/>
          <w:szCs w:val="22"/>
        </w:rPr>
      </w:pPr>
      <w:r>
        <w:rPr>
          <w:rFonts w:ascii="Times New Roman" w:hAnsi="Times New Roman" w:eastAsia="宋体" w:cs="宋体"/>
          <w:b w:val="0"/>
          <w:bCs w:val="0"/>
          <w:sz w:val="24"/>
          <w:szCs w:val="22"/>
        </w:rPr>
        <w:t>图6-2 Water Linked DVL A50</w:t>
      </w:r>
    </w:p>
    <w:p w14:paraId="2178CCF1">
      <w:pPr>
        <w:pStyle w:val="3"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方案三采用的HX-300-S ROV外观见图4-1。</w:t>
      </w:r>
    </w:p>
    <w:bookmarkEnd w:id="32"/>
    <w:p w14:paraId="14277819">
      <w:pPr>
        <w:pStyle w:val="4"/>
        <w:widowControl/>
        <w:numPr>
          <w:ilvl w:val="0"/>
          <w:numId w:val="12"/>
        </w:numPr>
        <w:ind w:left="0" w:leftChars="0" w:firstLine="0" w:firstLineChars="0"/>
        <w:rPr>
          <w:rFonts w:eastAsia="黑体"/>
          <w:b w:val="0"/>
          <w:bCs w:val="0"/>
          <w:sz w:val="30"/>
          <w:szCs w:val="32"/>
          <w:bdr w:val="none" w:sz="0" w:space="0"/>
        </w:rPr>
      </w:pPr>
      <w:bookmarkStart w:id="33" w:name="_Toc22641"/>
      <w:bookmarkStart w:id="34" w:name="主要性能-2"/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主要性能</w:t>
      </w:r>
      <w:bookmarkEnd w:id="33"/>
    </w:p>
    <w:p w14:paraId="7E7971CF">
      <w:pPr>
        <w:pStyle w:val="3"/>
        <w:numPr>
          <w:ilvl w:val="0"/>
          <w:numId w:val="13"/>
        </w:numPr>
        <w:ind w:left="0" w:leftChars="0" w:firstLine="480" w:firstLineChars="0"/>
        <w:rPr>
          <w:rFonts w:eastAsia="宋体"/>
          <w:b w:val="0"/>
          <w:bCs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ROV：标称耐压深度300m，标配100m缆，负载10kg，最大航速4节，采用水面220VAC连续供电。</w:t>
      </w:r>
    </w:p>
    <w:p w14:paraId="4AB5370A">
      <w:pPr>
        <w:pStyle w:val="3"/>
        <w:numPr>
          <w:ilvl w:val="0"/>
          <w:numId w:val="13"/>
        </w:numPr>
        <w:ind w:left="0" w:leftChars="0" w:firstLine="480" w:firstLineChars="0"/>
        <w:rPr>
          <w:rFonts w:eastAsia="宋体"/>
          <w:b w:val="0"/>
          <w:bCs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Echo声纳：400/700kHz双频；最大探测距离约200m/50m；水平视场约90°/120°；垂直视场20°；256波束；距离分辨率小于8mm；最高25Hz；最大耐压深度350m。</w:t>
      </w:r>
    </w:p>
    <w:p w14:paraId="3BC28A3F">
      <w:pPr>
        <w:pStyle w:val="3"/>
        <w:numPr>
          <w:ilvl w:val="0"/>
          <w:numId w:val="13"/>
        </w:numPr>
        <w:ind w:left="0" w:leftChars="0" w:firstLine="480" w:firstLineChars="0"/>
        <w:rPr>
          <w:rFonts w:eastAsia="宋体"/>
          <w:b w:val="0"/>
          <w:bCs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DVL A50：1MHz四束Janus阵列；离底高度约0.05～50m；速度分辨率0.1mm/s；长期精度±1.01%；集成AHRS/IMU；支持UART、以太网及Water Linked API/PD6。</w:t>
      </w:r>
    </w:p>
    <w:p w14:paraId="3C5BE4C4">
      <w:pPr>
        <w:pStyle w:val="3"/>
        <w:numPr>
          <w:ilvl w:val="0"/>
          <w:numId w:val="13"/>
        </w:numPr>
        <w:ind w:left="0" w:leftChars="0" w:firstLine="480" w:firstLineChars="0"/>
        <w:rPr>
          <w:rFonts w:hint="eastAsia" w:eastAsia="宋体"/>
          <w:b w:val="0"/>
          <w:bCs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系统深度：ROV、Echo和DVL耐压指标均达到或超过300m，但使用标配100m缆时，实际部署范围受100m缆限制。</w:t>
      </w:r>
    </w:p>
    <w:bookmarkEnd w:id="34"/>
    <w:p w14:paraId="0E4D696E">
      <w:pPr>
        <w:pStyle w:val="4"/>
        <w:widowControl/>
        <w:numPr>
          <w:ilvl w:val="0"/>
          <w:numId w:val="12"/>
        </w:numPr>
        <w:ind w:left="0" w:leftChars="0" w:firstLine="0" w:firstLineChars="0"/>
        <w:rPr>
          <w:rFonts w:eastAsia="黑体"/>
          <w:b w:val="0"/>
          <w:bCs w:val="0"/>
          <w:sz w:val="30"/>
          <w:szCs w:val="32"/>
          <w:bdr w:val="none" w:sz="0" w:space="0"/>
        </w:rPr>
      </w:pPr>
      <w:bookmarkStart w:id="35" w:name="_Toc26498"/>
      <w:bookmarkStart w:id="36" w:name="技术特征-2"/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技术特征</w:t>
      </w:r>
      <w:bookmarkEnd w:id="35"/>
    </w:p>
    <w:p w14:paraId="1901D1AE">
      <w:pPr>
        <w:pStyle w:val="3"/>
        <w:numPr>
          <w:ilvl w:val="0"/>
          <w:numId w:val="14"/>
        </w:numPr>
        <w:ind w:left="0" w:leftChars="0" w:firstLine="480" w:firstLineChars="0"/>
        <w:rPr>
          <w:rFonts w:hint="eastAsia" w:eastAsia="宋体"/>
          <w:b w:val="0"/>
          <w:bCs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本方案配置DVL，可为速度估计、位置保持、轨迹推算和声纳数据配准提供速度观测量。</w:t>
      </w:r>
    </w:p>
    <w:p w14:paraId="10B1A22F">
      <w:pPr>
        <w:pStyle w:val="3"/>
        <w:numPr>
          <w:ilvl w:val="0"/>
          <w:numId w:val="14"/>
        </w:numPr>
        <w:ind w:left="0" w:leftChars="0" w:firstLine="480" w:firstLineChars="0"/>
        <w:rPr>
          <w:rFonts w:eastAsia="宋体"/>
          <w:b w:val="0"/>
          <w:bCs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Echo的400kHz和700kHz工作频率分别用于远距离搜索和近距离成像，对应最大探测距离约200m和50m。</w:t>
      </w:r>
    </w:p>
    <w:p w14:paraId="59C2458F">
      <w:pPr>
        <w:pStyle w:val="3"/>
        <w:numPr>
          <w:ilvl w:val="0"/>
          <w:numId w:val="14"/>
        </w:numPr>
        <w:ind w:left="0" w:leftChars="0" w:firstLine="480" w:firstLineChars="0"/>
        <w:rPr>
          <w:rFonts w:eastAsia="宋体"/>
          <w:b w:val="0"/>
          <w:bCs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HX-300-S标称负载10kg并采用水面供电，可同时搭载声纳、DVL及相应集成组件。</w:t>
      </w:r>
    </w:p>
    <w:p w14:paraId="5B446E16">
      <w:pPr>
        <w:pStyle w:val="3"/>
        <w:numPr>
          <w:ilvl w:val="0"/>
          <w:numId w:val="14"/>
        </w:numPr>
        <w:ind w:left="0" w:leftChars="0" w:firstLine="480" w:firstLineChars="0"/>
        <w:rPr>
          <w:rFonts w:eastAsia="宋体"/>
          <w:b w:val="0"/>
          <w:bCs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ROV、声纳和DVL均具备以太网或开放数据接口，可用于声纳、DVL和IMU数据融合。</w:t>
      </w:r>
    </w:p>
    <w:bookmarkEnd w:id="36"/>
    <w:p w14:paraId="795457CB">
      <w:pPr>
        <w:pStyle w:val="4"/>
        <w:widowControl/>
        <w:numPr>
          <w:ilvl w:val="0"/>
          <w:numId w:val="12"/>
        </w:numPr>
        <w:ind w:left="0" w:leftChars="0" w:firstLine="0" w:firstLineChars="0"/>
        <w:rPr>
          <w:rFonts w:eastAsia="黑体"/>
          <w:b w:val="0"/>
          <w:bCs w:val="0"/>
          <w:sz w:val="30"/>
          <w:szCs w:val="32"/>
          <w:bdr w:val="none" w:sz="0" w:space="0"/>
        </w:rPr>
      </w:pPr>
      <w:bookmarkStart w:id="37" w:name="_Toc4668"/>
      <w:bookmarkStart w:id="38" w:name="预算约束成交条件及替代配置"/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预算约束、成交条件及替代配置</w:t>
      </w:r>
      <w:bookmarkEnd w:id="37"/>
    </w:p>
    <w:p w14:paraId="794B338F">
      <w:pPr>
        <w:pStyle w:val="3"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方案三已知设备价格为18.63万元，可用于必要配套、税费、运输和集成的预算为1.37万元。采购执行条件如下：</w:t>
      </w:r>
    </w:p>
    <w:p w14:paraId="37CBF6EE">
      <w:pPr>
        <w:pStyle w:val="3"/>
        <w:numPr>
          <w:ilvl w:val="0"/>
          <w:numId w:val="15"/>
        </w:numPr>
        <w:ind w:left="0" w:leftChars="0" w:firstLine="480" w:firstLineChars="0"/>
        <w:rPr>
          <w:rFonts w:eastAsia="宋体"/>
          <w:b w:val="0"/>
          <w:bCs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供应商须提交包含税费、运输、全部线缆与接插件、安装支架、供电模块、软件授权及联调费用的固定总价合同，合同总价不得超过20万元。</w:t>
      </w:r>
    </w:p>
    <w:p w14:paraId="65AB1BFF">
      <w:pPr>
        <w:pStyle w:val="3"/>
        <w:numPr>
          <w:ilvl w:val="0"/>
          <w:numId w:val="15"/>
        </w:numPr>
        <w:ind w:left="0" w:leftChars="0" w:firstLine="480" w:firstLineChars="0"/>
        <w:rPr>
          <w:rFonts w:eastAsia="宋体"/>
          <w:b w:val="0"/>
          <w:bCs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不接受先以设备裸价签约、后续追加必要集成费用的方式。</w:t>
      </w:r>
    </w:p>
    <w:p w14:paraId="77DE4234">
      <w:pPr>
        <w:pStyle w:val="3"/>
        <w:numPr>
          <w:ilvl w:val="0"/>
          <w:numId w:val="15"/>
        </w:numPr>
        <w:ind w:left="0" w:leftChars="0" w:firstLine="480" w:firstLineChars="0"/>
        <w:rPr>
          <w:rFonts w:eastAsia="宋体"/>
          <w:b w:val="0"/>
          <w:bCs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ROV供应商原则上应作为系统总集成方，对Echo和DVL的安装、供电、通信、配平及联合测试承担统一交付责任。</w:t>
      </w:r>
    </w:p>
    <w:p w14:paraId="01180805">
      <w:pPr>
        <w:pStyle w:val="3"/>
        <w:numPr>
          <w:ilvl w:val="0"/>
          <w:numId w:val="15"/>
        </w:numPr>
        <w:ind w:left="0" w:leftChars="0" w:firstLine="480" w:firstLineChars="0"/>
        <w:rPr>
          <w:rFonts w:eastAsia="宋体"/>
          <w:b w:val="0"/>
          <w:bCs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固定总价超过20万元时，声纳替换为Omniscan 450FS。HX-300-S、Omniscan 450FS、DVL A50和卷线盘的已知价格合计约13.43万元，配套费用预算为6.57万元。采用该替代配置前，须完成Omniscan多波束工作体制和原始数据能力核验。</w:t>
      </w:r>
    </w:p>
    <w:bookmarkEnd w:id="30"/>
    <w:bookmarkEnd w:id="38"/>
    <w:p w14:paraId="7EA3600C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eastAsia="黑体"/>
          <w:b w:val="0"/>
          <w:bCs w:val="0"/>
          <w:sz w:val="32"/>
          <w:szCs w:val="44"/>
          <w:bdr w:val="none" w:sz="0" w:space="0"/>
        </w:rPr>
      </w:pPr>
      <w:bookmarkStart w:id="39" w:name="_Toc890"/>
      <w:bookmarkStart w:id="40" w:name="七三套方案横向比较"/>
      <w:r>
        <w:rPr>
          <w:rFonts w:ascii="Times New Roman" w:hAnsi="Times New Roman" w:eastAsia="黑体" w:cs="Times New Roman"/>
          <w:b w:val="0"/>
          <w:bCs w:val="0"/>
          <w:sz w:val="32"/>
          <w:szCs w:val="44"/>
        </w:rPr>
        <w:t>三套方案横向比较</w:t>
      </w:r>
      <w:bookmarkEnd w:id="39"/>
    </w:p>
    <w:tbl>
      <w:tblPr>
        <w:tblStyle w:val="31"/>
        <w:tblW w:w="885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2"/>
        <w:gridCol w:w="2020"/>
        <w:gridCol w:w="2458"/>
        <w:gridCol w:w="2556"/>
      </w:tblGrid>
      <w:tr w14:paraId="0ACD0E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2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AF4ECCA">
            <w:pPr>
              <w:pStyle w:val="26"/>
              <w:snapToGrid w:val="0"/>
              <w:ind w:left="0" w:leftChars="0" w:firstLine="0" w:firstLineChars="0"/>
              <w:jc w:val="left"/>
            </w:pPr>
            <w:r>
              <w:t>指标</w:t>
            </w:r>
          </w:p>
        </w:tc>
        <w:tc>
          <w:tcPr>
            <w:tcW w:w="20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CB82419">
            <w:pPr>
              <w:pStyle w:val="26"/>
              <w:snapToGrid w:val="0"/>
              <w:ind w:left="0" w:leftChars="0" w:firstLine="0" w:firstLineChars="0"/>
              <w:jc w:val="left"/>
            </w:pPr>
            <w:r>
              <w:t>方案一：基础探测配置</w:t>
            </w:r>
          </w:p>
        </w:tc>
        <w:tc>
          <w:tcPr>
            <w:tcW w:w="245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537085C">
            <w:pPr>
              <w:pStyle w:val="26"/>
              <w:snapToGrid w:val="0"/>
              <w:ind w:left="0" w:leftChars="0" w:firstLine="0" w:firstLineChars="0"/>
              <w:jc w:val="left"/>
            </w:pPr>
            <w:r>
              <w:t>方案二：高分辨率成像配置</w:t>
            </w:r>
          </w:p>
        </w:tc>
        <w:tc>
          <w:tcPr>
            <w:tcW w:w="255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185BB16">
            <w:pPr>
              <w:pStyle w:val="26"/>
              <w:snapToGrid w:val="0"/>
              <w:ind w:left="0" w:leftChars="0" w:firstLine="0" w:firstLineChars="0"/>
              <w:jc w:val="left"/>
            </w:pPr>
            <w:r>
              <w:t>方案三：多传感器融合配置</w:t>
            </w:r>
          </w:p>
        </w:tc>
      </w:tr>
      <w:tr w14:paraId="23C7C9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4609475">
            <w:pPr>
              <w:pStyle w:val="26"/>
              <w:snapToGrid w:val="0"/>
              <w:ind w:left="0" w:leftChars="0" w:firstLine="0" w:firstLineChars="0"/>
              <w:jc w:val="left"/>
            </w:pPr>
            <w:r>
              <w:t>采购总价控制值</w:t>
            </w:r>
          </w:p>
        </w:tc>
        <w:tc>
          <w:tcPr>
            <w:tcW w:w="20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9106429">
            <w:pPr>
              <w:pStyle w:val="26"/>
              <w:snapToGrid w:val="0"/>
              <w:jc w:val="left"/>
            </w:pPr>
            <w:r>
              <w:t>≤7.50万元</w:t>
            </w:r>
          </w:p>
        </w:tc>
        <w:tc>
          <w:tcPr>
            <w:tcW w:w="24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F978A8D">
            <w:pPr>
              <w:pStyle w:val="26"/>
              <w:snapToGrid w:val="0"/>
              <w:jc w:val="left"/>
            </w:pPr>
            <w:r>
              <w:t>≤14.50万元</w:t>
            </w:r>
          </w:p>
        </w:tc>
        <w:tc>
          <w:tcPr>
            <w:tcW w:w="255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93C65D7">
            <w:pPr>
              <w:pStyle w:val="26"/>
              <w:snapToGrid w:val="0"/>
              <w:jc w:val="left"/>
            </w:pPr>
            <w:r>
              <w:t>≤20.00万元</w:t>
            </w:r>
          </w:p>
        </w:tc>
      </w:tr>
      <w:tr w14:paraId="1E00A4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8240826">
            <w:pPr>
              <w:pStyle w:val="26"/>
              <w:snapToGrid w:val="0"/>
              <w:jc w:val="left"/>
            </w:pPr>
            <w:r>
              <w:t>配套费用预算</w:t>
            </w:r>
          </w:p>
        </w:tc>
        <w:tc>
          <w:tcPr>
            <w:tcW w:w="20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B2714FE">
            <w:pPr>
              <w:pStyle w:val="26"/>
              <w:snapToGrid w:val="0"/>
              <w:jc w:val="left"/>
            </w:pPr>
            <w:r>
              <w:t>1.42万元</w:t>
            </w:r>
          </w:p>
        </w:tc>
        <w:tc>
          <w:tcPr>
            <w:tcW w:w="24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3EECD50">
            <w:pPr>
              <w:pStyle w:val="26"/>
              <w:snapToGrid w:val="0"/>
              <w:jc w:val="left"/>
            </w:pPr>
            <w:r>
              <w:t>1.80万元</w:t>
            </w:r>
          </w:p>
        </w:tc>
        <w:tc>
          <w:tcPr>
            <w:tcW w:w="255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A38ACF4">
            <w:pPr>
              <w:pStyle w:val="26"/>
              <w:snapToGrid w:val="0"/>
              <w:jc w:val="left"/>
            </w:pPr>
            <w:r>
              <w:t>1.37万元</w:t>
            </w:r>
          </w:p>
        </w:tc>
      </w:tr>
      <w:tr w14:paraId="4D916E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756A098">
            <w:pPr>
              <w:pStyle w:val="26"/>
              <w:snapToGrid w:val="0"/>
              <w:jc w:val="left"/>
            </w:pPr>
            <w:r>
              <w:t>ROV额定深度</w:t>
            </w:r>
          </w:p>
        </w:tc>
        <w:tc>
          <w:tcPr>
            <w:tcW w:w="20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B76E805">
            <w:pPr>
              <w:pStyle w:val="26"/>
              <w:snapToGrid w:val="0"/>
              <w:jc w:val="left"/>
            </w:pPr>
            <w:r>
              <w:t>300m</w:t>
            </w:r>
          </w:p>
        </w:tc>
        <w:tc>
          <w:tcPr>
            <w:tcW w:w="24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47E6D72">
            <w:pPr>
              <w:pStyle w:val="26"/>
              <w:snapToGrid w:val="0"/>
              <w:jc w:val="left"/>
            </w:pPr>
            <w:r>
              <w:t>100m</w:t>
            </w:r>
          </w:p>
        </w:tc>
        <w:tc>
          <w:tcPr>
            <w:tcW w:w="255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16749F4">
            <w:pPr>
              <w:pStyle w:val="26"/>
              <w:snapToGrid w:val="0"/>
              <w:jc w:val="left"/>
            </w:pPr>
            <w:r>
              <w:t>300m</w:t>
            </w:r>
          </w:p>
        </w:tc>
      </w:tr>
      <w:tr w14:paraId="4532CF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7F516BB">
            <w:pPr>
              <w:pStyle w:val="26"/>
              <w:snapToGrid w:val="0"/>
              <w:jc w:val="left"/>
            </w:pPr>
            <w:r>
              <w:t>标配缆长</w:t>
            </w:r>
          </w:p>
        </w:tc>
        <w:tc>
          <w:tcPr>
            <w:tcW w:w="20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5D464E5">
            <w:pPr>
              <w:pStyle w:val="26"/>
              <w:snapToGrid w:val="0"/>
              <w:jc w:val="left"/>
            </w:pPr>
            <w:r>
              <w:t>100m</w:t>
            </w:r>
          </w:p>
        </w:tc>
        <w:tc>
          <w:tcPr>
            <w:tcW w:w="24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A113BF5">
            <w:pPr>
              <w:pStyle w:val="26"/>
              <w:snapToGrid w:val="0"/>
              <w:jc w:val="left"/>
            </w:pPr>
            <w:r>
              <w:t>100m</w:t>
            </w:r>
          </w:p>
        </w:tc>
        <w:tc>
          <w:tcPr>
            <w:tcW w:w="255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6036536">
            <w:pPr>
              <w:pStyle w:val="26"/>
              <w:snapToGrid w:val="0"/>
              <w:jc w:val="left"/>
            </w:pPr>
            <w:r>
              <w:t>100m</w:t>
            </w:r>
          </w:p>
        </w:tc>
      </w:tr>
      <w:tr w14:paraId="3C6909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7AA90FF">
            <w:pPr>
              <w:pStyle w:val="26"/>
              <w:snapToGrid w:val="0"/>
              <w:jc w:val="left"/>
            </w:pPr>
            <w:r>
              <w:t>供电/续航</w:t>
            </w:r>
          </w:p>
        </w:tc>
        <w:tc>
          <w:tcPr>
            <w:tcW w:w="20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8AA3C83">
            <w:pPr>
              <w:pStyle w:val="26"/>
              <w:snapToGrid w:val="0"/>
              <w:jc w:val="left"/>
            </w:pPr>
            <w:r>
              <w:t>水面连续供电</w:t>
            </w:r>
          </w:p>
        </w:tc>
        <w:tc>
          <w:tcPr>
            <w:tcW w:w="24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0044B4D">
            <w:pPr>
              <w:pStyle w:val="26"/>
              <w:snapToGrid w:val="0"/>
              <w:jc w:val="left"/>
            </w:pPr>
            <w:r>
              <w:t>电池，续航由供应商确认</w:t>
            </w:r>
          </w:p>
        </w:tc>
        <w:tc>
          <w:tcPr>
            <w:tcW w:w="255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B7969BC">
            <w:pPr>
              <w:pStyle w:val="26"/>
              <w:snapToGrid w:val="0"/>
              <w:jc w:val="left"/>
            </w:pPr>
            <w:r>
              <w:t>水面连续供电</w:t>
            </w:r>
          </w:p>
        </w:tc>
      </w:tr>
      <w:tr w14:paraId="395BFC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21DE431">
            <w:pPr>
              <w:pStyle w:val="26"/>
              <w:snapToGrid w:val="0"/>
              <w:jc w:val="left"/>
            </w:pPr>
            <w:r>
              <w:t>负载</w:t>
            </w:r>
          </w:p>
        </w:tc>
        <w:tc>
          <w:tcPr>
            <w:tcW w:w="20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51CEE43">
            <w:pPr>
              <w:pStyle w:val="26"/>
              <w:snapToGrid w:val="0"/>
              <w:jc w:val="left"/>
            </w:pPr>
            <w:r>
              <w:t>10kg</w:t>
            </w:r>
          </w:p>
        </w:tc>
        <w:tc>
          <w:tcPr>
            <w:tcW w:w="24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3CC002D">
            <w:pPr>
              <w:pStyle w:val="26"/>
              <w:snapToGrid w:val="0"/>
              <w:jc w:val="left"/>
            </w:pPr>
            <w:r>
              <w:t>5kg</w:t>
            </w:r>
          </w:p>
        </w:tc>
        <w:tc>
          <w:tcPr>
            <w:tcW w:w="255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43DFD60">
            <w:pPr>
              <w:pStyle w:val="26"/>
              <w:snapToGrid w:val="0"/>
              <w:jc w:val="left"/>
            </w:pPr>
            <w:r>
              <w:t>10kg</w:t>
            </w:r>
          </w:p>
        </w:tc>
      </w:tr>
      <w:tr w14:paraId="36B9BC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D26D365">
            <w:pPr>
              <w:pStyle w:val="26"/>
              <w:snapToGrid w:val="0"/>
              <w:jc w:val="left"/>
            </w:pPr>
            <w:r>
              <w:t>最大航速</w:t>
            </w:r>
          </w:p>
        </w:tc>
        <w:tc>
          <w:tcPr>
            <w:tcW w:w="20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3C9C03A">
            <w:pPr>
              <w:pStyle w:val="26"/>
              <w:snapToGrid w:val="0"/>
              <w:jc w:val="left"/>
            </w:pPr>
            <w:r>
              <w:t>4节</w:t>
            </w:r>
          </w:p>
        </w:tc>
        <w:tc>
          <w:tcPr>
            <w:tcW w:w="24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6A1A771">
            <w:pPr>
              <w:pStyle w:val="26"/>
              <w:snapToGrid w:val="0"/>
              <w:jc w:val="left"/>
            </w:pPr>
            <w:r>
              <w:t>1.5m/s（约2.9节）</w:t>
            </w:r>
          </w:p>
        </w:tc>
        <w:tc>
          <w:tcPr>
            <w:tcW w:w="255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9FAF6A7">
            <w:pPr>
              <w:pStyle w:val="26"/>
              <w:snapToGrid w:val="0"/>
              <w:jc w:val="left"/>
            </w:pPr>
            <w:r>
              <w:t>4节</w:t>
            </w:r>
          </w:p>
        </w:tc>
      </w:tr>
      <w:tr w14:paraId="08A13B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E9138EA">
            <w:pPr>
              <w:pStyle w:val="26"/>
              <w:snapToGrid w:val="0"/>
              <w:jc w:val="left"/>
            </w:pPr>
            <w:r>
              <w:t>声纳频率</w:t>
            </w:r>
          </w:p>
        </w:tc>
        <w:tc>
          <w:tcPr>
            <w:tcW w:w="20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63FBE7D">
            <w:pPr>
              <w:pStyle w:val="26"/>
              <w:snapToGrid w:val="0"/>
              <w:jc w:val="left"/>
            </w:pPr>
            <w:r>
              <w:t>450kHz</w:t>
            </w:r>
          </w:p>
        </w:tc>
        <w:tc>
          <w:tcPr>
            <w:tcW w:w="24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F10E966">
            <w:pPr>
              <w:pStyle w:val="26"/>
              <w:snapToGrid w:val="0"/>
              <w:jc w:val="left"/>
            </w:pPr>
            <w:r>
              <w:t>拟选750kHz/1.2MHz</w:t>
            </w:r>
          </w:p>
        </w:tc>
        <w:tc>
          <w:tcPr>
            <w:tcW w:w="255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BA43284">
            <w:pPr>
              <w:pStyle w:val="26"/>
              <w:snapToGrid w:val="0"/>
              <w:jc w:val="left"/>
            </w:pPr>
            <w:r>
              <w:t>400kHz/700kHz</w:t>
            </w:r>
          </w:p>
        </w:tc>
      </w:tr>
      <w:tr w14:paraId="2BE566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B1365CF">
            <w:pPr>
              <w:pStyle w:val="26"/>
              <w:snapToGrid w:val="0"/>
              <w:jc w:val="left"/>
            </w:pPr>
            <w:r>
              <w:t>最大探测距离</w:t>
            </w:r>
          </w:p>
        </w:tc>
        <w:tc>
          <w:tcPr>
            <w:tcW w:w="20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08607B4">
            <w:pPr>
              <w:pStyle w:val="26"/>
              <w:snapToGrid w:val="0"/>
              <w:jc w:val="left"/>
            </w:pPr>
            <w:r>
              <w:t>100m</w:t>
            </w:r>
          </w:p>
        </w:tc>
        <w:tc>
          <w:tcPr>
            <w:tcW w:w="24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5614BF8">
            <w:pPr>
              <w:pStyle w:val="26"/>
              <w:snapToGrid w:val="0"/>
              <w:jc w:val="left"/>
            </w:pPr>
            <w:r>
              <w:t>120m/50m</w:t>
            </w:r>
          </w:p>
        </w:tc>
        <w:tc>
          <w:tcPr>
            <w:tcW w:w="255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5CBF3C1">
            <w:pPr>
              <w:pStyle w:val="26"/>
              <w:snapToGrid w:val="0"/>
              <w:jc w:val="left"/>
            </w:pPr>
            <w:r>
              <w:t>200m/50m</w:t>
            </w:r>
          </w:p>
        </w:tc>
      </w:tr>
      <w:tr w14:paraId="1C9A7E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47A5D3D">
            <w:pPr>
              <w:pStyle w:val="26"/>
              <w:snapToGrid w:val="0"/>
              <w:jc w:val="left"/>
            </w:pPr>
            <w:r>
              <w:t>波束数</w:t>
            </w:r>
          </w:p>
        </w:tc>
        <w:tc>
          <w:tcPr>
            <w:tcW w:w="20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3FDA4AB">
            <w:pPr>
              <w:pStyle w:val="26"/>
              <w:snapToGrid w:val="0"/>
              <w:jc w:val="left"/>
            </w:pPr>
            <w:r>
              <w:t>供应商确认</w:t>
            </w:r>
          </w:p>
        </w:tc>
        <w:tc>
          <w:tcPr>
            <w:tcW w:w="24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5646183">
            <w:pPr>
              <w:pStyle w:val="26"/>
              <w:snapToGrid w:val="0"/>
              <w:jc w:val="left"/>
            </w:pPr>
            <w:r>
              <w:t>768</w:t>
            </w:r>
          </w:p>
        </w:tc>
        <w:tc>
          <w:tcPr>
            <w:tcW w:w="255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35E3C9E">
            <w:pPr>
              <w:pStyle w:val="26"/>
              <w:snapToGrid w:val="0"/>
              <w:jc w:val="left"/>
            </w:pPr>
            <w:r>
              <w:t>256</w:t>
            </w:r>
          </w:p>
        </w:tc>
      </w:tr>
      <w:tr w14:paraId="1E1D4D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F9D2926">
            <w:pPr>
              <w:pStyle w:val="26"/>
              <w:snapToGrid w:val="0"/>
              <w:jc w:val="left"/>
            </w:pPr>
            <w:r>
              <w:t>水平视场</w:t>
            </w:r>
          </w:p>
        </w:tc>
        <w:tc>
          <w:tcPr>
            <w:tcW w:w="20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1827A32">
            <w:pPr>
              <w:pStyle w:val="26"/>
              <w:snapToGrid w:val="0"/>
              <w:jc w:val="left"/>
            </w:pPr>
            <w:r>
              <w:t>供应商确认</w:t>
            </w:r>
          </w:p>
        </w:tc>
        <w:tc>
          <w:tcPr>
            <w:tcW w:w="24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2595027">
            <w:pPr>
              <w:pStyle w:val="26"/>
              <w:snapToGrid w:val="0"/>
              <w:jc w:val="left"/>
            </w:pPr>
            <w:r>
              <w:t>140°</w:t>
            </w:r>
          </w:p>
        </w:tc>
        <w:tc>
          <w:tcPr>
            <w:tcW w:w="255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BB993BD">
            <w:pPr>
              <w:pStyle w:val="26"/>
              <w:snapToGrid w:val="0"/>
              <w:jc w:val="left"/>
            </w:pPr>
            <w:r>
              <w:t>90°/120°</w:t>
            </w:r>
          </w:p>
        </w:tc>
      </w:tr>
      <w:tr w14:paraId="17524B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13BBFB7">
            <w:pPr>
              <w:pStyle w:val="26"/>
              <w:snapToGrid w:val="0"/>
              <w:jc w:val="left"/>
            </w:pPr>
            <w:r>
              <w:t>垂直视场/波束高度</w:t>
            </w:r>
          </w:p>
        </w:tc>
        <w:tc>
          <w:tcPr>
            <w:tcW w:w="20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B45E253">
            <w:pPr>
              <w:pStyle w:val="26"/>
              <w:snapToGrid w:val="0"/>
              <w:jc w:val="left"/>
            </w:pPr>
            <w:r>
              <w:t>50°</w:t>
            </w:r>
          </w:p>
        </w:tc>
        <w:tc>
          <w:tcPr>
            <w:tcW w:w="24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3E3A5BF">
            <w:pPr>
              <w:pStyle w:val="26"/>
              <w:snapToGrid w:val="0"/>
              <w:jc w:val="left"/>
            </w:pPr>
            <w:r>
              <w:t>20°</w:t>
            </w:r>
          </w:p>
        </w:tc>
        <w:tc>
          <w:tcPr>
            <w:tcW w:w="255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0A9A17D">
            <w:pPr>
              <w:pStyle w:val="26"/>
              <w:snapToGrid w:val="0"/>
              <w:jc w:val="left"/>
            </w:pPr>
            <w:r>
              <w:t>20°</w:t>
            </w:r>
          </w:p>
        </w:tc>
      </w:tr>
      <w:tr w14:paraId="4F60C7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C3A8962">
            <w:pPr>
              <w:pStyle w:val="26"/>
              <w:snapToGrid w:val="0"/>
              <w:jc w:val="left"/>
            </w:pPr>
            <w:r>
              <w:t>距离分辨率</w:t>
            </w:r>
          </w:p>
        </w:tc>
        <w:tc>
          <w:tcPr>
            <w:tcW w:w="20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39C1282">
            <w:pPr>
              <w:pStyle w:val="26"/>
              <w:snapToGrid w:val="0"/>
              <w:jc w:val="left"/>
            </w:pPr>
            <w:r>
              <w:t>最高为量程1/1200</w:t>
            </w:r>
          </w:p>
        </w:tc>
        <w:tc>
          <w:tcPr>
            <w:tcW w:w="24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12A9526">
            <w:pPr>
              <w:pStyle w:val="26"/>
              <w:snapToGrid w:val="0"/>
              <w:jc w:val="left"/>
            </w:pPr>
            <w:r>
              <w:t>2.5mm</w:t>
            </w:r>
          </w:p>
        </w:tc>
        <w:tc>
          <w:tcPr>
            <w:tcW w:w="255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07F2D48">
            <w:pPr>
              <w:pStyle w:val="26"/>
              <w:snapToGrid w:val="0"/>
              <w:jc w:val="left"/>
            </w:pPr>
            <w:r>
              <w:t>&lt;8mm</w:t>
            </w:r>
          </w:p>
        </w:tc>
      </w:tr>
      <w:tr w14:paraId="30F494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0A4826D">
            <w:pPr>
              <w:pStyle w:val="26"/>
              <w:snapToGrid w:val="0"/>
              <w:jc w:val="left"/>
            </w:pPr>
            <w:r>
              <w:t>最大刷新率</w:t>
            </w:r>
          </w:p>
        </w:tc>
        <w:tc>
          <w:tcPr>
            <w:tcW w:w="20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E5722A9">
            <w:pPr>
              <w:pStyle w:val="26"/>
              <w:snapToGrid w:val="0"/>
              <w:jc w:val="left"/>
            </w:pPr>
            <w:r>
              <w:t>供应商确认</w:t>
            </w:r>
          </w:p>
        </w:tc>
        <w:tc>
          <w:tcPr>
            <w:tcW w:w="24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EA28694">
            <w:pPr>
              <w:pStyle w:val="26"/>
              <w:snapToGrid w:val="0"/>
              <w:jc w:val="left"/>
            </w:pPr>
            <w:r>
              <w:t>40Hz</w:t>
            </w:r>
          </w:p>
        </w:tc>
        <w:tc>
          <w:tcPr>
            <w:tcW w:w="255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AA18AEF">
            <w:pPr>
              <w:pStyle w:val="26"/>
              <w:snapToGrid w:val="0"/>
              <w:jc w:val="left"/>
            </w:pPr>
            <w:r>
              <w:t>25Hz</w:t>
            </w:r>
          </w:p>
        </w:tc>
      </w:tr>
      <w:tr w14:paraId="310D7A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C7B4945">
            <w:pPr>
              <w:pStyle w:val="26"/>
              <w:snapToGrid w:val="0"/>
              <w:jc w:val="left"/>
            </w:pPr>
            <w:r>
              <w:t>DVL</w:t>
            </w:r>
          </w:p>
        </w:tc>
        <w:tc>
          <w:tcPr>
            <w:tcW w:w="20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1366543">
            <w:pPr>
              <w:pStyle w:val="26"/>
              <w:snapToGrid w:val="0"/>
              <w:jc w:val="left"/>
            </w:pPr>
            <w:r>
              <w:t>无</w:t>
            </w:r>
          </w:p>
        </w:tc>
        <w:tc>
          <w:tcPr>
            <w:tcW w:w="24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5587328">
            <w:pPr>
              <w:pStyle w:val="26"/>
              <w:snapToGrid w:val="0"/>
              <w:jc w:val="left"/>
            </w:pPr>
            <w:r>
              <w:t>无，可后续加装</w:t>
            </w:r>
          </w:p>
        </w:tc>
        <w:tc>
          <w:tcPr>
            <w:tcW w:w="255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ADB473E">
            <w:pPr>
              <w:pStyle w:val="26"/>
              <w:snapToGrid w:val="0"/>
              <w:jc w:val="left"/>
            </w:pPr>
            <w:r>
              <w:t>标配A50</w:t>
            </w:r>
          </w:p>
        </w:tc>
      </w:tr>
      <w:tr w14:paraId="3A533D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939126A">
            <w:pPr>
              <w:pStyle w:val="26"/>
              <w:snapToGrid w:val="0"/>
              <w:jc w:val="left"/>
            </w:pPr>
            <w:r>
              <w:t>二次开发</w:t>
            </w:r>
          </w:p>
        </w:tc>
        <w:tc>
          <w:tcPr>
            <w:tcW w:w="20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BE33903">
            <w:pPr>
              <w:pStyle w:val="26"/>
              <w:snapToGrid w:val="0"/>
              <w:jc w:val="left"/>
            </w:pPr>
            <w:r>
              <w:t>SDK、ROS2、协议</w:t>
            </w:r>
          </w:p>
        </w:tc>
        <w:tc>
          <w:tcPr>
            <w:tcW w:w="24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8E66D78">
            <w:pPr>
              <w:pStyle w:val="26"/>
              <w:snapToGrid w:val="0"/>
              <w:jc w:val="left"/>
            </w:pPr>
            <w:r>
              <w:t>SDK</w:t>
            </w:r>
          </w:p>
        </w:tc>
        <w:tc>
          <w:tcPr>
            <w:tcW w:w="255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6CC6E72">
            <w:pPr>
              <w:pStyle w:val="26"/>
              <w:snapToGrid w:val="0"/>
              <w:jc w:val="left"/>
            </w:pPr>
            <w:r>
              <w:t>SDK/API及原始数据</w:t>
            </w:r>
          </w:p>
        </w:tc>
      </w:tr>
      <w:tr w14:paraId="1C68B8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C70BD17">
            <w:pPr>
              <w:pStyle w:val="26"/>
              <w:snapToGrid w:val="0"/>
              <w:jc w:val="left"/>
            </w:pPr>
            <w:r>
              <w:t>主要待确认项</w:t>
            </w:r>
          </w:p>
        </w:tc>
        <w:tc>
          <w:tcPr>
            <w:tcW w:w="20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A64379B">
            <w:pPr>
              <w:pStyle w:val="26"/>
              <w:snapToGrid w:val="0"/>
              <w:jc w:val="left"/>
            </w:pPr>
            <w:r>
              <w:t>声纳关键参数</w:t>
            </w:r>
          </w:p>
        </w:tc>
        <w:tc>
          <w:tcPr>
            <w:tcW w:w="245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7514D81">
            <w:pPr>
              <w:pStyle w:val="26"/>
              <w:snapToGrid w:val="0"/>
              <w:jc w:val="left"/>
            </w:pPr>
            <w:r>
              <w:t>电源转换、续航</w:t>
            </w:r>
          </w:p>
        </w:tc>
        <w:tc>
          <w:tcPr>
            <w:tcW w:w="255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032A30A">
            <w:pPr>
              <w:pStyle w:val="26"/>
              <w:snapToGrid w:val="0"/>
              <w:jc w:val="left"/>
            </w:pPr>
            <w:r>
              <w:t>固定总价、多设备集成</w:t>
            </w:r>
          </w:p>
        </w:tc>
      </w:tr>
    </w:tbl>
    <w:p w14:paraId="501D52BB">
      <w:pPr>
        <w:pStyle w:val="4"/>
        <w:widowControl/>
        <w:rPr>
          <w:rFonts w:ascii="Times New Roman" w:hAnsi="Times New Roman" w:eastAsia="黑体" w:cs="Times New Roman"/>
          <w:b w:val="0"/>
          <w:bCs w:val="0"/>
          <w:sz w:val="30"/>
          <w:szCs w:val="32"/>
        </w:rPr>
      </w:pPr>
      <w:bookmarkStart w:id="41" w:name="_Toc12271"/>
      <w:bookmarkStart w:id="42" w:name="适用范围"/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7.1 适用范围</w:t>
      </w:r>
      <w:bookmarkEnd w:id="41"/>
    </w:p>
    <w:p w14:paraId="74051185">
      <w:pPr>
        <w:pStyle w:val="3"/>
        <w:numPr>
          <w:ilvl w:val="0"/>
          <w:numId w:val="16"/>
        </w:numPr>
        <w:ind w:left="0" w:leftChars="0" w:firstLine="480" w:firstLineChars="0"/>
        <w:rPr>
          <w:rFonts w:hint="eastAsia" w:eastAsia="宋体"/>
          <w:b w:val="0"/>
          <w:bCs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方案一适用于常规水下观察、目标发现和基础数据开发。</w:t>
      </w:r>
    </w:p>
    <w:p w14:paraId="1EF81FEF">
      <w:pPr>
        <w:pStyle w:val="3"/>
        <w:numPr>
          <w:ilvl w:val="0"/>
          <w:numId w:val="16"/>
        </w:numPr>
        <w:ind w:left="0" w:leftChars="0" w:firstLine="480" w:firstLineChars="0"/>
        <w:rPr>
          <w:rFonts w:hint="eastAsia" w:eastAsia="宋体"/>
          <w:b w:val="0"/>
          <w:bCs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方案二适用于对近中距离成像分辨率、水平视场和刷新率有较高要求的任务。</w:t>
      </w:r>
    </w:p>
    <w:p w14:paraId="0E64B1E1">
      <w:pPr>
        <w:pStyle w:val="3"/>
        <w:numPr>
          <w:ilvl w:val="0"/>
          <w:numId w:val="16"/>
        </w:numPr>
        <w:ind w:left="0" w:leftChars="0" w:firstLine="480" w:firstLineChars="0"/>
        <w:rPr>
          <w:rFonts w:hint="eastAsia" w:eastAsia="宋体"/>
          <w:b w:val="0"/>
          <w:bCs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方案三适用于远距离目标搜索、DVL辅助定位、位置保持和多传感器融合开发。</w:t>
      </w:r>
    </w:p>
    <w:bookmarkEnd w:id="40"/>
    <w:bookmarkEnd w:id="42"/>
    <w:p w14:paraId="38C99C0E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eastAsia="黑体"/>
          <w:b w:val="0"/>
          <w:bCs w:val="0"/>
          <w:sz w:val="32"/>
          <w:szCs w:val="44"/>
          <w:bdr w:val="none" w:sz="0" w:space="0"/>
        </w:rPr>
      </w:pPr>
      <w:bookmarkStart w:id="43" w:name="_Toc27821"/>
      <w:bookmarkStart w:id="44" w:name="八采购及合同要求"/>
      <w:r>
        <w:rPr>
          <w:rFonts w:ascii="Times New Roman" w:hAnsi="Times New Roman" w:eastAsia="黑体" w:cs="Times New Roman"/>
          <w:b w:val="0"/>
          <w:bCs w:val="0"/>
          <w:sz w:val="32"/>
          <w:szCs w:val="44"/>
        </w:rPr>
        <w:t>采购及合同要求</w:t>
      </w:r>
      <w:bookmarkEnd w:id="43"/>
    </w:p>
    <w:p w14:paraId="742E8383">
      <w:pPr>
        <w:pStyle w:val="4"/>
        <w:widowControl/>
        <w:numPr>
          <w:ilvl w:val="0"/>
          <w:numId w:val="17"/>
        </w:numPr>
        <w:ind w:left="0" w:leftChars="0" w:firstLine="0" w:firstLineChars="0"/>
        <w:rPr>
          <w:rFonts w:eastAsia="黑体"/>
          <w:b w:val="0"/>
          <w:bCs w:val="0"/>
          <w:sz w:val="30"/>
          <w:szCs w:val="32"/>
          <w:bdr w:val="none" w:sz="0" w:space="0"/>
        </w:rPr>
      </w:pPr>
      <w:bookmarkStart w:id="45" w:name="_Toc26636"/>
      <w:bookmarkStart w:id="46" w:name="询价范围"/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询价范围</w:t>
      </w:r>
      <w:bookmarkEnd w:id="45"/>
    </w:p>
    <w:p w14:paraId="1E46EDE7">
      <w:pPr>
        <w:pStyle w:val="3"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询价文件应按完整可交付系统编制，并至少列明以下项目：</w:t>
      </w:r>
    </w:p>
    <w:p w14:paraId="29019530">
      <w:pPr>
        <w:pStyle w:val="3"/>
        <w:numPr>
          <w:ilvl w:val="0"/>
          <w:numId w:val="18"/>
        </w:numPr>
        <w:ind w:left="0" w:leftChars="0" w:firstLine="480" w:firstLineChars="0"/>
        <w:rPr>
          <w:rFonts w:eastAsia="宋体"/>
          <w:b w:val="0"/>
          <w:bCs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ROV本体、水面控制单元、控制手柄、摄像头、照明、电池或水面供电系统；</w:t>
      </w:r>
    </w:p>
    <w:p w14:paraId="1C801D26">
      <w:pPr>
        <w:pStyle w:val="3"/>
        <w:numPr>
          <w:ilvl w:val="0"/>
          <w:numId w:val="18"/>
        </w:numPr>
        <w:ind w:left="0" w:leftChars="0" w:firstLine="480" w:firstLineChars="0"/>
        <w:rPr>
          <w:rFonts w:hint="eastAsia" w:eastAsia="宋体"/>
          <w:b w:val="0"/>
          <w:bCs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多波束前视声纳的准确型号、频率、耐压等级、线缆长度和软件授权；</w:t>
      </w:r>
    </w:p>
    <w:p w14:paraId="666FA1BB">
      <w:pPr>
        <w:pStyle w:val="3"/>
        <w:numPr>
          <w:ilvl w:val="0"/>
          <w:numId w:val="18"/>
        </w:numPr>
        <w:ind w:left="0" w:leftChars="0" w:firstLine="480" w:firstLineChars="0"/>
        <w:rPr>
          <w:rFonts w:eastAsia="宋体"/>
          <w:b w:val="0"/>
          <w:bCs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DVL型号和耐压版本（仅方案三）；</w:t>
      </w:r>
    </w:p>
    <w:p w14:paraId="27D3DB32">
      <w:pPr>
        <w:pStyle w:val="3"/>
        <w:numPr>
          <w:ilvl w:val="0"/>
          <w:numId w:val="18"/>
        </w:numPr>
        <w:ind w:left="0" w:leftChars="0" w:firstLine="480" w:firstLineChars="0"/>
        <w:rPr>
          <w:rFonts w:hint="eastAsia" w:eastAsia="宋体"/>
          <w:b w:val="0"/>
          <w:bCs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零浮力缆、卷线盘及滑环；</w:t>
      </w:r>
    </w:p>
    <w:p w14:paraId="44F23E47">
      <w:pPr>
        <w:pStyle w:val="3"/>
        <w:numPr>
          <w:ilvl w:val="0"/>
          <w:numId w:val="18"/>
        </w:numPr>
        <w:ind w:left="0" w:leftChars="0" w:firstLine="480" w:firstLineChars="0"/>
        <w:rPr>
          <w:rFonts w:hint="eastAsia" w:eastAsia="宋体"/>
          <w:b w:val="0"/>
          <w:bCs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安装支架、防腐紧固件、浮力材料和配平；</w:t>
      </w:r>
    </w:p>
    <w:p w14:paraId="6FC81ABF">
      <w:pPr>
        <w:pStyle w:val="3"/>
        <w:numPr>
          <w:ilvl w:val="0"/>
          <w:numId w:val="18"/>
        </w:numPr>
        <w:ind w:left="0" w:leftChars="0" w:firstLine="480" w:firstLineChars="0"/>
        <w:rPr>
          <w:rFonts w:eastAsia="宋体"/>
          <w:b w:val="0"/>
          <w:bCs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DC-DC电源、保险/保护、网络交换或透传模块；</w:t>
      </w:r>
    </w:p>
    <w:p w14:paraId="35655871">
      <w:pPr>
        <w:pStyle w:val="3"/>
        <w:numPr>
          <w:ilvl w:val="0"/>
          <w:numId w:val="18"/>
        </w:numPr>
        <w:ind w:left="0" w:leftChars="0" w:firstLine="480" w:firstLineChars="0"/>
        <w:rPr>
          <w:rFonts w:hint="eastAsia" w:eastAsia="宋体"/>
          <w:b w:val="0"/>
          <w:bCs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水密连接器、穿舱件、线缆和备件；</w:t>
      </w:r>
    </w:p>
    <w:p w14:paraId="60A0C5B7">
      <w:pPr>
        <w:pStyle w:val="3"/>
        <w:numPr>
          <w:ilvl w:val="0"/>
          <w:numId w:val="18"/>
        </w:numPr>
        <w:ind w:left="0" w:leftChars="0" w:firstLine="480" w:firstLineChars="0"/>
        <w:rPr>
          <w:rFonts w:hint="eastAsia" w:eastAsia="宋体"/>
          <w:b w:val="0"/>
          <w:bCs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税费、包装、运输、安装、集成、培训和现场/水池联调；</w:t>
      </w:r>
    </w:p>
    <w:p w14:paraId="21AE4464">
      <w:pPr>
        <w:pStyle w:val="3"/>
        <w:numPr>
          <w:ilvl w:val="0"/>
          <w:numId w:val="18"/>
        </w:numPr>
        <w:ind w:left="0" w:leftChars="0" w:firstLine="480" w:firstLineChars="0"/>
        <w:rPr>
          <w:rFonts w:hint="eastAsia" w:eastAsia="宋体"/>
          <w:b w:val="0"/>
          <w:bCs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质保期限、返修响应、软件升级和SDK技术支持。</w:t>
      </w:r>
    </w:p>
    <w:p w14:paraId="4F9C18EF">
      <w:pPr>
        <w:pStyle w:val="3"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报价文件须给出包含全部费用的固定总价。采购总价超过20万元的方案不具备准入条件。</w:t>
      </w:r>
    </w:p>
    <w:bookmarkEnd w:id="46"/>
    <w:p w14:paraId="26629C7D">
      <w:pPr>
        <w:pStyle w:val="4"/>
        <w:widowControl/>
        <w:numPr>
          <w:ilvl w:val="0"/>
          <w:numId w:val="17"/>
        </w:numPr>
        <w:ind w:left="0" w:leftChars="0" w:firstLine="0" w:firstLineChars="0"/>
        <w:rPr>
          <w:rFonts w:eastAsia="黑体"/>
          <w:b w:val="0"/>
          <w:bCs w:val="0"/>
          <w:sz w:val="30"/>
          <w:szCs w:val="32"/>
          <w:bdr w:val="none" w:sz="0" w:space="0"/>
        </w:rPr>
      </w:pPr>
      <w:bookmarkStart w:id="47" w:name="_Toc14680"/>
      <w:bookmarkStart w:id="48" w:name="合同技术附件"/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合同技术附件</w:t>
      </w:r>
      <w:bookmarkEnd w:id="47"/>
    </w:p>
    <w:p w14:paraId="7B13F540">
      <w:pPr>
        <w:pStyle w:val="3"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合同技术附件须逐项约定以下内容，不得仅引用产品宣传资料：</w:t>
      </w:r>
    </w:p>
    <w:p w14:paraId="05ADC937">
      <w:pPr>
        <w:pStyle w:val="3"/>
        <w:numPr>
          <w:ilvl w:val="0"/>
          <w:numId w:val="19"/>
        </w:numPr>
        <w:ind w:left="0" w:leftChars="0" w:firstLine="480" w:firstLineChars="0"/>
        <w:rPr>
          <w:rFonts w:eastAsia="宋体"/>
          <w:b w:val="0"/>
          <w:bCs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系统配置清单及每项品牌、型号、数量、版本和耐压等级。</w:t>
      </w:r>
    </w:p>
    <w:p w14:paraId="20D2163C">
      <w:pPr>
        <w:pStyle w:val="3"/>
        <w:numPr>
          <w:ilvl w:val="0"/>
          <w:numId w:val="19"/>
        </w:numPr>
        <w:ind w:left="0" w:leftChars="0" w:firstLine="480" w:firstLineChars="0"/>
        <w:rPr>
          <w:rFonts w:eastAsia="宋体"/>
          <w:b w:val="0"/>
          <w:bCs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声纳的波束数、频率、水平/垂直视场、量程、距离分辨率、刷新率和盲区。</w:t>
      </w:r>
    </w:p>
    <w:p w14:paraId="58124F4A">
      <w:pPr>
        <w:pStyle w:val="3"/>
        <w:numPr>
          <w:ilvl w:val="0"/>
          <w:numId w:val="19"/>
        </w:numPr>
        <w:ind w:left="0" w:leftChars="0" w:firstLine="480" w:firstLineChars="0"/>
        <w:rPr>
          <w:rFonts w:eastAsia="宋体"/>
          <w:b w:val="0"/>
          <w:bCs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ROV的深度、缆长、负载、速度、续航或连续工作时间。</w:t>
      </w:r>
    </w:p>
    <w:p w14:paraId="089DEB52">
      <w:pPr>
        <w:pStyle w:val="3"/>
        <w:numPr>
          <w:ilvl w:val="0"/>
          <w:numId w:val="19"/>
        </w:numPr>
        <w:ind w:left="0" w:leftChars="0" w:firstLine="480" w:firstLineChars="0"/>
        <w:rPr>
          <w:rFonts w:eastAsia="宋体"/>
          <w:b w:val="0"/>
          <w:bCs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供电电压、平均/峰值功耗、电源保护和总体功率预算。</w:t>
      </w:r>
    </w:p>
    <w:p w14:paraId="5918ADCB">
      <w:pPr>
        <w:pStyle w:val="3"/>
        <w:numPr>
          <w:ilvl w:val="0"/>
          <w:numId w:val="19"/>
        </w:numPr>
        <w:ind w:left="0" w:leftChars="0" w:firstLine="480" w:firstLineChars="0"/>
        <w:rPr>
          <w:rFonts w:eastAsia="宋体"/>
          <w:b w:val="0"/>
          <w:bCs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物理安装图、水密连接定义、网络拓扑和数据接口协议。</w:t>
      </w:r>
    </w:p>
    <w:p w14:paraId="689ACF0D">
      <w:pPr>
        <w:pStyle w:val="3"/>
        <w:numPr>
          <w:ilvl w:val="0"/>
          <w:numId w:val="19"/>
        </w:numPr>
        <w:ind w:left="0" w:leftChars="0" w:firstLine="480" w:firstLineChars="0"/>
        <w:rPr>
          <w:rFonts w:eastAsia="宋体"/>
          <w:b w:val="0"/>
          <w:bCs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SDK/API、原始数据、时间戳、数据记录与回放能力，以及软件授权范围、期限和费用。</w:t>
      </w:r>
    </w:p>
    <w:p w14:paraId="20120CC2">
      <w:pPr>
        <w:pStyle w:val="3"/>
        <w:numPr>
          <w:ilvl w:val="0"/>
          <w:numId w:val="19"/>
        </w:numPr>
        <w:ind w:left="0" w:leftChars="0" w:firstLine="480" w:firstLineChars="0"/>
        <w:rPr>
          <w:rFonts w:eastAsia="宋体"/>
          <w:b w:val="0"/>
          <w:bCs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联调内容、验收方法、不合格处理和总价不得追加的约束。</w:t>
      </w:r>
    </w:p>
    <w:bookmarkEnd w:id="48"/>
    <w:p w14:paraId="25B19C2F">
      <w:pPr>
        <w:pStyle w:val="4"/>
        <w:widowControl/>
        <w:numPr>
          <w:ilvl w:val="0"/>
          <w:numId w:val="17"/>
        </w:numPr>
        <w:ind w:left="0" w:leftChars="0" w:firstLine="0" w:firstLineChars="0"/>
        <w:rPr>
          <w:rFonts w:eastAsia="黑体"/>
          <w:b w:val="0"/>
          <w:bCs w:val="0"/>
          <w:sz w:val="30"/>
          <w:szCs w:val="32"/>
          <w:bdr w:val="none" w:sz="0" w:space="0"/>
        </w:rPr>
      </w:pPr>
      <w:bookmarkStart w:id="49" w:name="_Toc12973"/>
      <w:bookmarkStart w:id="50" w:name="采购阶段划分"/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采购阶段划分</w:t>
      </w:r>
      <w:bookmarkEnd w:id="49"/>
    </w:p>
    <w:p w14:paraId="278821C4">
      <w:pPr>
        <w:pStyle w:val="3"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正式采购前应安排样机演示或系统测试。方案三须在合同签订前验证多设备同时运行条件下的供电容量、通信带宽、时间同步、姿态干扰和浮力配平。</w:t>
      </w:r>
    </w:p>
    <w:bookmarkEnd w:id="44"/>
    <w:bookmarkEnd w:id="50"/>
    <w:p w14:paraId="51C6687D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eastAsia="黑体"/>
          <w:b w:val="0"/>
          <w:bCs w:val="0"/>
          <w:sz w:val="32"/>
          <w:szCs w:val="44"/>
          <w:bdr w:val="none" w:sz="0" w:space="0"/>
        </w:rPr>
      </w:pPr>
      <w:bookmarkStart w:id="51" w:name="_Toc6320"/>
      <w:bookmarkStart w:id="52" w:name="九验收要求"/>
      <w:r>
        <w:rPr>
          <w:rFonts w:ascii="Times New Roman" w:hAnsi="Times New Roman" w:eastAsia="黑体" w:cs="Times New Roman"/>
          <w:b w:val="0"/>
          <w:bCs w:val="0"/>
          <w:sz w:val="32"/>
          <w:szCs w:val="44"/>
        </w:rPr>
        <w:t>验收要求</w:t>
      </w:r>
      <w:bookmarkEnd w:id="51"/>
    </w:p>
    <w:p w14:paraId="60A8EF6C">
      <w:pPr>
        <w:pStyle w:val="4"/>
        <w:widowControl/>
        <w:numPr>
          <w:ilvl w:val="0"/>
          <w:numId w:val="20"/>
        </w:numPr>
        <w:ind w:left="0" w:leftChars="0" w:firstLine="0" w:firstLineChars="0"/>
        <w:rPr>
          <w:rFonts w:eastAsia="黑体"/>
          <w:b w:val="0"/>
          <w:bCs w:val="0"/>
          <w:sz w:val="30"/>
          <w:szCs w:val="32"/>
          <w:bdr w:val="none" w:sz="0" w:space="0"/>
        </w:rPr>
      </w:pPr>
      <w:bookmarkStart w:id="53" w:name="_Toc25494"/>
      <w:bookmarkStart w:id="54" w:name="文件与外观验收"/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文件与外观验收</w:t>
      </w:r>
      <w:bookmarkEnd w:id="53"/>
    </w:p>
    <w:p w14:paraId="27072CCF">
      <w:pPr>
        <w:pStyle w:val="3"/>
        <w:numPr>
          <w:ilvl w:val="0"/>
          <w:numId w:val="21"/>
        </w:numPr>
        <w:ind w:left="0" w:leftChars="0" w:firstLine="480" w:firstLineChars="0"/>
        <w:rPr>
          <w:rFonts w:hint="eastAsia" w:eastAsia="宋体"/>
          <w:b w:val="0"/>
          <w:bCs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核对型号、数量、序列号、耐压版本和交付清单。</w:t>
      </w:r>
    </w:p>
    <w:p w14:paraId="3E5A9EA0">
      <w:pPr>
        <w:pStyle w:val="3"/>
        <w:numPr>
          <w:ilvl w:val="0"/>
          <w:numId w:val="21"/>
        </w:numPr>
        <w:ind w:left="0" w:leftChars="0" w:firstLine="480" w:firstLineChars="0"/>
        <w:rPr>
          <w:rFonts w:hint="eastAsia" w:eastAsia="宋体"/>
          <w:b w:val="0"/>
          <w:bCs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检查密封面、水密接插件、线缆、应力释放、支架和防腐处理。</w:t>
      </w:r>
    </w:p>
    <w:p w14:paraId="0E5E1349">
      <w:pPr>
        <w:pStyle w:val="3"/>
        <w:numPr>
          <w:ilvl w:val="0"/>
          <w:numId w:val="21"/>
        </w:numPr>
        <w:ind w:left="0" w:leftChars="0" w:firstLine="480" w:firstLineChars="0"/>
        <w:rPr>
          <w:rFonts w:hint="eastAsia" w:eastAsia="宋体"/>
          <w:b w:val="0"/>
          <w:bCs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收齐说明书、规格书、安装图、接线图、协议、SDK、授权和质保文件。</w:t>
      </w:r>
    </w:p>
    <w:bookmarkEnd w:id="54"/>
    <w:p w14:paraId="4A741682">
      <w:pPr>
        <w:pStyle w:val="4"/>
        <w:widowControl/>
        <w:numPr>
          <w:ilvl w:val="0"/>
          <w:numId w:val="20"/>
        </w:numPr>
        <w:ind w:left="0" w:leftChars="0" w:firstLine="0" w:firstLineChars="0"/>
        <w:rPr>
          <w:rFonts w:eastAsia="黑体"/>
          <w:b w:val="0"/>
          <w:bCs w:val="0"/>
          <w:sz w:val="30"/>
          <w:szCs w:val="32"/>
          <w:bdr w:val="none" w:sz="0" w:space="0"/>
        </w:rPr>
      </w:pPr>
      <w:bookmarkStart w:id="55" w:name="_Toc29509"/>
      <w:bookmarkStart w:id="56" w:name="水面功能验收"/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水面功能验收</w:t>
      </w:r>
      <w:bookmarkEnd w:id="55"/>
    </w:p>
    <w:p w14:paraId="613FD5B6">
      <w:pPr>
        <w:pStyle w:val="3"/>
        <w:numPr>
          <w:ilvl w:val="0"/>
          <w:numId w:val="22"/>
        </w:numPr>
        <w:ind w:left="0" w:leftChars="0" w:firstLine="480" w:firstLineChars="0"/>
        <w:rPr>
          <w:rFonts w:hint="eastAsia" w:eastAsia="宋体"/>
          <w:b w:val="0"/>
          <w:bCs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完成ROV控制、视频、灯光、姿态、深度和漏水报警测试。</w:t>
      </w:r>
    </w:p>
    <w:p w14:paraId="11A372C9">
      <w:pPr>
        <w:pStyle w:val="3"/>
        <w:numPr>
          <w:ilvl w:val="0"/>
          <w:numId w:val="22"/>
        </w:numPr>
        <w:ind w:left="0" w:leftChars="0" w:firstLine="480" w:firstLineChars="0"/>
        <w:rPr>
          <w:rFonts w:hint="eastAsia" w:eastAsia="宋体"/>
          <w:b w:val="0"/>
          <w:bCs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同时开启摄像头、声纳和DVL，验证通信无持续丢包、供电无重启、软件可记录数据。</w:t>
      </w:r>
    </w:p>
    <w:p w14:paraId="42BB973C">
      <w:pPr>
        <w:pStyle w:val="3"/>
        <w:numPr>
          <w:ilvl w:val="0"/>
          <w:numId w:val="22"/>
        </w:numPr>
        <w:ind w:left="0" w:leftChars="0" w:firstLine="480" w:firstLineChars="0"/>
        <w:rPr>
          <w:rFonts w:hint="eastAsia" w:eastAsia="宋体"/>
          <w:b w:val="0"/>
          <w:bCs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验证原始数据导出、时间戳、回放和SDK示例程序。</w:t>
      </w:r>
    </w:p>
    <w:bookmarkEnd w:id="56"/>
    <w:p w14:paraId="0760C6F8">
      <w:pPr>
        <w:pStyle w:val="4"/>
        <w:widowControl/>
        <w:numPr>
          <w:ilvl w:val="0"/>
          <w:numId w:val="20"/>
        </w:numPr>
        <w:ind w:left="0" w:leftChars="0" w:firstLine="0" w:firstLineChars="0"/>
        <w:rPr>
          <w:rFonts w:eastAsia="黑体"/>
          <w:b w:val="0"/>
          <w:bCs w:val="0"/>
          <w:sz w:val="30"/>
          <w:szCs w:val="32"/>
          <w:bdr w:val="none" w:sz="0" w:space="0"/>
        </w:rPr>
      </w:pPr>
      <w:bookmarkStart w:id="57" w:name="_Toc32135"/>
      <w:bookmarkStart w:id="58" w:name="水池或开放水域验收"/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水池或开放水域验收</w:t>
      </w:r>
      <w:bookmarkEnd w:id="57"/>
    </w:p>
    <w:p w14:paraId="00ABD12B">
      <w:pPr>
        <w:pStyle w:val="3"/>
        <w:numPr>
          <w:ilvl w:val="0"/>
          <w:numId w:val="23"/>
        </w:numPr>
        <w:ind w:left="0" w:leftChars="0" w:firstLine="480" w:firstLineChars="0"/>
        <w:rPr>
          <w:rFonts w:eastAsia="宋体"/>
          <w:b w:val="0"/>
          <w:bCs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ROV完成前后、侧移、升沉、转向、定深和失联保护测试。</w:t>
      </w:r>
    </w:p>
    <w:p w14:paraId="68FCE7E7">
      <w:pPr>
        <w:pStyle w:val="3"/>
        <w:numPr>
          <w:ilvl w:val="0"/>
          <w:numId w:val="23"/>
        </w:numPr>
        <w:ind w:left="0" w:leftChars="0" w:firstLine="480" w:firstLineChars="0"/>
        <w:rPr>
          <w:rFonts w:hint="eastAsia" w:eastAsia="宋体"/>
          <w:b w:val="0"/>
          <w:bCs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使用已知距离和尺寸的目标，分别测试声纳近距盲区、视场覆盖、探测距离、分辨能力和刷新流畅度。</w:t>
      </w:r>
    </w:p>
    <w:p w14:paraId="2D0DC37E">
      <w:pPr>
        <w:pStyle w:val="3"/>
        <w:numPr>
          <w:ilvl w:val="0"/>
          <w:numId w:val="23"/>
        </w:numPr>
        <w:ind w:left="0" w:leftChars="0" w:firstLine="480" w:firstLineChars="0"/>
        <w:rPr>
          <w:rFonts w:hint="eastAsia" w:eastAsia="宋体"/>
          <w:b w:val="0"/>
          <w:bCs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在浑浊或低能见度条件下验证声纳能独立发现并辨识目标轮廓。</w:t>
      </w:r>
    </w:p>
    <w:p w14:paraId="368B7C64">
      <w:pPr>
        <w:pStyle w:val="3"/>
        <w:numPr>
          <w:ilvl w:val="0"/>
          <w:numId w:val="23"/>
        </w:numPr>
        <w:ind w:left="0" w:leftChars="0" w:firstLine="480" w:firstLineChars="0"/>
        <w:rPr>
          <w:rFonts w:hint="eastAsia" w:eastAsia="宋体"/>
          <w:b w:val="0"/>
          <w:bCs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方案三增加DVL离底锁定、速度输出、静止漂移、往返轨迹和与声纳同步记录测试。</w:t>
      </w:r>
    </w:p>
    <w:p w14:paraId="47EE20AB">
      <w:pPr>
        <w:pStyle w:val="3"/>
        <w:numPr>
          <w:ilvl w:val="0"/>
          <w:numId w:val="23"/>
        </w:numPr>
        <w:ind w:left="0" w:leftChars="0" w:firstLine="480" w:firstLineChars="0"/>
        <w:rPr>
          <w:rFonts w:hint="eastAsia" w:eastAsia="宋体"/>
          <w:b w:val="0"/>
          <w:bCs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连续运行试验时间不低于2小时；水面供电方案同时检查供电保护功能和脐带缆温升。</w:t>
      </w:r>
    </w:p>
    <w:bookmarkEnd w:id="58"/>
    <w:p w14:paraId="6A8CAD73">
      <w:pPr>
        <w:pStyle w:val="4"/>
        <w:widowControl/>
        <w:numPr>
          <w:ilvl w:val="0"/>
          <w:numId w:val="20"/>
        </w:numPr>
        <w:ind w:left="0" w:leftChars="0" w:firstLine="0" w:firstLineChars="0"/>
        <w:rPr>
          <w:rFonts w:eastAsia="黑体"/>
          <w:b w:val="0"/>
          <w:bCs w:val="0"/>
          <w:sz w:val="30"/>
          <w:szCs w:val="32"/>
          <w:bdr w:val="none" w:sz="0" w:space="0"/>
        </w:rPr>
      </w:pPr>
      <w:bookmarkStart w:id="59" w:name="_Toc21375"/>
      <w:bookmarkStart w:id="60" w:name="验收判定"/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验收判定</w:t>
      </w:r>
      <w:bookmarkEnd w:id="59"/>
    </w:p>
    <w:p w14:paraId="008FE694">
      <w:pPr>
        <w:pStyle w:val="3"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以合同技术附件中的指标和测试方法为准。任何候选方案如不能证明声纳为多波束前视成像体制，或完整交付总费用超过20万元，均不得通过采购审批。</w:t>
      </w:r>
    </w:p>
    <w:p w14:paraId="53BF2F84">
      <w:pPr>
        <w:sectPr>
          <w:cols w:space="720" w:num="1"/>
        </w:sectPr>
      </w:pPr>
    </w:p>
    <w:p w14:paraId="040CEF36"/>
    <w:bookmarkEnd w:id="2"/>
    <w:bookmarkEnd w:id="52"/>
    <w:bookmarkEnd w:id="60"/>
    <w:p w14:paraId="6523467F">
      <w:pPr>
        <w:pStyle w:val="73"/>
        <w:widowControl/>
        <w:rPr>
          <w:rFonts w:ascii="Times New Roman" w:hAnsi="Times New Roman" w:eastAsia="黑体" w:cs="Times New Roman"/>
          <w:b w:val="0"/>
          <w:bCs w:val="0"/>
          <w:sz w:val="36"/>
          <w:szCs w:val="44"/>
        </w:rPr>
      </w:pPr>
      <w:bookmarkStart w:id="61" w:name="_Toc20811"/>
      <w:bookmarkStart w:id="62" w:name="附件arov平台参数对比"/>
      <w:r>
        <w:rPr>
          <w:rFonts w:ascii="Times New Roman" w:hAnsi="Times New Roman" w:eastAsia="黑体" w:cs="Times New Roman"/>
          <w:b w:val="0"/>
          <w:bCs w:val="0"/>
          <w:sz w:val="36"/>
          <w:szCs w:val="44"/>
        </w:rPr>
        <w:t>附件A：ROV平台参数对比</w:t>
      </w:r>
      <w:bookmarkEnd w:id="61"/>
    </w:p>
    <w:tbl>
      <w:tblPr>
        <w:tblStyle w:val="31"/>
        <w:tblW w:w="10831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2"/>
        <w:gridCol w:w="925"/>
        <w:gridCol w:w="1002"/>
        <w:gridCol w:w="936"/>
        <w:gridCol w:w="1177"/>
        <w:gridCol w:w="982"/>
        <w:gridCol w:w="1482"/>
        <w:gridCol w:w="1058"/>
        <w:gridCol w:w="1907"/>
      </w:tblGrid>
      <w:tr w14:paraId="17295F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362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B18BD8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型号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83991D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参考报价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E96CD7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深度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A6BC45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负载</w:t>
            </w:r>
          </w:p>
        </w:tc>
        <w:tc>
          <w:tcPr>
            <w:tcW w:w="117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A3EC29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推进器</w:t>
            </w:r>
          </w:p>
        </w:tc>
        <w:tc>
          <w:tcPr>
            <w:tcW w:w="98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5FC12E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速度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5AF57F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供电/续航</w:t>
            </w:r>
          </w:p>
        </w:tc>
        <w:tc>
          <w:tcPr>
            <w:tcW w:w="105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C7C0B6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标配缆</w:t>
            </w:r>
          </w:p>
        </w:tc>
        <w:tc>
          <w:tcPr>
            <w:tcW w:w="190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FCED50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选型说明</w:t>
            </w:r>
          </w:p>
        </w:tc>
      </w:tr>
      <w:tr w14:paraId="585CA9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6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5C1DF8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BlueROV2 Standard（大连报价）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8263BA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4.30万元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77D4CC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100m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D0E594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3kg</w:t>
            </w:r>
          </w:p>
        </w:tc>
        <w:tc>
          <w:tcPr>
            <w:tcW w:w="117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518646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6×350W</w:t>
            </w:r>
          </w:p>
        </w:tc>
        <w:tc>
          <w:tcPr>
            <w:tcW w:w="9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467F77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1.5m/s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70EADF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资料未注明</w:t>
            </w:r>
          </w:p>
        </w:tc>
        <w:tc>
          <w:tcPr>
            <w:tcW w:w="10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CE63FD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100m</w:t>
            </w:r>
          </w:p>
        </w:tc>
        <w:tc>
          <w:tcPr>
            <w:tcW w:w="190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3FC2B6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与Heavy价差仅0.4万元，载荷和垂向推力较低</w:t>
            </w:r>
          </w:p>
        </w:tc>
      </w:tr>
      <w:tr w14:paraId="74C2CE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6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E4C3C2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BlueROV2 Heavy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C25E2E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4.70万元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EE0A62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100m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0DB25F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5kg</w:t>
            </w:r>
          </w:p>
        </w:tc>
        <w:tc>
          <w:tcPr>
            <w:tcW w:w="117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FFADB4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8×350W</w:t>
            </w:r>
          </w:p>
        </w:tc>
        <w:tc>
          <w:tcPr>
            <w:tcW w:w="9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2ADCED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1.5m/s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07C804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现有资料未注明</w:t>
            </w:r>
          </w:p>
        </w:tc>
        <w:tc>
          <w:tcPr>
            <w:tcW w:w="10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46AEC6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100m</w:t>
            </w:r>
          </w:p>
        </w:tc>
        <w:tc>
          <w:tcPr>
            <w:tcW w:w="190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072B3E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方案二采用，具有5kg标称负载</w:t>
            </w:r>
          </w:p>
        </w:tc>
      </w:tr>
      <w:tr w14:paraId="083218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6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361DA3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BlueROV2 Standard（鳌海报价）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0D42A4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6.80万元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A3C8D9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现有资料载明300m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ACF55D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现有资料载明1kg</w:t>
            </w:r>
          </w:p>
        </w:tc>
        <w:tc>
          <w:tcPr>
            <w:tcW w:w="117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D1A2FA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未细列</w:t>
            </w:r>
          </w:p>
        </w:tc>
        <w:tc>
          <w:tcPr>
            <w:tcW w:w="9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93BAD3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1.5m/s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1465D2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现有资料载明约3h</w:t>
            </w:r>
          </w:p>
        </w:tc>
        <w:tc>
          <w:tcPr>
            <w:tcW w:w="10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3CB16F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100m</w:t>
            </w:r>
          </w:p>
        </w:tc>
        <w:tc>
          <w:tcPr>
            <w:tcW w:w="190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5C839B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与大连报价的配置口径不同，须按详细配置单比价</w:t>
            </w:r>
          </w:p>
        </w:tc>
      </w:tr>
      <w:tr w14:paraId="0A92CA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6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3CAEF9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HX-300-S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3A484A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3.88～4.28万元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E01BF2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300m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2EC61A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10kg</w:t>
            </w:r>
          </w:p>
        </w:tc>
        <w:tc>
          <w:tcPr>
            <w:tcW w:w="117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FE8438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6台</w:t>
            </w:r>
          </w:p>
        </w:tc>
        <w:tc>
          <w:tcPr>
            <w:tcW w:w="9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57C405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4节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1910F0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220VAC水面连续供电</w:t>
            </w:r>
          </w:p>
        </w:tc>
        <w:tc>
          <w:tcPr>
            <w:tcW w:w="10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06340C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100m</w:t>
            </w:r>
          </w:p>
        </w:tc>
        <w:tc>
          <w:tcPr>
            <w:tcW w:w="190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168E6A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方案一、三采用；标称负载10kg</w:t>
            </w:r>
          </w:p>
        </w:tc>
      </w:tr>
      <w:tr w14:paraId="694F70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6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987134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HX-300-B</w:t>
            </w:r>
          </w:p>
        </w:tc>
        <w:tc>
          <w:tcPr>
            <w:tcW w:w="92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D90B48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3.88～5.88万元</w:t>
            </w:r>
          </w:p>
        </w:tc>
        <w:tc>
          <w:tcPr>
            <w:tcW w:w="100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1BA12B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300m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8804D8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10kg</w:t>
            </w:r>
          </w:p>
        </w:tc>
        <w:tc>
          <w:tcPr>
            <w:tcW w:w="117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E0AB0D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6台</w:t>
            </w:r>
          </w:p>
        </w:tc>
        <w:tc>
          <w:tcPr>
            <w:tcW w:w="9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CDA990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4节</w:t>
            </w:r>
          </w:p>
        </w:tc>
        <w:tc>
          <w:tcPr>
            <w:tcW w:w="14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DEF018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内置电池，2.5～8h</w:t>
            </w:r>
          </w:p>
        </w:tc>
        <w:tc>
          <w:tcPr>
            <w:tcW w:w="105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1F0703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100m</w:t>
            </w:r>
          </w:p>
        </w:tc>
        <w:tc>
          <w:tcPr>
            <w:tcW w:w="190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302AF8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无稳定市电或便携作业条件下可替代HX-300-S</w:t>
            </w:r>
          </w:p>
        </w:tc>
      </w:tr>
    </w:tbl>
    <w:p w14:paraId="4900FD3D">
      <w:pPr>
        <w:pStyle w:val="3"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说明：两份BlueROV2 Standard资料在报价、深度、重量和负载上存在明显口径差异，正式比价时必须索取逐项配置单，不能只按产品名称判断。</w:t>
      </w:r>
    </w:p>
    <w:bookmarkEnd w:id="62"/>
    <w:p w14:paraId="6FD1B18D">
      <w:pPr>
        <w:pStyle w:val="73"/>
        <w:widowControl/>
        <w:rPr>
          <w:rFonts w:ascii="Times New Roman" w:hAnsi="Times New Roman" w:eastAsia="黑体" w:cs="Times New Roman"/>
          <w:b w:val="0"/>
          <w:bCs w:val="0"/>
          <w:sz w:val="36"/>
          <w:szCs w:val="44"/>
        </w:rPr>
      </w:pPr>
      <w:bookmarkStart w:id="63" w:name="_Toc32507"/>
      <w:bookmarkStart w:id="64" w:name="附件b多波束前视声纳参数对比"/>
      <w:r>
        <w:rPr>
          <w:rFonts w:ascii="Times New Roman" w:hAnsi="Times New Roman" w:eastAsia="黑体" w:cs="Times New Roman"/>
          <w:b w:val="0"/>
          <w:bCs w:val="0"/>
          <w:sz w:val="36"/>
          <w:szCs w:val="44"/>
        </w:rPr>
        <w:br w:type="page"/>
      </w:r>
      <w:r>
        <w:rPr>
          <w:rFonts w:ascii="Times New Roman" w:hAnsi="Times New Roman" w:eastAsia="黑体" w:cs="Times New Roman"/>
          <w:b w:val="0"/>
          <w:bCs w:val="0"/>
          <w:sz w:val="36"/>
          <w:szCs w:val="44"/>
        </w:rPr>
        <w:t>附件B：多波束前视声纳参数对比</w:t>
      </w:r>
      <w:bookmarkEnd w:id="63"/>
    </w:p>
    <w:tbl>
      <w:tblPr>
        <w:tblStyle w:val="31"/>
        <w:tblW w:w="15195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8"/>
        <w:gridCol w:w="1295"/>
        <w:gridCol w:w="1884"/>
        <w:gridCol w:w="1337"/>
        <w:gridCol w:w="1328"/>
        <w:gridCol w:w="1040"/>
        <w:gridCol w:w="1400"/>
        <w:gridCol w:w="1337"/>
        <w:gridCol w:w="1211"/>
        <w:gridCol w:w="1505"/>
        <w:gridCol w:w="1760"/>
      </w:tblGrid>
      <w:tr w14:paraId="3B3190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4" w:hRule="atLeast"/>
          <w:tblHeader/>
          <w:jc w:val="center"/>
        </w:trPr>
        <w:tc>
          <w:tcPr>
            <w:tcW w:w="109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FB8851">
            <w:pPr>
              <w:pStyle w:val="2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型号</w:t>
            </w:r>
          </w:p>
        </w:tc>
        <w:tc>
          <w:tcPr>
            <w:tcW w:w="129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DB81C9">
            <w:pPr>
              <w:pStyle w:val="2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参考报价</w:t>
            </w:r>
          </w:p>
        </w:tc>
        <w:tc>
          <w:tcPr>
            <w:tcW w:w="188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E5E28A">
            <w:pPr>
              <w:pStyle w:val="2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频率</w:t>
            </w:r>
          </w:p>
        </w:tc>
        <w:tc>
          <w:tcPr>
            <w:tcW w:w="133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84072A">
            <w:pPr>
              <w:pStyle w:val="2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最大距离</w:t>
            </w:r>
          </w:p>
        </w:tc>
        <w:tc>
          <w:tcPr>
            <w:tcW w:w="132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EDA439">
            <w:pPr>
              <w:pStyle w:val="2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波束数</w:t>
            </w:r>
          </w:p>
        </w:tc>
        <w:tc>
          <w:tcPr>
            <w:tcW w:w="104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396C9">
            <w:pPr>
              <w:pStyle w:val="2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水平视场</w:t>
            </w:r>
          </w:p>
        </w:tc>
        <w:tc>
          <w:tcPr>
            <w:tcW w:w="140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DC25F5">
            <w:pPr>
              <w:pStyle w:val="2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垂直视场</w:t>
            </w:r>
          </w:p>
        </w:tc>
        <w:tc>
          <w:tcPr>
            <w:tcW w:w="133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1F5E53">
            <w:pPr>
              <w:pStyle w:val="2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距离分辨率</w:t>
            </w:r>
          </w:p>
        </w:tc>
        <w:tc>
          <w:tcPr>
            <w:tcW w:w="121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321533">
            <w:pPr>
              <w:pStyle w:val="2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最大刷新率</w:t>
            </w:r>
          </w:p>
        </w:tc>
        <w:tc>
          <w:tcPr>
            <w:tcW w:w="150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819225">
            <w:pPr>
              <w:pStyle w:val="2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耐压深度</w:t>
            </w:r>
          </w:p>
        </w:tc>
        <w:tc>
          <w:tcPr>
            <w:tcW w:w="176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ACB653">
            <w:pPr>
              <w:pStyle w:val="2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结论</w:t>
            </w:r>
          </w:p>
        </w:tc>
      </w:tr>
      <w:tr w14:paraId="3ED635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6" w:hRule="atLeast"/>
          <w:jc w:val="center"/>
        </w:trPr>
        <w:tc>
          <w:tcPr>
            <w:tcW w:w="10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F1C6DE">
            <w:pPr>
              <w:pStyle w:val="2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Omniscan 450FS</w:t>
            </w:r>
          </w:p>
        </w:tc>
        <w:tc>
          <w:tcPr>
            <w:tcW w:w="129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8209D8">
            <w:pPr>
              <w:pStyle w:val="26"/>
              <w:keepNext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2.20万元（100m版）</w:t>
            </w:r>
          </w:p>
        </w:tc>
        <w:tc>
          <w:tcPr>
            <w:tcW w:w="18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0B239E">
            <w:pPr>
              <w:pStyle w:val="2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450kHz</w:t>
            </w:r>
          </w:p>
        </w:tc>
        <w:tc>
          <w:tcPr>
            <w:tcW w:w="133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25EFC3">
            <w:pPr>
              <w:pStyle w:val="2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100m</w:t>
            </w:r>
          </w:p>
        </w:tc>
        <w:tc>
          <w:tcPr>
            <w:tcW w:w="132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5CFF68">
            <w:pPr>
              <w:pStyle w:val="2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供确认</w:t>
            </w:r>
          </w:p>
        </w:tc>
        <w:tc>
          <w:tcPr>
            <w:tcW w:w="10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DECA43">
            <w:pPr>
              <w:pStyle w:val="2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供确认</w:t>
            </w: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9C5BFE">
            <w:pPr>
              <w:pStyle w:val="2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波束高度50°</w:t>
            </w:r>
          </w:p>
        </w:tc>
        <w:tc>
          <w:tcPr>
            <w:tcW w:w="133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A2F69D">
            <w:pPr>
              <w:pStyle w:val="2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最高为量程1/1200</w:t>
            </w:r>
          </w:p>
        </w:tc>
        <w:tc>
          <w:tcPr>
            <w:tcW w:w="12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EE26CD">
            <w:pPr>
              <w:pStyle w:val="2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供确认</w:t>
            </w:r>
          </w:p>
        </w:tc>
        <w:tc>
          <w:tcPr>
            <w:tcW w:w="150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2094DE">
            <w:pPr>
              <w:pStyle w:val="2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100/300m</w:t>
            </w:r>
          </w:p>
        </w:tc>
        <w:tc>
          <w:tcPr>
            <w:tcW w:w="176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1D747B">
            <w:pPr>
              <w:pStyle w:val="2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方案一采用；多波束关键指标列为合同确认项</w:t>
            </w:r>
          </w:p>
        </w:tc>
      </w:tr>
      <w:tr w14:paraId="132C12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9" w:hRule="atLeast"/>
          <w:jc w:val="center"/>
        </w:trPr>
        <w:tc>
          <w:tcPr>
            <w:tcW w:w="10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C44F76">
            <w:pPr>
              <w:pStyle w:val="2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SV1216</w:t>
            </w:r>
          </w:p>
        </w:tc>
        <w:tc>
          <w:tcPr>
            <w:tcW w:w="129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8FEC19">
            <w:pPr>
              <w:pStyle w:val="26"/>
              <w:keepNext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3.50万元</w:t>
            </w:r>
          </w:p>
        </w:tc>
        <w:tc>
          <w:tcPr>
            <w:tcW w:w="18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008CDB">
            <w:pPr>
              <w:pStyle w:val="2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700/900/1200kHz单频</w:t>
            </w:r>
          </w:p>
        </w:tc>
        <w:tc>
          <w:tcPr>
            <w:tcW w:w="133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7F211B">
            <w:pPr>
              <w:pStyle w:val="2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80/60/50m</w:t>
            </w:r>
          </w:p>
        </w:tc>
        <w:tc>
          <w:tcPr>
            <w:tcW w:w="132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935B16">
            <w:pPr>
              <w:pStyle w:val="2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256</w:t>
            </w:r>
          </w:p>
        </w:tc>
        <w:tc>
          <w:tcPr>
            <w:tcW w:w="10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73E608">
            <w:pPr>
              <w:pStyle w:val="2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100°</w:t>
            </w: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8A09E8">
            <w:pPr>
              <w:pStyle w:val="2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20°（部分版本12°）</w:t>
            </w:r>
          </w:p>
        </w:tc>
        <w:tc>
          <w:tcPr>
            <w:tcW w:w="133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68DFB5">
            <w:pPr>
              <w:pStyle w:val="2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5mm</w:t>
            </w:r>
          </w:p>
        </w:tc>
        <w:tc>
          <w:tcPr>
            <w:tcW w:w="12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43C49E">
            <w:pPr>
              <w:pStyle w:val="2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25Hz</w:t>
            </w:r>
          </w:p>
        </w:tc>
        <w:tc>
          <w:tcPr>
            <w:tcW w:w="150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595D0D">
            <w:pPr>
              <w:pStyle w:val="2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100m</w:t>
            </w:r>
          </w:p>
        </w:tc>
        <w:tc>
          <w:tcPr>
            <w:tcW w:w="176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1CF516">
            <w:pPr>
              <w:pStyle w:val="2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方案一的替代声纳</w:t>
            </w:r>
          </w:p>
        </w:tc>
      </w:tr>
      <w:tr w14:paraId="75964E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2" w:hRule="atLeast"/>
          <w:jc w:val="center"/>
        </w:trPr>
        <w:tc>
          <w:tcPr>
            <w:tcW w:w="10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7D12AB">
            <w:pPr>
              <w:pStyle w:val="2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Echo</w:t>
            </w:r>
          </w:p>
        </w:tc>
        <w:tc>
          <w:tcPr>
            <w:tcW w:w="129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1A525A">
            <w:pPr>
              <w:pStyle w:val="26"/>
              <w:keepNext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7.40万元</w:t>
            </w:r>
          </w:p>
        </w:tc>
        <w:tc>
          <w:tcPr>
            <w:tcW w:w="18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C51A5F">
            <w:pPr>
              <w:pStyle w:val="2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400/700kHz双频</w:t>
            </w:r>
          </w:p>
        </w:tc>
        <w:tc>
          <w:tcPr>
            <w:tcW w:w="133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019A3B">
            <w:pPr>
              <w:pStyle w:val="2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200/50m</w:t>
            </w:r>
          </w:p>
        </w:tc>
        <w:tc>
          <w:tcPr>
            <w:tcW w:w="132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6217DD">
            <w:pPr>
              <w:pStyle w:val="2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256</w:t>
            </w:r>
          </w:p>
        </w:tc>
        <w:tc>
          <w:tcPr>
            <w:tcW w:w="10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82552D">
            <w:pPr>
              <w:pStyle w:val="2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90°/120°</w:t>
            </w: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B3066E">
            <w:pPr>
              <w:pStyle w:val="2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20°</w:t>
            </w:r>
          </w:p>
        </w:tc>
        <w:tc>
          <w:tcPr>
            <w:tcW w:w="133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3B0A56">
            <w:pPr>
              <w:pStyle w:val="2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&lt;8mm</w:t>
            </w:r>
          </w:p>
        </w:tc>
        <w:tc>
          <w:tcPr>
            <w:tcW w:w="12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C44752">
            <w:pPr>
              <w:pStyle w:val="2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25Hz</w:t>
            </w:r>
          </w:p>
        </w:tc>
        <w:tc>
          <w:tcPr>
            <w:tcW w:w="150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62B737">
            <w:pPr>
              <w:pStyle w:val="2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350m</w:t>
            </w:r>
          </w:p>
        </w:tc>
        <w:tc>
          <w:tcPr>
            <w:tcW w:w="176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EAC895">
            <w:pPr>
              <w:pStyle w:val="2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方案三采用；低频最大量程200m</w:t>
            </w:r>
          </w:p>
        </w:tc>
      </w:tr>
      <w:tr w14:paraId="79C87E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  <w:jc w:val="center"/>
        </w:trPr>
        <w:tc>
          <w:tcPr>
            <w:tcW w:w="10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216C30">
            <w:pPr>
              <w:pStyle w:val="2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SV1213</w:t>
            </w:r>
          </w:p>
        </w:tc>
        <w:tc>
          <w:tcPr>
            <w:tcW w:w="129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D4CCC1">
            <w:pPr>
              <w:pStyle w:val="26"/>
              <w:keepNext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8.00万元</w:t>
            </w:r>
          </w:p>
        </w:tc>
        <w:tc>
          <w:tcPr>
            <w:tcW w:w="18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8EB169">
            <w:pPr>
              <w:pStyle w:val="2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375～1200kHz，可单/双频</w:t>
            </w:r>
          </w:p>
        </w:tc>
        <w:tc>
          <w:tcPr>
            <w:tcW w:w="133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A49D31">
            <w:pPr>
              <w:pStyle w:val="2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最高200m；拟选双频120/50m</w:t>
            </w:r>
          </w:p>
        </w:tc>
        <w:tc>
          <w:tcPr>
            <w:tcW w:w="132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19C070">
            <w:pPr>
              <w:pStyle w:val="2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768</w:t>
            </w:r>
          </w:p>
        </w:tc>
        <w:tc>
          <w:tcPr>
            <w:tcW w:w="10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ECE74F">
            <w:pPr>
              <w:pStyle w:val="2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140°</w:t>
            </w: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8B4768">
            <w:pPr>
              <w:pStyle w:val="2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依频率9～30°</w:t>
            </w:r>
          </w:p>
        </w:tc>
        <w:tc>
          <w:tcPr>
            <w:tcW w:w="133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64C8BA">
            <w:pPr>
              <w:pStyle w:val="2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2.5mm</w:t>
            </w:r>
          </w:p>
        </w:tc>
        <w:tc>
          <w:tcPr>
            <w:tcW w:w="12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9EE2C3">
            <w:pPr>
              <w:pStyle w:val="2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40Hz</w:t>
            </w:r>
          </w:p>
        </w:tc>
        <w:tc>
          <w:tcPr>
            <w:tcW w:w="150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F761AE">
            <w:pPr>
              <w:pStyle w:val="2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300/500/1500m</w:t>
            </w:r>
          </w:p>
        </w:tc>
        <w:tc>
          <w:tcPr>
            <w:tcW w:w="176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99496B">
            <w:pPr>
              <w:pStyle w:val="2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方案二采用</w:t>
            </w:r>
          </w:p>
        </w:tc>
      </w:tr>
      <w:tr w14:paraId="76D705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13" w:hRule="atLeast"/>
          <w:jc w:val="center"/>
        </w:trPr>
        <w:tc>
          <w:tcPr>
            <w:tcW w:w="10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3192BF">
            <w:pPr>
              <w:pStyle w:val="2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SV1203</w:t>
            </w:r>
          </w:p>
        </w:tc>
        <w:tc>
          <w:tcPr>
            <w:tcW w:w="129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4EDCDF">
            <w:pPr>
              <w:pStyle w:val="26"/>
              <w:keepNext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12.50万元</w:t>
            </w:r>
          </w:p>
        </w:tc>
        <w:tc>
          <w:tcPr>
            <w:tcW w:w="18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B77766">
            <w:pPr>
              <w:pStyle w:val="2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375～2100kHz，多种单/双频</w:t>
            </w:r>
          </w:p>
        </w:tc>
        <w:tc>
          <w:tcPr>
            <w:tcW w:w="133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744FE6">
            <w:pPr>
              <w:pStyle w:val="2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最高200m；0712型120/60m</w:t>
            </w:r>
          </w:p>
        </w:tc>
        <w:tc>
          <w:tcPr>
            <w:tcW w:w="132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554192">
            <w:pPr>
              <w:pStyle w:val="2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768</w:t>
            </w:r>
          </w:p>
        </w:tc>
        <w:tc>
          <w:tcPr>
            <w:tcW w:w="10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74BC71">
            <w:pPr>
              <w:pStyle w:val="2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SV1203E 160°；EL 140°</w:t>
            </w: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FC4C18">
            <w:pPr>
              <w:pStyle w:val="2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依频率9～30°</w:t>
            </w:r>
          </w:p>
        </w:tc>
        <w:tc>
          <w:tcPr>
            <w:tcW w:w="133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CED177">
            <w:pPr>
              <w:pStyle w:val="2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2.5mm</w:t>
            </w:r>
          </w:p>
        </w:tc>
        <w:tc>
          <w:tcPr>
            <w:tcW w:w="12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03B3A6">
            <w:pPr>
              <w:pStyle w:val="2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40Hz</w:t>
            </w:r>
          </w:p>
        </w:tc>
        <w:tc>
          <w:tcPr>
            <w:tcW w:w="150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FC6974">
            <w:pPr>
              <w:pStyle w:val="2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300/500/1500m</w:t>
            </w:r>
          </w:p>
        </w:tc>
        <w:tc>
          <w:tcPr>
            <w:tcW w:w="176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E7FA07">
            <w:pPr>
              <w:pStyle w:val="2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性能高，可选被动测向；价格增益需结合任务论证</w:t>
            </w:r>
          </w:p>
        </w:tc>
      </w:tr>
      <w:tr w14:paraId="5EE8D0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4" w:hRule="atLeast"/>
          <w:jc w:val="center"/>
        </w:trPr>
        <w:tc>
          <w:tcPr>
            <w:tcW w:w="109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179F4C">
            <w:pPr>
              <w:pStyle w:val="2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A750d</w:t>
            </w:r>
          </w:p>
        </w:tc>
        <w:tc>
          <w:tcPr>
            <w:tcW w:w="129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EEAD24">
            <w:pPr>
              <w:pStyle w:val="26"/>
              <w:keepNext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15.00万元</w:t>
            </w:r>
          </w:p>
        </w:tc>
        <w:tc>
          <w:tcPr>
            <w:tcW w:w="188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1ED9F6">
            <w:pPr>
              <w:pStyle w:val="2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750/1200kHz双频</w:t>
            </w:r>
          </w:p>
        </w:tc>
        <w:tc>
          <w:tcPr>
            <w:tcW w:w="133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D3D1EE">
            <w:pPr>
              <w:pStyle w:val="2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120/40m</w:t>
            </w:r>
          </w:p>
        </w:tc>
        <w:tc>
          <w:tcPr>
            <w:tcW w:w="132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1C8E82">
            <w:pPr>
              <w:pStyle w:val="2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512</w:t>
            </w:r>
          </w:p>
        </w:tc>
        <w:tc>
          <w:tcPr>
            <w:tcW w:w="104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C3B5DD">
            <w:pPr>
              <w:pStyle w:val="2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130°</w:t>
            </w: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6CBF4C">
            <w:pPr>
              <w:pStyle w:val="2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20°</w:t>
            </w:r>
          </w:p>
        </w:tc>
        <w:tc>
          <w:tcPr>
            <w:tcW w:w="133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D58094">
            <w:pPr>
              <w:pStyle w:val="2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4/2.5mm</w:t>
            </w:r>
          </w:p>
        </w:tc>
        <w:tc>
          <w:tcPr>
            <w:tcW w:w="121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0EB871">
            <w:pPr>
              <w:pStyle w:val="2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40Hz</w:t>
            </w:r>
          </w:p>
        </w:tc>
        <w:tc>
          <w:tcPr>
            <w:tcW w:w="15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B5AB39">
            <w:pPr>
              <w:pStyle w:val="2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300m</w:t>
            </w:r>
          </w:p>
        </w:tc>
        <w:tc>
          <w:tcPr>
            <w:tcW w:w="176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D49EB3">
            <w:pPr>
              <w:pStyle w:val="2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未列入候选配置；参考报价高于其余声纳</w:t>
            </w:r>
          </w:p>
        </w:tc>
      </w:tr>
    </w:tbl>
    <w:p w14:paraId="5C9FD0A3">
      <w:pPr>
        <w:pStyle w:val="3"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注：SV1203、SV1213的最大距离随频率和版本变化，表中“最高200m”对应低频版本，不能与推荐双频版本的高频精细成像距离混用。</w:t>
      </w:r>
    </w:p>
    <w:bookmarkEnd w:id="64"/>
    <w:p w14:paraId="51FFE0D1">
      <w:pPr>
        <w:pStyle w:val="73"/>
        <w:widowControl/>
        <w:rPr>
          <w:rFonts w:ascii="Times New Roman" w:hAnsi="Times New Roman" w:eastAsia="黑体" w:cs="Times New Roman"/>
          <w:b w:val="0"/>
          <w:bCs w:val="0"/>
          <w:sz w:val="36"/>
          <w:szCs w:val="44"/>
        </w:rPr>
      </w:pPr>
      <w:bookmarkStart w:id="65" w:name="_Toc19997"/>
      <w:bookmarkStart w:id="66" w:name="附件c其他传感器与选配件"/>
      <w:r>
        <w:rPr>
          <w:rFonts w:ascii="Times New Roman" w:hAnsi="Times New Roman" w:eastAsia="黑体" w:cs="Times New Roman"/>
          <w:b w:val="0"/>
          <w:bCs w:val="0"/>
          <w:sz w:val="36"/>
          <w:szCs w:val="44"/>
        </w:rPr>
        <w:t>附件C：其他传感器与选配件</w:t>
      </w:r>
      <w:bookmarkEnd w:id="65"/>
    </w:p>
    <w:p w14:paraId="498D39A2">
      <w:pPr>
        <w:pStyle w:val="2"/>
        <w:widowControl/>
        <w:numPr>
          <w:ilvl w:val="0"/>
          <w:numId w:val="24"/>
        </w:numPr>
        <w:ind w:left="0" w:leftChars="0" w:firstLine="0" w:firstLineChars="0"/>
        <w:rPr>
          <w:rFonts w:eastAsia="黑体"/>
          <w:b w:val="0"/>
          <w:bCs w:val="0"/>
          <w:sz w:val="32"/>
          <w:szCs w:val="44"/>
          <w:bdr w:val="none" w:sz="0" w:space="0"/>
        </w:rPr>
      </w:pPr>
      <w:bookmarkStart w:id="67" w:name="_Toc12242"/>
      <w:bookmarkStart w:id="68" w:name="c.1-dvl-a50"/>
      <w:r>
        <w:rPr>
          <w:rFonts w:ascii="Times New Roman" w:hAnsi="Times New Roman" w:eastAsia="黑体" w:cs="Times New Roman"/>
          <w:b w:val="0"/>
          <w:bCs w:val="0"/>
          <w:sz w:val="32"/>
          <w:szCs w:val="44"/>
        </w:rPr>
        <w:t>DVL A50</w:t>
      </w:r>
      <w:bookmarkEnd w:id="67"/>
    </w:p>
    <w:p w14:paraId="3F0B172E">
      <w:pPr>
        <w:pStyle w:val="3"/>
        <w:numPr>
          <w:ilvl w:val="0"/>
          <w:numId w:val="25"/>
        </w:numPr>
        <w:ind w:left="0" w:leftChars="0" w:firstLine="480" w:firstLineChars="0"/>
        <w:rPr>
          <w:rFonts w:hint="eastAsia" w:eastAsia="宋体"/>
          <w:b w:val="0"/>
          <w:bCs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参考报价：7.20万元（300m版）。</w:t>
      </w:r>
    </w:p>
    <w:p w14:paraId="58DB690A">
      <w:pPr>
        <w:pStyle w:val="3"/>
        <w:numPr>
          <w:ilvl w:val="0"/>
          <w:numId w:val="25"/>
        </w:numPr>
        <w:ind w:left="0" w:leftChars="0" w:firstLine="480" w:firstLineChars="0"/>
        <w:rPr>
          <w:rFonts w:hint="eastAsia" w:eastAsia="宋体"/>
          <w:b w:val="0"/>
          <w:bCs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频率：1MHz，四束Janus阵列。</w:t>
      </w:r>
    </w:p>
    <w:p w14:paraId="3AC8241D">
      <w:pPr>
        <w:pStyle w:val="3"/>
        <w:numPr>
          <w:ilvl w:val="0"/>
          <w:numId w:val="25"/>
        </w:numPr>
        <w:ind w:left="0" w:leftChars="0" w:firstLine="480" w:firstLineChars="0"/>
        <w:rPr>
          <w:rFonts w:hint="eastAsia" w:eastAsia="宋体"/>
          <w:b w:val="0"/>
          <w:bCs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工作高度：约0.05～50m。</w:t>
      </w:r>
    </w:p>
    <w:p w14:paraId="3F6D32A5">
      <w:pPr>
        <w:pStyle w:val="3"/>
        <w:numPr>
          <w:ilvl w:val="0"/>
          <w:numId w:val="25"/>
        </w:numPr>
        <w:ind w:left="0" w:leftChars="0" w:firstLine="480" w:firstLineChars="0"/>
        <w:rPr>
          <w:rFonts w:hint="eastAsia" w:eastAsia="宋体"/>
          <w:b w:val="0"/>
          <w:bCs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最大速度：3.75m/s；速度分辨率0.1mm/s；长期精度±1.01%。</w:t>
      </w:r>
    </w:p>
    <w:p w14:paraId="1A64E2DC">
      <w:pPr>
        <w:pStyle w:val="3"/>
        <w:numPr>
          <w:ilvl w:val="0"/>
          <w:numId w:val="25"/>
        </w:numPr>
        <w:ind w:left="0" w:leftChars="0" w:firstLine="480" w:firstLineChars="0"/>
        <w:rPr>
          <w:rFonts w:hint="eastAsia" w:eastAsia="宋体"/>
          <w:b w:val="0"/>
          <w:bCs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平均功耗约4W；10～30V输入；支持UART和以太网。</w:t>
      </w:r>
    </w:p>
    <w:p w14:paraId="708F775D">
      <w:pPr>
        <w:pStyle w:val="3"/>
        <w:numPr>
          <w:ilvl w:val="0"/>
          <w:numId w:val="25"/>
        </w:numPr>
        <w:ind w:left="0" w:leftChars="0" w:firstLine="480" w:firstLineChars="0"/>
        <w:rPr>
          <w:rFonts w:hint="eastAsia" w:eastAsia="宋体"/>
          <w:b w:val="0"/>
          <w:bCs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主要价值：提供相对海底速度观测，辅助位置保持、轨迹推算和声纳数据配准。</w:t>
      </w:r>
    </w:p>
    <w:p w14:paraId="7252AC53">
      <w:pPr>
        <w:pStyle w:val="3"/>
        <w:numPr>
          <w:ilvl w:val="0"/>
          <w:numId w:val="25"/>
        </w:numPr>
        <w:ind w:left="0" w:leftChars="0" w:firstLine="480" w:firstLineChars="0"/>
        <w:rPr>
          <w:rFonts w:hint="eastAsia" w:eastAsia="宋体"/>
          <w:b w:val="0"/>
          <w:bCs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限制：它不能替代前视成像声纳，也不能在超过有效离底高度或无法锁底时保证速度输出。</w:t>
      </w:r>
    </w:p>
    <w:bookmarkEnd w:id="68"/>
    <w:p w14:paraId="44762253">
      <w:pPr>
        <w:pStyle w:val="2"/>
        <w:widowControl/>
        <w:numPr>
          <w:ilvl w:val="0"/>
          <w:numId w:val="24"/>
        </w:numPr>
        <w:ind w:left="0" w:leftChars="0" w:firstLine="0" w:firstLineChars="0"/>
        <w:rPr>
          <w:rFonts w:eastAsia="黑体"/>
          <w:b w:val="0"/>
          <w:bCs w:val="0"/>
          <w:sz w:val="32"/>
          <w:szCs w:val="44"/>
          <w:bdr w:val="none" w:sz="0" w:space="0"/>
        </w:rPr>
      </w:pPr>
      <w:bookmarkStart w:id="69" w:name="_Toc22103"/>
      <w:bookmarkStart w:id="70" w:name="c.2-ai-d双目深度摄像机"/>
      <w:r>
        <w:rPr>
          <w:rFonts w:ascii="Times New Roman" w:hAnsi="Times New Roman" w:eastAsia="黑体" w:cs="Times New Roman"/>
          <w:b w:val="0"/>
          <w:bCs w:val="0"/>
          <w:sz w:val="32"/>
          <w:szCs w:val="44"/>
        </w:rPr>
        <w:t>AI-D双目深度摄像机</w:t>
      </w:r>
      <w:bookmarkEnd w:id="69"/>
    </w:p>
    <w:p w14:paraId="2EA911E8">
      <w:pPr>
        <w:pStyle w:val="3"/>
        <w:numPr>
          <w:ilvl w:val="0"/>
          <w:numId w:val="26"/>
        </w:numPr>
        <w:ind w:left="0" w:leftChars="0" w:firstLine="480" w:firstLineChars="0"/>
        <w:rPr>
          <w:rFonts w:hint="eastAsia" w:eastAsia="宋体"/>
          <w:b w:val="0"/>
          <w:bCs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参考报价：1.44万元。</w:t>
      </w:r>
    </w:p>
    <w:p w14:paraId="721069AF">
      <w:pPr>
        <w:pStyle w:val="3"/>
        <w:numPr>
          <w:ilvl w:val="0"/>
          <w:numId w:val="26"/>
        </w:numPr>
        <w:ind w:left="0" w:leftChars="0" w:firstLine="480" w:firstLineChars="0"/>
        <w:rPr>
          <w:rFonts w:eastAsia="宋体"/>
          <w:b w:val="0"/>
          <w:bCs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300m耐压，PoE供电，支持ROS/Python/C++。</w:t>
      </w:r>
    </w:p>
    <w:p w14:paraId="65EA9BE0">
      <w:pPr>
        <w:pStyle w:val="3"/>
        <w:numPr>
          <w:ilvl w:val="0"/>
          <w:numId w:val="26"/>
        </w:numPr>
        <w:ind w:left="0" w:leftChars="0" w:firstLine="480" w:firstLineChars="0"/>
        <w:rPr>
          <w:rFonts w:hint="eastAsia" w:eastAsia="宋体"/>
          <w:b w:val="0"/>
          <w:bCs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当前不列入三套候选配置。浑浊水体会限制光学深度测量距离，且方案三增加该设备后将超过20万元采购总价上限。后续如存在近距离视觉测量需求，应单独开展配置和预算论证。</w:t>
      </w:r>
    </w:p>
    <w:bookmarkEnd w:id="70"/>
    <w:p w14:paraId="710B5631">
      <w:pPr>
        <w:pStyle w:val="2"/>
        <w:widowControl/>
        <w:numPr>
          <w:ilvl w:val="0"/>
          <w:numId w:val="24"/>
        </w:numPr>
        <w:ind w:left="0" w:leftChars="0" w:firstLine="0" w:firstLineChars="0"/>
        <w:rPr>
          <w:rFonts w:eastAsia="黑体"/>
          <w:b w:val="0"/>
          <w:bCs w:val="0"/>
          <w:sz w:val="32"/>
          <w:szCs w:val="44"/>
          <w:bdr w:val="none" w:sz="0" w:space="0"/>
        </w:rPr>
      </w:pPr>
      <w:bookmarkStart w:id="71" w:name="_Toc5388"/>
      <w:bookmarkStart w:id="72" w:name="c.3-p360扫描成像声纳"/>
      <w:r>
        <w:rPr>
          <w:rFonts w:ascii="Times New Roman" w:hAnsi="Times New Roman" w:eastAsia="黑体" w:cs="Times New Roman"/>
          <w:b w:val="0"/>
          <w:bCs w:val="0"/>
          <w:sz w:val="32"/>
          <w:szCs w:val="44"/>
        </w:rPr>
        <w:t>P360扫描成像声纳</w:t>
      </w:r>
      <w:bookmarkEnd w:id="71"/>
    </w:p>
    <w:p w14:paraId="0101512D">
      <w:pPr>
        <w:pStyle w:val="3"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P360参考报价3.50万元，采用机械360°扫描成像方式。虽然可用于导航、避障和目标定位，但它不满足本项目“必须采用多波束前视声纳”的硬性条件，因此不得作为三套候选方案的主声纳；如有全周扫描需求，只能作为额外选件，并仍受20万元总预算限制。</w:t>
      </w:r>
    </w:p>
    <w:bookmarkEnd w:id="66"/>
    <w:bookmarkEnd w:id="72"/>
    <w:p w14:paraId="25212A04">
      <w:pPr>
        <w:pStyle w:val="73"/>
        <w:widowControl/>
        <w:rPr>
          <w:rFonts w:ascii="Times New Roman" w:hAnsi="Times New Roman" w:eastAsia="黑体" w:cs="Times New Roman"/>
          <w:b w:val="0"/>
          <w:bCs w:val="0"/>
          <w:sz w:val="36"/>
          <w:szCs w:val="44"/>
        </w:rPr>
      </w:pPr>
      <w:bookmarkStart w:id="73" w:name="_Toc17039"/>
      <w:bookmarkStart w:id="74" w:name="附件d接口与集成核对表"/>
      <w:r>
        <w:rPr>
          <w:rFonts w:ascii="Times New Roman" w:hAnsi="Times New Roman" w:eastAsia="黑体" w:cs="Times New Roman"/>
          <w:b w:val="0"/>
          <w:bCs w:val="0"/>
          <w:sz w:val="36"/>
          <w:szCs w:val="44"/>
        </w:rPr>
        <w:t>附件D：接口与集成核对表</w:t>
      </w:r>
      <w:bookmarkEnd w:id="73"/>
    </w:p>
    <w:tbl>
      <w:tblPr>
        <w:tblStyle w:val="31"/>
        <w:tblW w:w="1317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8"/>
        <w:gridCol w:w="3850"/>
        <w:gridCol w:w="3610"/>
        <w:gridCol w:w="4258"/>
      </w:tblGrid>
      <w:tr w14:paraId="450448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5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1509B5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核对项</w:t>
            </w:r>
          </w:p>
        </w:tc>
        <w:tc>
          <w:tcPr>
            <w:tcW w:w="385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E0CFF8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方案一</w:t>
            </w:r>
          </w:p>
        </w:tc>
        <w:tc>
          <w:tcPr>
            <w:tcW w:w="361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84BDAD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方案二</w:t>
            </w:r>
          </w:p>
        </w:tc>
        <w:tc>
          <w:tcPr>
            <w:tcW w:w="425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7FEDD7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方案三</w:t>
            </w:r>
          </w:p>
        </w:tc>
      </w:tr>
      <w:tr w14:paraId="4E35B8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5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518D68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声纳供电</w:t>
            </w:r>
          </w:p>
        </w:tc>
        <w:tc>
          <w:tcPr>
            <w:tcW w:w="385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83A547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Omniscan 10～30V；确认ROV侧独立稳压输出</w:t>
            </w:r>
          </w:p>
        </w:tc>
        <w:tc>
          <w:tcPr>
            <w:tcW w:w="36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336CE1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SV1213需18～50V；必须配置隔离升压</w:t>
            </w:r>
          </w:p>
        </w:tc>
        <w:tc>
          <w:tcPr>
            <w:tcW w:w="42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7BD135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Echo 11～28V；确认稳压与峰值功耗</w:t>
            </w:r>
          </w:p>
        </w:tc>
      </w:tr>
      <w:tr w14:paraId="303312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5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539074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DVL供电</w:t>
            </w:r>
          </w:p>
        </w:tc>
        <w:tc>
          <w:tcPr>
            <w:tcW w:w="385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3E1502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不适用</w:t>
            </w:r>
          </w:p>
        </w:tc>
        <w:tc>
          <w:tcPr>
            <w:tcW w:w="36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C9C465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不适用</w:t>
            </w:r>
          </w:p>
        </w:tc>
        <w:tc>
          <w:tcPr>
            <w:tcW w:w="42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391E70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A50需10～30V，开机瞬时功率需留裕量</w:t>
            </w:r>
          </w:p>
        </w:tc>
      </w:tr>
      <w:tr w14:paraId="390C42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5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BA1125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数据链路</w:t>
            </w:r>
          </w:p>
        </w:tc>
        <w:tc>
          <w:tcPr>
            <w:tcW w:w="385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7393C9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声纳以太网透传至水面端</w:t>
            </w:r>
          </w:p>
        </w:tc>
        <w:tc>
          <w:tcPr>
            <w:tcW w:w="36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FF4F1F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声纳百兆以太网透传至水面端</w:t>
            </w:r>
          </w:p>
        </w:tc>
        <w:tc>
          <w:tcPr>
            <w:tcW w:w="42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445FBC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Echo和DVL同时接入，核对交换机、带宽和IP配置</w:t>
            </w:r>
          </w:p>
        </w:tc>
      </w:tr>
      <w:tr w14:paraId="38AB44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5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71F579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水密连接</w:t>
            </w:r>
          </w:p>
        </w:tc>
        <w:tc>
          <w:tcPr>
            <w:tcW w:w="385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D047D9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明确连接器、穿舱件和线缆长度</w:t>
            </w:r>
          </w:p>
        </w:tc>
        <w:tc>
          <w:tcPr>
            <w:tcW w:w="36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E6076B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明确6/8芯连接器版本及针脚</w:t>
            </w:r>
          </w:p>
        </w:tc>
        <w:tc>
          <w:tcPr>
            <w:tcW w:w="42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D0BD8E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Echo、DVL分别确认连接器和应力释放</w:t>
            </w:r>
          </w:p>
        </w:tc>
      </w:tr>
      <w:tr w14:paraId="78A174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5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9515ED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机械安装</w:t>
            </w:r>
          </w:p>
        </w:tc>
        <w:tc>
          <w:tcPr>
            <w:tcW w:w="385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076C8E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确保视场无遮挡并可调整俯仰角</w:t>
            </w:r>
          </w:p>
        </w:tc>
        <w:tc>
          <w:tcPr>
            <w:tcW w:w="36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7FCF3B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支架、配平及推进器水流干扰检查</w:t>
            </w:r>
          </w:p>
        </w:tc>
        <w:tc>
          <w:tcPr>
            <w:tcW w:w="42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1AC7AF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声纳前视、DVL朝底，分别校准安装角</w:t>
            </w:r>
          </w:p>
        </w:tc>
      </w:tr>
      <w:tr w14:paraId="1003D7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5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B8AD80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时间同步</w:t>
            </w:r>
          </w:p>
        </w:tc>
        <w:tc>
          <w:tcPr>
            <w:tcW w:w="385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5BD07B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核对原始数据时间戳</w:t>
            </w:r>
          </w:p>
        </w:tc>
        <w:tc>
          <w:tcPr>
            <w:tcW w:w="36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7A54E8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核对SDK时间戳/同步接口选件</w:t>
            </w:r>
          </w:p>
        </w:tc>
        <w:tc>
          <w:tcPr>
            <w:tcW w:w="42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F6E3B8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统一ROV、声纳、DVL和IMU时钟或记录时钟偏差</w:t>
            </w:r>
          </w:p>
        </w:tc>
      </w:tr>
      <w:tr w14:paraId="099E49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5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B18DCC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软件交付</w:t>
            </w:r>
          </w:p>
        </w:tc>
        <w:tc>
          <w:tcPr>
            <w:tcW w:w="3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DEE4EE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协议、SDK、ROS2驱动和示例数据</w:t>
            </w:r>
          </w:p>
        </w:tc>
        <w:tc>
          <w:tcPr>
            <w:tcW w:w="361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E7FE29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SapphireViewer、SDK和示例数据</w:t>
            </w:r>
          </w:p>
        </w:tc>
        <w:tc>
          <w:tcPr>
            <w:tcW w:w="425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7D568F">
            <w:pPr>
              <w:pStyle w:val="26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Echo SDK/API、DVL API/PD6及联合记录程序</w:t>
            </w:r>
          </w:p>
        </w:tc>
      </w:tr>
      <w:bookmarkEnd w:id="74"/>
    </w:tbl>
    <w:p w14:paraId="1CBEC861">
      <w:pPr>
        <w:pStyle w:val="73"/>
        <w:widowControl/>
        <w:rPr>
          <w:rFonts w:ascii="Times New Roman" w:hAnsi="Times New Roman" w:eastAsia="黑体" w:cs="Times New Roman"/>
          <w:b w:val="0"/>
          <w:bCs w:val="0"/>
          <w:sz w:val="36"/>
          <w:szCs w:val="44"/>
        </w:rPr>
      </w:pPr>
      <w:bookmarkStart w:id="75" w:name="_Toc15317"/>
      <w:bookmarkStart w:id="76" w:name="附件e价格依据与待确认事项"/>
      <w:r>
        <w:rPr>
          <w:rFonts w:ascii="Times New Roman" w:hAnsi="Times New Roman" w:eastAsia="黑体" w:cs="Times New Roman"/>
          <w:b w:val="0"/>
          <w:bCs w:val="0"/>
          <w:sz w:val="36"/>
          <w:szCs w:val="44"/>
        </w:rPr>
        <w:br w:type="page"/>
      </w:r>
      <w:r>
        <w:rPr>
          <w:rFonts w:ascii="Times New Roman" w:hAnsi="Times New Roman" w:eastAsia="黑体" w:cs="Times New Roman"/>
          <w:b w:val="0"/>
          <w:bCs w:val="0"/>
          <w:sz w:val="36"/>
          <w:szCs w:val="44"/>
        </w:rPr>
        <w:t>附件E：价格依据与待确认事项</w:t>
      </w:r>
      <w:bookmarkEnd w:id="75"/>
    </w:p>
    <w:p w14:paraId="4E6B7910">
      <w:pPr>
        <w:pStyle w:val="2"/>
        <w:widowControl/>
        <w:numPr>
          <w:ilvl w:val="0"/>
          <w:numId w:val="27"/>
        </w:numPr>
        <w:ind w:left="0" w:leftChars="0" w:firstLine="0" w:firstLineChars="0"/>
        <w:rPr>
          <w:rFonts w:eastAsia="黑体"/>
          <w:b w:val="0"/>
          <w:bCs w:val="0"/>
          <w:sz w:val="32"/>
          <w:szCs w:val="44"/>
          <w:bdr w:val="none" w:sz="0" w:space="0"/>
        </w:rPr>
      </w:pPr>
      <w:bookmarkStart w:id="77" w:name="_Toc20098"/>
      <w:bookmarkStart w:id="78" w:name="e.1-价格依据"/>
      <w:r>
        <w:rPr>
          <w:rFonts w:ascii="Times New Roman" w:hAnsi="Times New Roman" w:eastAsia="黑体" w:cs="Times New Roman"/>
          <w:b w:val="0"/>
          <w:bCs w:val="0"/>
          <w:sz w:val="32"/>
          <w:szCs w:val="44"/>
        </w:rPr>
        <w:t>价格依据</w:t>
      </w:r>
      <w:bookmarkEnd w:id="77"/>
    </w:p>
    <w:p w14:paraId="16C9D8EB">
      <w:pPr>
        <w:pStyle w:val="3"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本方案采用以下内部资料所载价格：</w:t>
      </w:r>
    </w:p>
    <w:p w14:paraId="18E3B4EA">
      <w:pPr>
        <w:pStyle w:val="3"/>
        <w:numPr>
          <w:ilvl w:val="0"/>
          <w:numId w:val="28"/>
        </w:numPr>
        <w:ind w:left="0" w:leftChars="0" w:firstLine="480" w:firstLineChars="0"/>
        <w:rPr>
          <w:rFonts w:eastAsia="宋体"/>
          <w:b w:val="0"/>
          <w:bCs w:val="0"/>
          <w:sz w:val="24"/>
          <w:szCs w:val="24"/>
          <w:bdr w:val="none" w:sz="0" w:space="0"/>
        </w:rPr>
      </w:pPr>
      <w:r>
        <w:rPr>
          <w:rStyle w:val="38"/>
          <w:rFonts w:ascii="Times New Roman" w:hAnsi="Times New Roman" w:eastAsia="宋体" w:cs="Times New Roman"/>
          <w:b w:val="0"/>
          <w:bCs w:val="0"/>
          <w:sz w:val="24"/>
          <w:szCs w:val="24"/>
        </w:rPr>
        <w:t>ROV选型采购方案.md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：BlueROV2 Standard、A750d、P360报价及参数。</w:t>
      </w:r>
    </w:p>
    <w:p w14:paraId="7424CBC7">
      <w:pPr>
        <w:pStyle w:val="3"/>
        <w:numPr>
          <w:ilvl w:val="0"/>
          <w:numId w:val="28"/>
        </w:numPr>
        <w:ind w:left="0" w:leftChars="0" w:firstLine="480" w:firstLineChars="0"/>
        <w:rPr>
          <w:rFonts w:eastAsia="宋体"/>
          <w:b w:val="0"/>
          <w:bCs w:val="0"/>
          <w:sz w:val="24"/>
          <w:szCs w:val="24"/>
          <w:bdr w:val="none" w:sz="0" w:space="0"/>
        </w:rPr>
      </w:pPr>
      <w:r>
        <w:rPr>
          <w:rStyle w:val="38"/>
          <w:rFonts w:ascii="Times New Roman" w:hAnsi="Times New Roman" w:eastAsia="宋体" w:cs="Times New Roman"/>
          <w:b w:val="0"/>
          <w:bCs w:val="0"/>
          <w:sz w:val="24"/>
          <w:szCs w:val="24"/>
        </w:rPr>
        <w:t>大连探索海洋ROV方案/ROV选型采购方案.md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：BlueROV2 Standard/Heavy及SV1203、SV1213、SV1216报价与参数。</w:t>
      </w:r>
    </w:p>
    <w:p w14:paraId="6641C4EE">
      <w:pPr>
        <w:pStyle w:val="3"/>
        <w:numPr>
          <w:ilvl w:val="0"/>
          <w:numId w:val="28"/>
        </w:numPr>
        <w:ind w:left="0" w:leftChars="0" w:firstLine="480" w:firstLineChars="0"/>
        <w:rPr>
          <w:rFonts w:eastAsia="宋体"/>
          <w:b w:val="0"/>
          <w:bCs w:val="0"/>
          <w:sz w:val="24"/>
          <w:szCs w:val="24"/>
          <w:bdr w:val="none" w:sz="0" w:space="0"/>
        </w:rPr>
      </w:pPr>
      <w:r>
        <w:rPr>
          <w:rStyle w:val="38"/>
          <w:rFonts w:ascii="Times New Roman" w:hAnsi="Times New Roman" w:eastAsia="宋体" w:cs="Times New Roman"/>
          <w:b w:val="0"/>
          <w:bCs w:val="0"/>
          <w:sz w:val="24"/>
          <w:szCs w:val="24"/>
        </w:rPr>
        <w:t>查湃方案/方案二_查湃全套方案.md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：HX-300-S/HX-300-B、Omniscan 450FS、Echo、DVL A50及其他选件报价与参数。</w:t>
      </w:r>
    </w:p>
    <w:bookmarkEnd w:id="78"/>
    <w:p w14:paraId="65390EEA">
      <w:pPr>
        <w:pStyle w:val="2"/>
        <w:widowControl/>
        <w:numPr>
          <w:ilvl w:val="0"/>
          <w:numId w:val="27"/>
        </w:numPr>
        <w:ind w:left="0" w:leftChars="0" w:firstLine="0" w:firstLineChars="0"/>
        <w:rPr>
          <w:rFonts w:eastAsia="黑体"/>
          <w:b w:val="0"/>
          <w:bCs w:val="0"/>
          <w:sz w:val="32"/>
          <w:szCs w:val="44"/>
          <w:bdr w:val="none" w:sz="0" w:space="0"/>
        </w:rPr>
      </w:pPr>
      <w:bookmarkStart w:id="79" w:name="_Toc20269"/>
      <w:bookmarkStart w:id="80" w:name="e.2-必须向供应商确认"/>
      <w:r>
        <w:rPr>
          <w:rFonts w:ascii="Times New Roman" w:hAnsi="Times New Roman" w:eastAsia="黑体" w:cs="Times New Roman"/>
          <w:b w:val="0"/>
          <w:bCs w:val="0"/>
          <w:sz w:val="32"/>
          <w:szCs w:val="44"/>
        </w:rPr>
        <w:t>必须向供应商确认</w:t>
      </w:r>
      <w:bookmarkEnd w:id="79"/>
    </w:p>
    <w:p w14:paraId="5CB94377">
      <w:pPr>
        <w:pStyle w:val="3"/>
        <w:numPr>
          <w:ilvl w:val="0"/>
          <w:numId w:val="29"/>
        </w:numPr>
        <w:ind w:left="0" w:leftChars="0" w:firstLine="480" w:firstLineChars="0"/>
        <w:rPr>
          <w:rFonts w:hint="eastAsia" w:eastAsia="宋体"/>
          <w:b w:val="0"/>
          <w:bCs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报价是否含税、税率、运费、保险、现场服务和培训。</w:t>
      </w:r>
    </w:p>
    <w:p w14:paraId="26046D2C">
      <w:pPr>
        <w:pStyle w:val="3"/>
        <w:numPr>
          <w:ilvl w:val="0"/>
          <w:numId w:val="29"/>
        </w:numPr>
        <w:ind w:left="0" w:leftChars="0" w:firstLine="480" w:firstLineChars="0"/>
        <w:rPr>
          <w:rFonts w:hint="eastAsia" w:eastAsia="宋体"/>
          <w:b w:val="0"/>
          <w:bCs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报价有效期、交货周期、付款节点和质保期限。</w:t>
      </w:r>
    </w:p>
    <w:p w14:paraId="187EDA50">
      <w:pPr>
        <w:pStyle w:val="3"/>
        <w:numPr>
          <w:ilvl w:val="0"/>
          <w:numId w:val="29"/>
        </w:numPr>
        <w:ind w:left="0" w:leftChars="0" w:firstLine="480" w:firstLineChars="0"/>
        <w:rPr>
          <w:rFonts w:eastAsia="宋体"/>
          <w:b w:val="0"/>
          <w:bCs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ROV与声纳具体耐压版本、缆长和连接器是否包含在报价内。</w:t>
      </w:r>
    </w:p>
    <w:p w14:paraId="4CC3AD32">
      <w:pPr>
        <w:pStyle w:val="3"/>
        <w:numPr>
          <w:ilvl w:val="0"/>
          <w:numId w:val="29"/>
        </w:numPr>
        <w:ind w:left="0" w:leftChars="0" w:firstLine="480" w:firstLineChars="0"/>
        <w:rPr>
          <w:rFonts w:eastAsia="宋体"/>
          <w:b w:val="0"/>
          <w:bCs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Omniscan的波束数、总视场、刷新率和多波束体制证明。</w:t>
      </w:r>
    </w:p>
    <w:p w14:paraId="54137367">
      <w:pPr>
        <w:pStyle w:val="3"/>
        <w:numPr>
          <w:ilvl w:val="0"/>
          <w:numId w:val="29"/>
        </w:numPr>
        <w:ind w:left="0" w:leftChars="0" w:firstLine="480" w:firstLineChars="0"/>
        <w:rPr>
          <w:rFonts w:eastAsia="宋体"/>
          <w:b w:val="0"/>
          <w:bCs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SV1213的8万元报价所对应的频率、单/双频、外壳和耐压版本。</w:t>
      </w:r>
    </w:p>
    <w:p w14:paraId="560954CE">
      <w:pPr>
        <w:pStyle w:val="3"/>
        <w:numPr>
          <w:ilvl w:val="0"/>
          <w:numId w:val="29"/>
        </w:numPr>
        <w:ind w:left="0" w:leftChars="0" w:firstLine="480" w:firstLineChars="0"/>
        <w:rPr>
          <w:rFonts w:eastAsia="宋体"/>
          <w:b w:val="0"/>
          <w:bCs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BlueROV2 Heavy的电池、充电器、续航、卷线盘和水面端配置。</w:t>
      </w:r>
    </w:p>
    <w:p w14:paraId="2DA924FC">
      <w:pPr>
        <w:pStyle w:val="3"/>
        <w:numPr>
          <w:ilvl w:val="0"/>
          <w:numId w:val="29"/>
        </w:numPr>
        <w:ind w:left="0" w:leftChars="0" w:firstLine="480" w:firstLineChars="0"/>
        <w:rPr>
          <w:rFonts w:eastAsia="宋体"/>
          <w:b w:val="0"/>
          <w:bCs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Echo和DVL报价是否包含ROV集成线缆、软件授权和技术支持。</w:t>
      </w:r>
    </w:p>
    <w:p w14:paraId="393F6C33">
      <w:pPr>
        <w:pStyle w:val="3"/>
        <w:numPr>
          <w:ilvl w:val="0"/>
          <w:numId w:val="29"/>
        </w:numPr>
        <w:ind w:left="0" w:leftChars="0" w:firstLine="480" w:firstLineChars="0"/>
        <w:rPr>
          <w:rFonts w:hint="eastAsia" w:eastAsia="宋体"/>
          <w:b w:val="0"/>
          <w:bCs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所有设备能否输出带时间戳的原始数据，以及SDK/API是否有二次费用。</w:t>
      </w:r>
    </w:p>
    <w:p w14:paraId="027E9715">
      <w:pPr>
        <w:pStyle w:val="3"/>
        <w:numPr>
          <w:ilvl w:val="0"/>
          <w:numId w:val="29"/>
        </w:numPr>
        <w:ind w:left="0" w:leftChars="0" w:firstLine="480" w:firstLineChars="0"/>
        <w:rPr>
          <w:rFonts w:hint="eastAsia" w:eastAsia="宋体"/>
          <w:b w:val="0"/>
          <w:bCs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整机联调后是否仍满足负载、配平、稳定性、通信和连续运行要求。</w:t>
      </w:r>
    </w:p>
    <w:bookmarkEnd w:id="80"/>
    <w:p w14:paraId="2E777000">
      <w:pPr>
        <w:pStyle w:val="2"/>
        <w:widowControl/>
        <w:numPr>
          <w:ilvl w:val="0"/>
          <w:numId w:val="27"/>
        </w:numPr>
        <w:ind w:left="0" w:leftChars="0" w:firstLine="0" w:firstLineChars="0"/>
        <w:rPr>
          <w:rFonts w:eastAsia="黑体"/>
          <w:b w:val="0"/>
          <w:bCs w:val="0"/>
          <w:sz w:val="32"/>
          <w:szCs w:val="44"/>
          <w:bdr w:val="none" w:sz="0" w:space="0"/>
        </w:rPr>
      </w:pPr>
      <w:bookmarkStart w:id="81" w:name="_Toc18053"/>
      <w:bookmarkStart w:id="82" w:name="e.3-预算控制原则"/>
      <w:r>
        <w:rPr>
          <w:rFonts w:ascii="Times New Roman" w:hAnsi="Times New Roman" w:eastAsia="黑体" w:cs="Times New Roman"/>
          <w:b w:val="0"/>
          <w:bCs w:val="0"/>
          <w:sz w:val="32"/>
          <w:szCs w:val="44"/>
        </w:rPr>
        <w:t>预算控制原则</w:t>
      </w:r>
      <w:bookmarkEnd w:id="81"/>
    </w:p>
    <w:p w14:paraId="6D0AC981">
      <w:pPr>
        <w:pStyle w:val="3"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最终审批以供应商正式固定总价报价为准。当前资料中未明确的费用应计入配套费用预算，或由供应商在固定总价中承担。任一方案的最终采购总价超过20万元时，应通过取消非必要选配、采用规定的替代配置或重新议价将总价调整至20万元以内，不得通过追加项目预算执行采购。</w:t>
      </w:r>
    </w:p>
    <w:bookmarkEnd w:id="76"/>
    <w:bookmarkEnd w:id="82"/>
    <w:sectPr>
      <w:pgSz w:w="15840" w:h="12240" w:orient="landscape"/>
      <w:pgMar w:top="1800" w:right="1440" w:bottom="180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72620C"/>
    <w:multiLevelType w:val="singleLevel"/>
    <w:tmpl w:val="8272620C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">
    <w:nsid w:val="90D17C44"/>
    <w:multiLevelType w:val="singleLevel"/>
    <w:tmpl w:val="90D17C44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2">
    <w:nsid w:val="95680FB4"/>
    <w:multiLevelType w:val="singleLevel"/>
    <w:tmpl w:val="95680FB4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3">
    <w:nsid w:val="95B94BF0"/>
    <w:multiLevelType w:val="singleLevel"/>
    <w:tmpl w:val="95B94BF0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4">
    <w:nsid w:val="966B1EE7"/>
    <w:multiLevelType w:val="singleLevel"/>
    <w:tmpl w:val="966B1EE7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5">
    <w:nsid w:val="96C4956A"/>
    <w:multiLevelType w:val="singleLevel"/>
    <w:tmpl w:val="96C4956A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6">
    <w:nsid w:val="993106C9"/>
    <w:multiLevelType w:val="singleLevel"/>
    <w:tmpl w:val="993106C9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7">
    <w:nsid w:val="9DAC1CF0"/>
    <w:multiLevelType w:val="singleLevel"/>
    <w:tmpl w:val="9DAC1CF0"/>
    <w:lvl w:ilvl="0" w:tentative="0">
      <w:start w:val="1"/>
      <w:numFmt w:val="decimal"/>
      <w:suff w:val="space"/>
      <w:lvlText w:val="8.%1"/>
      <w:lvlJc w:val="left"/>
      <w:pPr>
        <w:ind w:left="0" w:firstLine="0"/>
      </w:pPr>
      <w:rPr>
        <w:rFonts w:hint="default"/>
      </w:rPr>
    </w:lvl>
  </w:abstractNum>
  <w:abstractNum w:abstractNumId="8">
    <w:nsid w:val="AA6B8B7E"/>
    <w:multiLevelType w:val="singleLevel"/>
    <w:tmpl w:val="AA6B8B7E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9">
    <w:nsid w:val="AE39ED99"/>
    <w:multiLevelType w:val="singleLevel"/>
    <w:tmpl w:val="AE39ED99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10">
    <w:nsid w:val="BA044294"/>
    <w:multiLevelType w:val="singleLevel"/>
    <w:tmpl w:val="BA044294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1">
    <w:nsid w:val="C727D8B3"/>
    <w:multiLevelType w:val="singleLevel"/>
    <w:tmpl w:val="C727D8B3"/>
    <w:lvl w:ilvl="0" w:tentative="0">
      <w:start w:val="1"/>
      <w:numFmt w:val="decimal"/>
      <w:suff w:val="space"/>
      <w:lvlText w:val="C.%1"/>
      <w:lvlJc w:val="left"/>
      <w:pPr>
        <w:ind w:left="0" w:firstLine="0"/>
      </w:pPr>
      <w:rPr>
        <w:rFonts w:hint="default"/>
      </w:rPr>
    </w:lvl>
  </w:abstractNum>
  <w:abstractNum w:abstractNumId="12">
    <w:nsid w:val="CC0ED12F"/>
    <w:multiLevelType w:val="singleLevel"/>
    <w:tmpl w:val="CC0ED12F"/>
    <w:lvl w:ilvl="0" w:tentative="0">
      <w:start w:val="1"/>
      <w:numFmt w:val="decimal"/>
      <w:suff w:val="space"/>
      <w:lvlText w:val="6.%1"/>
      <w:lvlJc w:val="left"/>
      <w:pPr>
        <w:ind w:left="0" w:firstLine="0"/>
      </w:pPr>
      <w:rPr>
        <w:rFonts w:hint="default"/>
      </w:rPr>
    </w:lvl>
  </w:abstractNum>
  <w:abstractNum w:abstractNumId="13">
    <w:nsid w:val="D411BE8B"/>
    <w:multiLevelType w:val="singleLevel"/>
    <w:tmpl w:val="D411BE8B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4">
    <w:nsid w:val="DE93BBFD"/>
    <w:multiLevelType w:val="singleLevel"/>
    <w:tmpl w:val="DE93BBFD"/>
    <w:lvl w:ilvl="0" w:tentative="0">
      <w:start w:val="1"/>
      <w:numFmt w:val="decimal"/>
      <w:suff w:val="space"/>
      <w:lvlText w:val="4.%1"/>
      <w:lvlJc w:val="left"/>
      <w:pPr>
        <w:ind w:left="0" w:firstLine="0"/>
      </w:pPr>
      <w:rPr>
        <w:rFonts w:hint="default"/>
      </w:rPr>
    </w:lvl>
  </w:abstractNum>
  <w:abstractNum w:abstractNumId="15">
    <w:nsid w:val="ED4B2D84"/>
    <w:multiLevelType w:val="singleLevel"/>
    <w:tmpl w:val="ED4B2D84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6">
    <w:nsid w:val="F1EF6DF7"/>
    <w:multiLevelType w:val="singleLevel"/>
    <w:tmpl w:val="F1EF6DF7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7">
    <w:nsid w:val="F5AD84BB"/>
    <w:multiLevelType w:val="singleLevel"/>
    <w:tmpl w:val="F5AD84BB"/>
    <w:lvl w:ilvl="0" w:tentative="0">
      <w:start w:val="1"/>
      <w:numFmt w:val="decimal"/>
      <w:suff w:val="space"/>
      <w:lvlText w:val="5.%1"/>
      <w:lvlJc w:val="left"/>
      <w:pPr>
        <w:ind w:left="0" w:firstLine="0"/>
      </w:pPr>
      <w:rPr>
        <w:rFonts w:hint="default"/>
      </w:rPr>
    </w:lvl>
  </w:abstractNum>
  <w:abstractNum w:abstractNumId="18">
    <w:nsid w:val="F6752CA9"/>
    <w:multiLevelType w:val="singleLevel"/>
    <w:tmpl w:val="F6752CA9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9">
    <w:nsid w:val="FB4F7BF4"/>
    <w:multiLevelType w:val="singleLevel"/>
    <w:tmpl w:val="FB4F7BF4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20">
    <w:nsid w:val="21DFF224"/>
    <w:multiLevelType w:val="singleLevel"/>
    <w:tmpl w:val="21DFF224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1">
    <w:nsid w:val="22DA8D98"/>
    <w:multiLevelType w:val="singleLevel"/>
    <w:tmpl w:val="22DA8D98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2">
    <w:nsid w:val="32F75661"/>
    <w:multiLevelType w:val="singleLevel"/>
    <w:tmpl w:val="32F75661"/>
    <w:lvl w:ilvl="0" w:tentative="0">
      <w:start w:val="1"/>
      <w:numFmt w:val="decimal"/>
      <w:suff w:val="space"/>
      <w:lvlText w:val="9.%1"/>
      <w:lvlJc w:val="left"/>
      <w:pPr>
        <w:ind w:left="0" w:firstLine="0"/>
      </w:pPr>
      <w:rPr>
        <w:rFonts w:hint="default"/>
      </w:rPr>
    </w:lvl>
  </w:abstractNum>
  <w:abstractNum w:abstractNumId="23">
    <w:nsid w:val="37B4F3E1"/>
    <w:multiLevelType w:val="singleLevel"/>
    <w:tmpl w:val="37B4F3E1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24">
    <w:nsid w:val="44807398"/>
    <w:multiLevelType w:val="singleLevel"/>
    <w:tmpl w:val="44807398"/>
    <w:lvl w:ilvl="0" w:tentative="0">
      <w:start w:val="1"/>
      <w:numFmt w:val="decimal"/>
      <w:suff w:val="space"/>
      <w:lvlText w:val="E.%1"/>
      <w:lvlJc w:val="left"/>
      <w:pPr>
        <w:ind w:left="0" w:firstLine="0"/>
      </w:pPr>
      <w:rPr>
        <w:rFonts w:hint="default"/>
      </w:rPr>
    </w:lvl>
  </w:abstractNum>
  <w:abstractNum w:abstractNumId="25">
    <w:nsid w:val="4C7977F4"/>
    <w:multiLevelType w:val="singleLevel"/>
    <w:tmpl w:val="4C7977F4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26">
    <w:nsid w:val="655CBEE2"/>
    <w:multiLevelType w:val="singleLevel"/>
    <w:tmpl w:val="655CBEE2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27">
    <w:nsid w:val="6A46948A"/>
    <w:multiLevelType w:val="singleLevel"/>
    <w:tmpl w:val="6A46948A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28">
    <w:nsid w:val="7B7AC192"/>
    <w:multiLevelType w:val="singleLevel"/>
    <w:tmpl w:val="7B7AC192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num w:numId="1">
    <w:abstractNumId w:val="9"/>
  </w:num>
  <w:num w:numId="2">
    <w:abstractNumId w:val="28"/>
  </w:num>
  <w:num w:numId="3">
    <w:abstractNumId w:val="16"/>
  </w:num>
  <w:num w:numId="4">
    <w:abstractNumId w:val="14"/>
  </w:num>
  <w:num w:numId="5">
    <w:abstractNumId w:val="15"/>
  </w:num>
  <w:num w:numId="6">
    <w:abstractNumId w:val="23"/>
  </w:num>
  <w:num w:numId="7">
    <w:abstractNumId w:val="0"/>
  </w:num>
  <w:num w:numId="8">
    <w:abstractNumId w:val="17"/>
  </w:num>
  <w:num w:numId="9">
    <w:abstractNumId w:val="19"/>
  </w:num>
  <w:num w:numId="10">
    <w:abstractNumId w:val="10"/>
  </w:num>
  <w:num w:numId="11">
    <w:abstractNumId w:val="27"/>
  </w:num>
  <w:num w:numId="12">
    <w:abstractNumId w:val="12"/>
  </w:num>
  <w:num w:numId="13">
    <w:abstractNumId w:val="25"/>
  </w:num>
  <w:num w:numId="14">
    <w:abstractNumId w:val="26"/>
  </w:num>
  <w:num w:numId="15">
    <w:abstractNumId w:val="6"/>
  </w:num>
  <w:num w:numId="16">
    <w:abstractNumId w:val="4"/>
  </w:num>
  <w:num w:numId="17">
    <w:abstractNumId w:val="7"/>
  </w:num>
  <w:num w:numId="18">
    <w:abstractNumId w:val="13"/>
  </w:num>
  <w:num w:numId="19">
    <w:abstractNumId w:val="21"/>
  </w:num>
  <w:num w:numId="20">
    <w:abstractNumId w:val="22"/>
  </w:num>
  <w:num w:numId="21">
    <w:abstractNumId w:val="1"/>
  </w:num>
  <w:num w:numId="22">
    <w:abstractNumId w:val="5"/>
  </w:num>
  <w:num w:numId="23">
    <w:abstractNumId w:val="18"/>
  </w:num>
  <w:num w:numId="24">
    <w:abstractNumId w:val="11"/>
  </w:num>
  <w:num w:numId="25">
    <w:abstractNumId w:val="8"/>
  </w:num>
  <w:num w:numId="26">
    <w:abstractNumId w:val="2"/>
  </w:num>
  <w:num w:numId="27">
    <w:abstractNumId w:val="24"/>
  </w:num>
  <w:num w:numId="28">
    <w:abstractNumId w:val="20"/>
  </w:num>
  <w:num w:numId="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doNotDisplayPageBoundaries w:val="1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028B36A9"/>
    <w:rsid w:val="23C768E2"/>
    <w:rsid w:val="26771534"/>
    <w:rsid w:val="28613D1F"/>
    <w:rsid w:val="2FA13F73"/>
    <w:rsid w:val="4F275F81"/>
    <w:rsid w:val="6C5919B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next w:val="3"/>
    <w:qFormat/>
    <w:uiPriority w:val="9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4">
    <w:name w:val="heading 2"/>
    <w:next w:val="3"/>
    <w:unhideWhenUsed/>
    <w:qFormat/>
    <w:uiPriority w:val="9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5">
    <w:name w:val="heading 3"/>
    <w:next w:val="3"/>
    <w:unhideWhenUsed/>
    <w:qFormat/>
    <w:uiPriority w:val="9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6">
    <w:name w:val="heading 4"/>
    <w:next w:val="3"/>
    <w:unhideWhenUsed/>
    <w:qFormat/>
    <w:uiPriority w:val="9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5"/>
    <w:next w:val="3"/>
    <w:unhideWhenUsed/>
    <w:qFormat/>
    <w:uiPriority w:val="9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8">
    <w:name w:val="heading 6"/>
    <w:next w:val="3"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9">
    <w:name w:val="heading 7"/>
    <w:next w:val="3"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10">
    <w:name w:val="heading 8"/>
    <w:next w:val="3"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1">
    <w:name w:val="heading 9"/>
    <w:next w:val="3"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21">
    <w:name w:val="Default Paragraph Font"/>
    <w:semiHidden/>
    <w:unhideWhenUsed/>
    <w:uiPriority w:val="0"/>
  </w:style>
  <w:style w:type="table" w:default="1" w:styleId="20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qFormat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toc 1"/>
    <w:basedOn w:val="1"/>
    <w:next w:val="1"/>
    <w:uiPriority w:val="0"/>
  </w:style>
  <w:style w:type="paragraph" w:styleId="16">
    <w:name w:val="Subtitle"/>
    <w:next w:val="3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7">
    <w:name w:val="footnote text"/>
    <w:basedOn w:val="1"/>
    <w:unhideWhenUsed/>
    <w:qFormat/>
    <w:uiPriority w:val="9"/>
  </w:style>
  <w:style w:type="paragraph" w:styleId="18">
    <w:name w:val="toc 2"/>
    <w:basedOn w:val="1"/>
    <w:next w:val="1"/>
    <w:uiPriority w:val="0"/>
    <w:pPr>
      <w:ind w:left="420" w:leftChars="200"/>
    </w:pPr>
  </w:style>
  <w:style w:type="paragraph" w:styleId="19">
    <w:name w:val="Title"/>
    <w:next w:val="3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character" w:styleId="22">
    <w:name w:val="Hyperlink"/>
    <w:basedOn w:val="23"/>
    <w:qFormat/>
    <w:uiPriority w:val="0"/>
    <w:rPr>
      <w:color w:val="4874CB" w:themeColor="accent1"/>
    </w:rPr>
  </w:style>
  <w:style w:type="character" w:customStyle="1" w:styleId="23">
    <w:name w:val="Body Text Char"/>
    <w:basedOn w:val="21"/>
    <w:qFormat/>
    <w:uiPriority w:val="0"/>
  </w:style>
  <w:style w:type="character" w:styleId="24">
    <w:name w:val="footnote reference"/>
    <w:basedOn w:val="23"/>
    <w:qFormat/>
    <w:uiPriority w:val="0"/>
    <w:rPr>
      <w:vertAlign w:val="superscript"/>
    </w:rPr>
  </w:style>
  <w:style w:type="paragraph" w:customStyle="1" w:styleId="25">
    <w:name w:val="First Paragraph"/>
    <w:basedOn w:val="3"/>
    <w:next w:val="3"/>
    <w:qFormat/>
    <w:uiPriority w:val="0"/>
  </w:style>
  <w:style w:type="paragraph" w:customStyle="1" w:styleId="26">
    <w:name w:val="Compact"/>
    <w:basedOn w:val="3"/>
    <w:qFormat/>
    <w:uiPriority w:val="0"/>
    <w:pPr>
      <w:spacing w:before="36" w:after="36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table" w:customStyle="1" w:styleId="3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32">
    <w:name w:val="Definition Term"/>
    <w:basedOn w:val="1"/>
    <w:next w:val="33"/>
    <w:qFormat/>
    <w:uiPriority w:val="0"/>
    <w:pPr>
      <w:keepNext/>
      <w:keepLines/>
      <w:spacing w:after="0"/>
    </w:pPr>
    <w:rPr>
      <w:b/>
    </w:rPr>
  </w:style>
  <w:style w:type="paragraph" w:customStyle="1" w:styleId="33">
    <w:name w:val="Definition"/>
    <w:basedOn w:val="1"/>
    <w:qFormat/>
    <w:uiPriority w:val="0"/>
  </w:style>
  <w:style w:type="paragraph" w:customStyle="1" w:styleId="34">
    <w:name w:val="Table Caption"/>
    <w:basedOn w:val="12"/>
    <w:qFormat/>
    <w:uiPriority w:val="0"/>
    <w:pPr>
      <w:keepNext/>
    </w:pPr>
  </w:style>
  <w:style w:type="paragraph" w:customStyle="1" w:styleId="35">
    <w:name w:val="Image Caption"/>
    <w:basedOn w:val="12"/>
    <w:qFormat/>
    <w:uiPriority w:val="0"/>
  </w:style>
  <w:style w:type="paragraph" w:customStyle="1" w:styleId="36">
    <w:name w:val="Figure"/>
    <w:basedOn w:val="1"/>
    <w:qFormat/>
    <w:uiPriority w:val="0"/>
  </w:style>
  <w:style w:type="paragraph" w:customStyle="1" w:styleId="37">
    <w:name w:val="Captioned Figure"/>
    <w:basedOn w:val="36"/>
    <w:qFormat/>
    <w:uiPriority w:val="0"/>
    <w:pPr>
      <w:keepNext/>
    </w:pPr>
  </w:style>
  <w:style w:type="character" w:customStyle="1" w:styleId="38">
    <w:name w:val="Verbatim Char"/>
    <w:basedOn w:val="23"/>
    <w:link w:val="39"/>
    <w:qFormat/>
    <w:uiPriority w:val="0"/>
    <w:rPr>
      <w:rFonts w:ascii="Consolas" w:hAnsi="Consolas"/>
      <w:sz w:val="22"/>
    </w:rPr>
  </w:style>
  <w:style w:type="paragraph" w:customStyle="1" w:styleId="39">
    <w:name w:val="Source Code"/>
    <w:basedOn w:val="1"/>
    <w:link w:val="38"/>
    <w:qFormat/>
    <w:uiPriority w:val="0"/>
    <w:pPr>
      <w:wordWrap w:val="0"/>
    </w:pPr>
  </w:style>
  <w:style w:type="character" w:customStyle="1" w:styleId="40">
    <w:name w:val="Section Number"/>
    <w:basedOn w:val="23"/>
    <w:qFormat/>
    <w:uiPriority w:val="0"/>
  </w:style>
  <w:style w:type="paragraph" w:customStyle="1" w:styleId="4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2D54A0" w:themeColor="accent1" w:themeShade="BF"/>
    </w:rPr>
  </w:style>
  <w:style w:type="character" w:customStyle="1" w:styleId="42">
    <w:name w:val="KeywordTok"/>
    <w:basedOn w:val="38"/>
    <w:qFormat/>
    <w:uiPriority w:val="0"/>
    <w:rPr>
      <w:b/>
      <w:color w:val="007020"/>
    </w:rPr>
  </w:style>
  <w:style w:type="character" w:customStyle="1" w:styleId="43">
    <w:name w:val="DataTypeTok"/>
    <w:basedOn w:val="38"/>
    <w:qFormat/>
    <w:uiPriority w:val="0"/>
    <w:rPr>
      <w:color w:val="902000"/>
    </w:rPr>
  </w:style>
  <w:style w:type="character" w:customStyle="1" w:styleId="44">
    <w:name w:val="DecValTok"/>
    <w:basedOn w:val="38"/>
    <w:qFormat/>
    <w:uiPriority w:val="0"/>
    <w:rPr>
      <w:color w:val="40A070"/>
    </w:rPr>
  </w:style>
  <w:style w:type="character" w:customStyle="1" w:styleId="45">
    <w:name w:val="BaseNTok"/>
    <w:basedOn w:val="38"/>
    <w:qFormat/>
    <w:uiPriority w:val="0"/>
    <w:rPr>
      <w:color w:val="40A070"/>
    </w:rPr>
  </w:style>
  <w:style w:type="character" w:customStyle="1" w:styleId="46">
    <w:name w:val="FloatTok"/>
    <w:basedOn w:val="38"/>
    <w:qFormat/>
    <w:uiPriority w:val="0"/>
    <w:rPr>
      <w:color w:val="40A070"/>
    </w:rPr>
  </w:style>
  <w:style w:type="character" w:customStyle="1" w:styleId="47">
    <w:name w:val="ConstantTok"/>
    <w:basedOn w:val="38"/>
    <w:qFormat/>
    <w:uiPriority w:val="0"/>
    <w:rPr>
      <w:color w:val="880000"/>
    </w:rPr>
  </w:style>
  <w:style w:type="character" w:customStyle="1" w:styleId="48">
    <w:name w:val="CharTok"/>
    <w:basedOn w:val="38"/>
    <w:qFormat/>
    <w:uiPriority w:val="0"/>
    <w:rPr>
      <w:color w:val="4070A0"/>
    </w:rPr>
  </w:style>
  <w:style w:type="character" w:customStyle="1" w:styleId="49">
    <w:name w:val="SpecialCharTok"/>
    <w:basedOn w:val="38"/>
    <w:qFormat/>
    <w:uiPriority w:val="0"/>
    <w:rPr>
      <w:color w:val="4070A0"/>
    </w:rPr>
  </w:style>
  <w:style w:type="character" w:customStyle="1" w:styleId="50">
    <w:name w:val="StringTok"/>
    <w:basedOn w:val="38"/>
    <w:qFormat/>
    <w:uiPriority w:val="0"/>
    <w:rPr>
      <w:color w:val="4070A0"/>
    </w:rPr>
  </w:style>
  <w:style w:type="character" w:customStyle="1" w:styleId="51">
    <w:name w:val="VerbatimStringTok"/>
    <w:basedOn w:val="38"/>
    <w:qFormat/>
    <w:uiPriority w:val="0"/>
    <w:rPr>
      <w:color w:val="4070A0"/>
    </w:rPr>
  </w:style>
  <w:style w:type="character" w:customStyle="1" w:styleId="52">
    <w:name w:val="SpecialStringTok"/>
    <w:basedOn w:val="38"/>
    <w:qFormat/>
    <w:uiPriority w:val="0"/>
    <w:rPr>
      <w:color w:val="BB6688"/>
    </w:rPr>
  </w:style>
  <w:style w:type="character" w:customStyle="1" w:styleId="53">
    <w:name w:val="ImportTok"/>
    <w:basedOn w:val="38"/>
    <w:qFormat/>
    <w:uiPriority w:val="0"/>
    <w:rPr>
      <w:b/>
      <w:color w:val="008000"/>
    </w:rPr>
  </w:style>
  <w:style w:type="character" w:customStyle="1" w:styleId="54">
    <w:name w:val="CommentTok"/>
    <w:basedOn w:val="38"/>
    <w:qFormat/>
    <w:uiPriority w:val="0"/>
    <w:rPr>
      <w:i/>
      <w:color w:val="60A0B0"/>
    </w:rPr>
  </w:style>
  <w:style w:type="character" w:customStyle="1" w:styleId="55">
    <w:name w:val="DocumentationTok"/>
    <w:basedOn w:val="38"/>
    <w:qFormat/>
    <w:uiPriority w:val="0"/>
    <w:rPr>
      <w:i/>
      <w:color w:val="BA2121"/>
    </w:rPr>
  </w:style>
  <w:style w:type="character" w:customStyle="1" w:styleId="56">
    <w:name w:val="AnnotationTok"/>
    <w:basedOn w:val="38"/>
    <w:qFormat/>
    <w:uiPriority w:val="0"/>
    <w:rPr>
      <w:b/>
      <w:i/>
      <w:color w:val="60A0B0"/>
    </w:rPr>
  </w:style>
  <w:style w:type="character" w:customStyle="1" w:styleId="57">
    <w:name w:val="CommentVarTok"/>
    <w:basedOn w:val="38"/>
    <w:qFormat/>
    <w:uiPriority w:val="0"/>
    <w:rPr>
      <w:b/>
      <w:i/>
      <w:color w:val="60A0B0"/>
    </w:rPr>
  </w:style>
  <w:style w:type="character" w:customStyle="1" w:styleId="58">
    <w:name w:val="OtherTok"/>
    <w:basedOn w:val="38"/>
    <w:qFormat/>
    <w:uiPriority w:val="0"/>
    <w:rPr>
      <w:color w:val="007020"/>
    </w:rPr>
  </w:style>
  <w:style w:type="character" w:customStyle="1" w:styleId="59">
    <w:name w:val="FunctionTok"/>
    <w:basedOn w:val="38"/>
    <w:qFormat/>
    <w:uiPriority w:val="0"/>
    <w:rPr>
      <w:color w:val="06287E"/>
    </w:rPr>
  </w:style>
  <w:style w:type="character" w:customStyle="1" w:styleId="60">
    <w:name w:val="VariableTok"/>
    <w:basedOn w:val="38"/>
    <w:qFormat/>
    <w:uiPriority w:val="0"/>
    <w:rPr>
      <w:color w:val="19177C"/>
    </w:rPr>
  </w:style>
  <w:style w:type="character" w:customStyle="1" w:styleId="61">
    <w:name w:val="ControlFlowTok"/>
    <w:basedOn w:val="38"/>
    <w:qFormat/>
    <w:uiPriority w:val="0"/>
    <w:rPr>
      <w:b/>
      <w:color w:val="007020"/>
    </w:rPr>
  </w:style>
  <w:style w:type="character" w:customStyle="1" w:styleId="62">
    <w:name w:val="OperatorTok"/>
    <w:basedOn w:val="38"/>
    <w:qFormat/>
    <w:uiPriority w:val="0"/>
    <w:rPr>
      <w:color w:val="666666"/>
    </w:rPr>
  </w:style>
  <w:style w:type="character" w:customStyle="1" w:styleId="63">
    <w:name w:val="BuiltInTok"/>
    <w:basedOn w:val="38"/>
    <w:qFormat/>
    <w:uiPriority w:val="0"/>
    <w:rPr>
      <w:color w:val="008000"/>
    </w:rPr>
  </w:style>
  <w:style w:type="character" w:customStyle="1" w:styleId="64">
    <w:name w:val="ExtensionTok"/>
    <w:basedOn w:val="38"/>
    <w:qFormat/>
    <w:uiPriority w:val="0"/>
  </w:style>
  <w:style w:type="character" w:customStyle="1" w:styleId="65">
    <w:name w:val="PreprocessorTok"/>
    <w:basedOn w:val="38"/>
    <w:qFormat/>
    <w:uiPriority w:val="0"/>
    <w:rPr>
      <w:color w:val="BC7A00"/>
    </w:rPr>
  </w:style>
  <w:style w:type="character" w:customStyle="1" w:styleId="66">
    <w:name w:val="AttributeTok"/>
    <w:basedOn w:val="38"/>
    <w:qFormat/>
    <w:uiPriority w:val="0"/>
    <w:rPr>
      <w:color w:val="7D9029"/>
    </w:rPr>
  </w:style>
  <w:style w:type="character" w:customStyle="1" w:styleId="67">
    <w:name w:val="RegionMarkerTok"/>
    <w:basedOn w:val="38"/>
    <w:qFormat/>
    <w:uiPriority w:val="0"/>
  </w:style>
  <w:style w:type="character" w:customStyle="1" w:styleId="68">
    <w:name w:val="InformationTok"/>
    <w:basedOn w:val="38"/>
    <w:qFormat/>
    <w:uiPriority w:val="0"/>
    <w:rPr>
      <w:b/>
      <w:i/>
      <w:color w:val="60A0B0"/>
    </w:rPr>
  </w:style>
  <w:style w:type="character" w:customStyle="1" w:styleId="69">
    <w:name w:val="WarningTok"/>
    <w:basedOn w:val="38"/>
    <w:qFormat/>
    <w:uiPriority w:val="0"/>
    <w:rPr>
      <w:b/>
      <w:i/>
      <w:color w:val="60A0B0"/>
    </w:rPr>
  </w:style>
  <w:style w:type="character" w:customStyle="1" w:styleId="70">
    <w:name w:val="AlertTok"/>
    <w:basedOn w:val="38"/>
    <w:qFormat/>
    <w:uiPriority w:val="0"/>
    <w:rPr>
      <w:b/>
      <w:color w:val="FF0000"/>
    </w:rPr>
  </w:style>
  <w:style w:type="character" w:customStyle="1" w:styleId="71">
    <w:name w:val="ErrorTok"/>
    <w:basedOn w:val="38"/>
    <w:qFormat/>
    <w:uiPriority w:val="0"/>
    <w:rPr>
      <w:b/>
      <w:color w:val="FF0000"/>
    </w:rPr>
  </w:style>
  <w:style w:type="character" w:customStyle="1" w:styleId="72">
    <w:name w:val="NormalTok"/>
    <w:basedOn w:val="38"/>
    <w:qFormat/>
    <w:uiPriority w:val="0"/>
  </w:style>
  <w:style w:type="paragraph" w:customStyle="1" w:styleId="73">
    <w:name w:val="附录标题"/>
    <w:next w:val="1"/>
    <w:uiPriority w:val="0"/>
    <w:pPr>
      <w:widowControl w:val="0"/>
      <w:adjustRightInd w:val="0"/>
      <w:spacing w:before="100" w:after="100" w:line="360" w:lineRule="auto"/>
      <w:jc w:val="both"/>
      <w:outlineLvl w:val="0"/>
    </w:pPr>
  </w:style>
  <w:style w:type="paragraph" w:customStyle="1" w:styleId="74">
    <w:name w:val="题注1"/>
    <w:next w:val="1"/>
    <w:uiPriority w:val="0"/>
    <w:pPr>
      <w:widowControl w:val="0"/>
      <w:adjustRightInd w:val="0"/>
      <w:spacing w:before="240" w:after="120" w:line="288" w:lineRule="auto"/>
      <w:jc w:val="center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jpe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6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1412</Words>
  <Characters>1660</Characters>
  <Lines>12</Lines>
  <Paragraphs>8</Paragraphs>
  <TotalTime>7</TotalTime>
  <ScaleCrop>false</ScaleCrop>
  <LinksUpToDate>false</LinksUpToDate>
  <CharactersWithSpaces>1681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2026-08-21T09:35:00Z</dcterms:created>
  <dc:creator>Steve</dc:creator>
  <cp:lastModifiedBy>Steve</cp:lastModifiedBy>
  <dcterms:modified xsi:type="dcterms:W3CDTF">2026-08-21T09:46:48Z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目录</vt:lpwstr>
  </property>
  <property fmtid="{D5CDD505-2E9C-101B-9397-08002B2CF9AE}" pid="3" name="KSOTemplateDocerSaveRecord">
    <vt:lpwstr>eyJoZGlkIjoiNjlhOGFlMTNkYThlMGQ5YWZjMzQ5MmY1ZjA4NjFlMjEiLCJ1c2VySWQiOiIxOTgwMzYzMjIifQ==</vt:lpwstr>
  </property>
  <property fmtid="{D5CDD505-2E9C-101B-9397-08002B2CF9AE}" pid="4" name="KSOProductBuildVer">
    <vt:lpwstr>2052-12.1.0.28043</vt:lpwstr>
  </property>
  <property fmtid="{D5CDD505-2E9C-101B-9397-08002B2CF9AE}" pid="5" name="ICV">
    <vt:lpwstr>A2B6FE09EEEE414DB825A4192977730F_12</vt:lpwstr>
  </property>
</Properties>
</file>