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 w:line="589" w:lineRule="atLeast"/>
        <w:jc w:val="center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广西生态工程职业技术学院</w:t>
      </w:r>
    </w:p>
    <w:p>
      <w:pPr>
        <w:spacing w:after="2400" w:before="0" w:line="589" w:lineRule="atLeast"/>
        <w:jc w:val="center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教务处实训管理科</w:t>
      </w:r>
    </w:p>
    <w:p>
      <w:pPr>
        <w:spacing w:after="60" w:before="400" w:line="81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实训科管理平台移交与</w:t>
      </w:r>
    </w:p>
    <w:p>
      <w:pPr>
        <w:spacing w:after="200" w:before="0" w:line="810" w:lineRule="atLeast"/>
        <w:jc w:val="center"/>
      </w:pPr>
      <w:r>
        <w:rPr>
          <w:rFonts w:ascii="Times New Roman" w:eastAsia="SimSun"/>
          <w:b/>
          <w:bCs/>
          <w:color w:val="000000"/>
          <w:sz w:val="44"/>
          <w:szCs w:val="44"/>
        </w:rPr>
        <w:t xml:space="preserve">数据安全工作方案</w:t>
      </w:r>
    </w:p>
    <w:p>
      <w:pPr>
        <w:spacing w:after="0" w:before="0" w:line="589" w:lineRule="atLeast"/>
        <w:jc w:val="center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——校内数据中心对接暨数据库迁回境内实施安排</w:t>
      </w:r>
    </w:p>
    <w:p>
      <w:pPr>
        <w:spacing w:after="0" w:before="3200" w:line="589" w:lineRule="atLeast"/>
        <w:jc w:val="center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二〇二六年九月</w:t>
      </w:r>
    </w:p>
    <w:p>
      <w:pPr>
        <w:spacing w:after="0" w:before="200" w:line="516" w:lineRule="atLeast"/>
        <w:jc w:val="center"/>
      </w:pPr>
      <w:r>
        <w:rPr>
          <w:rFonts w:ascii="Times New Roman" w:eastAsia="FangSong"/>
          <w:b w:val="false"/>
          <w:bCs w:val="false"/>
          <w:color w:val="000000"/>
          <w:sz w:val="28"/>
          <w:szCs w:val="28"/>
        </w:rPr>
        <w:t xml:space="preserve">（送审稿）</w:t>
      </w:r>
    </w:p>
    <w:p>
      <w:pPr>
        <w:sectPr>
          <w:pgSz w:w="11906" w:h="16838" w:orient="portrait"/>
          <w:pgMar w:top="2098" w:right="1474" w:bottom="1984" w:left="1588" w:header="708" w:footer="708" w:gutter="0"/>
          <w:docGrid w:linePitch="360"/>
        </w:sectPr>
      </w:pPr>
    </w:p>
    <w:p>
      <w:pPr>
        <w:spacing w:after="240" w:before="240" w:line="560" w:lineRule="exact"/>
        <w:jc w:val="center"/>
      </w:pPr>
      <w:r>
        <w:rPr>
          <w:rFonts w:ascii="Times New Roman" w:eastAsia="SimHei"/>
          <w:b w:val="false"/>
          <w:bCs w:val="false"/>
          <w:sz w:val="32"/>
          <w:szCs w:val="32"/>
        </w:rPr>
        <w:t xml:space="preserve">目　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摘　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一、平台现状与工作必要性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（一）平台基本情况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（二）存在的主要问题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（三）数据核查情况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二、总体思路与实施原则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（一）总体思路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（二）实施原则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三、与信息中心沟通安排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（一）沟通路径与步骤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（二）首次对接会材料清单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（三）信息中心关切事项与应答口径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四、移交校内技术路线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（一）三条路线比选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（二）推荐路线的资源需求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（三）分阶段实施安排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（四）移交物清单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五、信息中心不支持条件下的自主可控方案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（一）数据库选型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（二）登录认证方案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（三）部署架构与域名备案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（四）备份与恢复体系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六、安全基线要求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（一）登录安全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（二）数据安全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七、经费概算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八、风险分析与应对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九、结论与下一步工作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附件：数据核查与事实来源说明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FangSong"/>
          <w:i w:val="false"/>
          <w:iCs w:val="false"/>
          <w:color w:val="888888"/>
          <w:sz w:val="21"/>
          <w:szCs w:val="21"/>
        </w:rPr>
        <w:t xml:space="preserve">注：本目录由域代码生成，若编辑后页码发生变化，请右键点击目录选择“更新域”刷新页码。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2098" w:right="1474" w:bottom="1984" w:left="1588" w:header="708" w:footer="708" w:gutter="0"/>
          <w:pgNumType w:start="1" w:fmt="upperRoman"/>
          <w:docGrid w:linePitch="360"/>
        </w:sectPr>
      </w:pPr>
    </w:p>
    <w:p>
      <w:pPr>
        <w:pStyle w:val="Heading1"/>
        <w:spacing w:after="60" w:before="120" w:line="560" w:lineRule="exact"/>
        <w:ind w:firstLine="640"/>
      </w:pPr>
      <w:bookmarkStart w:id="100000" w:name="_Toc100000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摘　要</w:t>
      </w:r>
      <w:bookmarkEnd w:id="100000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教务处实训科管理平台是实训管理科自主开发的业务系统，现承载制度文件、迎检材料、一室一表、实训室分级台账等核心业务，覆盖全校552间实训室档案。经核查，平台目前运行于教师个人账号申请的免费云托管资源上，数据存储于境外数据库节点，存在数据安全、业务连续性和服务稳定性三方面的突出问题，必须尽快实施迁移。</w:t>
      </w:r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本方案制定两条并行的实施主线：第一条主线与信息中心对接，将平台迁移至校内数据中心，实现基础设施校内化和资产归属学校；第二条主线为自主可控方案，在校内资源暂不具备时，先行将数据库迁回境内服务器，自建登录认证与备份体系，确保数据安全可控。两条主线互不冗突，自主方案的全部投入在校内资源到位后可直接平移进校内环境。方案同时明确了沟通路径、材料清单、应答口径、安全基线、实施步骤与经费概算，供处室领导决策与信息中心对接使用。</w:t>
      </w:r>
    </w:p>
    <w:p>
      <w:pPr>
        <w:pStyle w:val="Heading1"/>
        <w:spacing w:after="60" w:before="120" w:line="560" w:lineRule="exact"/>
        <w:ind w:firstLine="640"/>
      </w:pPr>
      <w:bookmarkStart w:id="100001" w:name="_Toc100001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一、平台现状与工作必要性</w:t>
      </w:r>
      <w:bookmarkEnd w:id="100001"/>
    </w:p>
    <w:p>
      <w:pPr>
        <w:pStyle w:val="Heading2"/>
        <w:spacing w:after="30" w:before="60" w:line="560" w:lineRule="exact"/>
        <w:ind w:firstLine="640"/>
      </w:pPr>
      <w:bookmarkStart w:id="100002" w:name="_Toc100002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（一）平台基本情况</w:t>
      </w:r>
      <w:bookmarkEnd w:id="100002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平台名称为广西生态工程职业技术学院教务处实训科管理平台，由实训管理科自主研发，零采购成本。平台采用FastAPI应用架构与静态页面托管相结合的方式，容器化镜像已就绮，代码管理规范。其基本情况见表1。</w:t>
      </w:r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表1  平台基本情况一览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pct" w:w="7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现状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功能模块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制度文件、迎检材料、一室一表、实训室分级台账（552间房间档案）、安全数据驾驶舱、实训科业务、虚拟仿真、获奖导航与竞赛核查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应用架构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FastAPI单进程（约1300行Python）加静态页面托管，Docker镜像就绪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身份认证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Logto Cloud（境外），关闭公开注册、仅限邀请，五类角色权限体系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数据库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Turso（libSQL），节点位于境外（日本东京）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运行环境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教师个人账号下的免费云托管，空闲自动休眠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代码管理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GitHub私有仓库，文档齐全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数据规模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静态资产约283MB（含制度文档包52份260MB）；数据库有效数据不足10MB</w:t>
            </w:r>
          </w:p>
        </w:tc>
      </w:tr>
    </w:tbl>
    <w:p>
      <w:pPr>
        <w:pStyle w:val="Heading2"/>
        <w:spacing w:after="30" w:before="60" w:line="560" w:lineRule="exact"/>
        <w:ind w:firstLine="640"/>
      </w:pPr>
      <w:bookmarkStart w:id="100003" w:name="_Toc100003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（二）存在的主要问题</w:t>
      </w:r>
      <w:bookmarkEnd w:id="100003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一是数据安全合规问题。</w:t>
      </w: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平台数据存储于境外数据库节点，静态台账中含约31个教职工手机号，数据库用户表含姓名、邮箱、手机号字段，不符合教育数据与个人信息管理要求，必须尽快迁回境内。</w:t>
      </w:r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二是业务连续性风险。</w:t>
      </w: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平台运行于教师个人账号申请的免费云资源，受额度限制，空闲即休眠（实测健康检查超时），账号变动或服务停运将直接中断科室业务系统，个人账号不应承载学校业务。</w:t>
      </w:r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三是访问可信度不足。</w:t>
      </w: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现用域名为第三方域名，师生从校园网访问学校平台时指向境外第三方地址，在信任与网络安全层面存在瑕疵。</w:t>
      </w:r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四是服务稳定性不可靠。</w:t>
      </w: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免费层冷启动慢，迎检、突击填报等高峰场景无法保障，已影响日常使用。</w:t>
      </w:r>
    </w:p>
    <w:p>
      <w:pPr>
        <w:pStyle w:val="Heading2"/>
        <w:spacing w:after="30" w:before="60" w:line="560" w:lineRule="exact"/>
        <w:ind w:firstLine="640"/>
      </w:pPr>
      <w:bookmarkStart w:id="100004" w:name="_Toc100004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（三）数据核查情况</w:t>
      </w:r>
      <w:bookmarkEnd w:id="100004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为如实向信息中心申报数据情况，2026年9月10日对线上数据库及静态资产进行了实测核查，结果见表2。总体结论：平台不含身份证号、密码明文和学生个人明细，敏感信息集中于教职工联系方式与校内管理信息，整体敏感度为中等及以下；全库有效数据不足10MB，迁移体量小、周期短。</w:t>
      </w:r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表2  数据清单与敏感度说明（2026年9月10日实测）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数据项</w:t>
            </w:r>
          </w:p>
        </w:tc>
        <w:tc>
          <w:tcPr>
            <w:tcW w:type="pct" w:w="3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位置与规模</w:t>
            </w:r>
          </w:p>
        </w:tc>
        <w:tc>
          <w:tcPr>
            <w:tcW w:type="pct" w:w="2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敏感度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用户表（姓名、邮箱、手机号、角色、学院）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境外数据库，现有2行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中（个人信息）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实训室台账（552间房间档案、安全等级、责任人及联系电话约31个）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静态资产，约283MB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中（个人信息及校内安全管理信息）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制度文件包（校内管理文件）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静态资产，约260MB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低（内部资料）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教室照片（18张，压缩后共约5.9MB）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境外数据库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低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获奖名单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静态资产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低</w:t>
            </w:r>
          </w:p>
        </w:tc>
      </w:tr>
    </w:tbl>
    <w:p>
      <w:pPr>
        <w:pStyle w:val="Heading1"/>
        <w:spacing w:after="60" w:before="120" w:line="560" w:lineRule="exact"/>
        <w:ind w:firstLine="640"/>
      </w:pPr>
      <w:bookmarkStart w:id="100005" w:name="_Toc100005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二、总体思路与实施原则</w:t>
      </w:r>
      <w:bookmarkEnd w:id="100005"/>
    </w:p>
    <w:p>
      <w:pPr>
        <w:pStyle w:val="Heading2"/>
        <w:spacing w:after="30" w:before="60" w:line="560" w:lineRule="exact"/>
        <w:ind w:firstLine="640"/>
      </w:pPr>
      <w:bookmarkStart w:id="100006" w:name="_Toc100006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（一）总体思路</w:t>
      </w:r>
      <w:bookmarkEnd w:id="100006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坚持两条主线并行推进。主线一为移交校内：与信息中心对接，由学校提供虚拟机、校内域名与证书，平台整体迁入校内数据中心，实现基础设施校内化、数据存储境内化、资产归属学校。主线二为自主可控：若校内资源短期无法落实，则以处室或工作身份采购境内轻量云服务器，先行完成数据库迁回境内、登录认证自主可控、备份体系建立三项止血工作，不等待任何外部审批。</w:t>
      </w:r>
    </w:p>
    <w:p>
      <w:pPr>
        <w:pStyle w:val="Heading2"/>
        <w:spacing w:after="30" w:before="60" w:line="560" w:lineRule="exact"/>
        <w:ind w:firstLine="640"/>
      </w:pPr>
      <w:bookmarkStart w:id="100007" w:name="_Toc100007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（二）实施原则</w:t>
      </w:r>
      <w:bookmarkEnd w:id="100007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一是自研自维护、只借基础设施。应用层维护责任始终由实训管理科承担，向信息中心申请的仅为虚拟机、域名、证书与网络策略，不向其转移运维责任，最大限度降低接收成本。二是数据安全优先。数据出境问题优先于其他一切问题处理，不管资源到位与否，数据库必须尽快迁回境内。三是双轨过渡保连续。迁移期间现网照常服务，校内环境灰度验证并核对数据一致性后方可切换，切换前完成全量备份。四是资产处室化。云账号、域名、代码仓库等资产名义逐步从个人转为处室，形成书面记录，避免人走业务断。</w:t>
      </w:r>
    </w:p>
    <w:p>
      <w:pPr>
        <w:pStyle w:val="Heading1"/>
        <w:spacing w:after="60" w:before="120" w:line="560" w:lineRule="exact"/>
        <w:ind w:firstLine="640"/>
      </w:pPr>
      <w:bookmarkStart w:id="100008" w:name="_Toc100008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三、与信息中心沟通安排</w:t>
      </w:r>
      <w:bookmarkEnd w:id="100008"/>
    </w:p>
    <w:p>
      <w:pPr>
        <w:pStyle w:val="Heading2"/>
        <w:spacing w:after="30" w:before="60" w:line="560" w:lineRule="exact"/>
        <w:ind w:firstLine="640"/>
      </w:pPr>
      <w:bookmarkStart w:id="100009" w:name="_Toc100009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（一）沟通路径与步骤</w:t>
      </w:r>
      <w:bookmarkEnd w:id="100009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沟通按三步推进。第一步科内定调，明确移交目标为基础设施校内化加数据回校内，维护主体仍为实训管理科。第二步处内汇报，向教务处分管领导报告平台情况与工作方案，取得处室背书；信息中心与教务处平级时，由处领导出面或发工作联系函效果最好。第三步跨部门对接，与信息中心召开首次对接会，带齐本章第二节材料，会议目标只有一个，即确定接收路线（见本方案第四章）及双方责任人。</w:t>
      </w:r>
    </w:p>
    <w:p>
      <w:pPr>
        <w:pStyle w:val="Heading2"/>
        <w:spacing w:after="30" w:before="60" w:line="560" w:lineRule="exact"/>
        <w:ind w:firstLine="640"/>
      </w:pPr>
      <w:bookmarkStart w:id="100010" w:name="_Toc100010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（二）首次对接会材料清单</w:t>
      </w:r>
      <w:bookmarkEnd w:id="100010"/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表3  首次对接会携带材料清单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材料</w:t>
            </w:r>
          </w:p>
        </w:tc>
        <w:tc>
          <w:tcPr>
            <w:tcW w:type="pct" w:w="5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内容要点</w:t>
            </w:r>
          </w:p>
        </w:tc>
        <w:tc>
          <w:tcPr>
            <w:tcW w:type="pct" w:w="2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平台一页纸介绍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功能清单、五类用户群体、访问地址、界面截图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待编制（可从本方案裁剪）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资源申请清单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虚拟机规格、域名、证书、网络策略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本方案已列出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数据清单与敏感度说明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存储位置、数据量、个人信息范围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本方案已列出（实测数据）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运维承诺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应用层由实训管理科维护、故障响应方式，信息中心仅保障基础设施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待编制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技术文档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架构图、部署文档、健康检查接口</w:t>
            </w:r>
          </w:p>
        </w:tc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仓库已有，需整理</w:t>
            </w:r>
          </w:p>
        </w:tc>
      </w:tr>
    </w:tbl>
    <w:p>
      <w:pPr>
        <w:pStyle w:val="Heading2"/>
        <w:spacing w:after="30" w:before="60" w:line="560" w:lineRule="exact"/>
        <w:ind w:firstLine="640"/>
      </w:pPr>
      <w:bookmarkStart w:id="100011" w:name="_Toc100011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（三）信息中心关切事项与应答口径</w:t>
      </w:r>
      <w:bookmarkEnd w:id="100011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会前预设五个常见问题的应答口径，89见表3。核心是全程坚持自研自维护、只借基础设施的定位，把对方成本压缩到开一台机器、批一个域名。</w:t>
      </w:r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表4  信息中心关切事项与应答口径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关切问题</w:t>
            </w:r>
          </w:p>
        </w:tc>
        <w:tc>
          <w:tcPr>
            <w:tcW w:type="pct" w:w="7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应答口径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谁开发、谁维护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实训管理科自研自维护，源码完整、文档齐全；信息中心只需提供虚拟机、域名、证书与网络策略，不承担应用运维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安全如何保证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GitHub私有仓库可向信息中心开放审计；上线前配合学校网络安全扫描与整改；认证为邀请制，未开放公开注册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是否需过等保测评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主动询问流程；若按校内二级等保要求，纳入实施计划，由双方共同推进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能否对接统一身份认证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现认证为标准OIDC协议，改为学校统一身份认证技术上成熟，列为二期目标；也可单独申请认证接入，门槛低于开虚拟机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校外是否需要访问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默认校园网内访问；如迎检期间确有需要，走学校已有公网映射或VPN通道，由信息中心按校规审批</w:t>
            </w:r>
          </w:p>
        </w:tc>
      </w:tr>
    </w:tbl>
    <w:p>
      <w:pPr>
        <w:pStyle w:val="Heading1"/>
        <w:spacing w:after="60" w:before="120" w:line="560" w:lineRule="exact"/>
        <w:ind w:firstLine="640"/>
      </w:pPr>
      <w:bookmarkStart w:id="100012" w:name="_Toc100012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四、移交校内技术路线</w:t>
      </w:r>
      <w:bookmarkEnd w:id="100012"/>
    </w:p>
    <w:p>
      <w:pPr>
        <w:pStyle w:val="Heading2"/>
        <w:spacing w:after="30" w:before="60" w:line="560" w:lineRule="exact"/>
        <w:ind w:firstLine="640"/>
      </w:pPr>
      <w:bookmarkStart w:id="100013" w:name="_Toc100013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（一）三条路线比选</w:t>
      </w:r>
      <w:bookmarkEnd w:id="100013"/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表5  移交校内三条路线比选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路线</w:t>
            </w:r>
          </w:p>
        </w:tc>
        <w:tc>
          <w:tcPr>
            <w:tcW w:type="pct" w:w="5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3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评价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路线A（推荐）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校内虚拟机加Docker部署，数据库落地本地SQLite，认证一期保留现状、二期对接统一身份认证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信息中心仅需开机、给域名、放行端口，接收成本最低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路线B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纳入学校容器平台（如已有），提交镜像与部署清单统一调度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前提是学校已有容器平台且愿意接收，周期取决于平台管理流程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路线C（兜底）</w:t>
            </w:r>
          </w:p>
        </w:tc>
        <w:tc>
          <w:tcPr>
            <w:tcW w:type="pct" w:w="5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数据先行迁回境内，应用暂留现网，明确过渡期限并写入会议纪要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不解决域名与休眠问题，仅作退路；实际执行中由自主可控方案替代</w:t>
            </w:r>
          </w:p>
        </w:tc>
      </w:tr>
    </w:tbl>
    <w:p>
      <w:pPr>
        <w:pStyle w:val="Heading2"/>
        <w:spacing w:after="30" w:before="60" w:line="560" w:lineRule="exact"/>
        <w:ind w:firstLine="640"/>
      </w:pPr>
      <w:bookmarkStart w:id="100014" w:name="_Toc100014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（二）推荐路线的资源需求</w:t>
      </w:r>
      <w:bookmarkEnd w:id="100014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路线A的资源申请清单见表4，可在首次对接会上直接提交。应用为单进程轻负载，配置有余量；数据库一期不单独申请（应用自带SQLite），降低初期占用。</w:t>
      </w:r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表6  路线A资源申请清单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申请项目</w:t>
            </w:r>
          </w:p>
        </w:tc>
        <w:tc>
          <w:tcPr>
            <w:tcW w:type="pct" w:w="4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3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虚拟机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2核CPU／4GB内存／40GB系统盘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静态资产283MB，轻负载，配置有余量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操作系统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Linux（Ubuntu 22.04或学校标准镜像）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Docker部署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域名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校内二级域名（建议形如shixun.gxstzy.edu.cn）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由信息中心按校规分配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证书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上述域名的HTTPS证书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信息中心统一签发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网络策略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校园网内可访问；服务器出站访问认证服务（一期）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二期对接统一认证后可完全内网闭合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备份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纳入学校统一备份策略（如有）</w:t>
            </w:r>
          </w:p>
        </w:tc>
        <w:tc>
          <w:tcPr>
            <w:tcW w:type="pct" w:w="3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数据目录与数据库文件每日备份</w:t>
            </w:r>
          </w:p>
        </w:tc>
      </w:tr>
    </w:tbl>
    <w:p>
      <w:pPr>
        <w:pStyle w:val="Heading2"/>
        <w:spacing w:after="30" w:before="60" w:line="560" w:lineRule="exact"/>
        <w:ind w:firstLine="640"/>
      </w:pPr>
      <w:bookmarkStart w:id="100015" w:name="_Toc100015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（三）分阶段实施安排</w:t>
      </w:r>
      <w:bookmarkEnd w:id="100015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实施分六个阶段推进，见表5。关键控制点：双轨试运行期结束前现平台不得下线；切换日冻结写入、单向同步、核对后切换；切换后旧域名保留30天跳转提示；密钥全量轮换。</w:t>
      </w:r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表7  分阶段实施安排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阶段</w:t>
            </w:r>
          </w:p>
        </w:tc>
        <w:tc>
          <w:tcPr>
            <w:tcW w:type="pct" w:w="4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1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周期</w:t>
            </w:r>
          </w:p>
        </w:tc>
        <w:tc>
          <w:tcPr>
            <w:tcW w:type="pct" w:w="2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责任方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阶段　材料准备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一页纸、数据清单、运维承诺定稿；处内汇报定调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1周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实训管理科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阶段一　首次对接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提交材料，确定路线与双方责任人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1至2周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双方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阶段二　环境落地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虚拟机开通、域名证书签发；数据库导出并在校内环境试跑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2至4周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信息中心开资源，实训管理科部署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阶段三　双轨试运行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现网照常，校内地址灰度使用，核对数据一致性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1至2周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实训管理科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阶段四　正式切换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校内域名生效，旧服务转只读归档；密钥全量轮换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1周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双方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阶段五　二期收尾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对接学校统一身份认证；按学校要求推进等保与安全扫描</w:t>
            </w:r>
          </w:p>
        </w:tc>
        <w:tc>
          <w:tcPr>
            <w:tcW w:type="pct" w:w="1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视校方流程</w:t>
            </w:r>
          </w:p>
        </w:tc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双方</w:t>
            </w:r>
          </w:p>
        </w:tc>
      </w:tr>
    </w:tbl>
    <w:p>
      <w:pPr>
        <w:pStyle w:val="Heading2"/>
        <w:spacing w:after="30" w:before="60" w:line="560" w:lineRule="exact"/>
        <w:ind w:firstLine="640"/>
      </w:pPr>
      <w:bookmarkStart w:id="100016" w:name="_Toc100016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（四）移交物清单</w:t>
      </w:r>
      <w:bookmarkEnd w:id="100016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正式切换时向信息中心交存档六项材料：一是源码仓库访问权限（私有仓协作者或按校方要求迁至校内代码托管）；二是容器镜像构建文件与部署文档；三是环境变量清单（仅变量名与用途，密钥值单独线下交接）；四是数据库建表脚本与数据迁移脚本；五是运维手册（健康检查接口、日常巡检、备份恢复、常见故障处置）；六是应急联系人员表（应用层实训管理科，基础设施层信息中心）。</w:t>
      </w:r>
    </w:p>
    <w:p>
      <w:pPr>
        <w:pStyle w:val="Heading1"/>
        <w:spacing w:after="60" w:before="120" w:line="560" w:lineRule="exact"/>
        <w:ind w:firstLine="640"/>
      </w:pPr>
      <w:bookmarkStart w:id="100017" w:name="_Toc100017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五、信息中心不支持条件下的自主可控方案</w:t>
      </w:r>
      <w:bookmarkEnd w:id="100017"/>
    </w:p>
    <w:p>
      <w:pPr>
        <w:pStyle w:val="Heading2"/>
        <w:spacing w:after="30" w:before="60" w:line="560" w:lineRule="exact"/>
        <w:ind w:firstLine="640"/>
      </w:pPr>
      <w:bookmarkStart w:id="100018" w:name="_Toc100018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（一）数据库选型</w:t>
      </w:r>
      <w:bookmarkEnd w:id="100018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经实测，全库有效数据不足10MB，任何按月付费的云数据库服务均不构成合理支出。各选项比选见表6。</w:t>
      </w:r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表8  数据库选项比选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选项</w:t>
            </w:r>
          </w:p>
        </w:tc>
        <w:tc>
          <w:tcPr>
            <w:tcW w:type="pct" w:w="2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形态与费用</w:t>
            </w:r>
          </w:p>
        </w:tc>
        <w:tc>
          <w:tcPr>
            <w:tcW w:type="pct" w:w="4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评价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SQLite本地文件（推荐）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应用同机单文件，零费用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现有数据库本就基于SQLite体系，SQL零迁移；不新增外部依赖与故障面；10MB体量性能余量极大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腾讯云MySQL（云数据库）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托管服务，约每月20至40元（1C1G基础版）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仅当学校规范强制要求独立数据库服务时采用，届时从SQLite导出导入即可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阿里云RDS MySQL Serverless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托管服务，按量付费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腾讯云CloudBase云开发数据库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文档型NoSQL，按量计费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需将SQL改写为文档模型，迁移成本最高，不取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PostgreSQL自托管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同机Docker，零费用</w:t>
            </w:r>
          </w:p>
        </w:tc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功能无增益且SQL方言迁移是净成本，不取</w:t>
            </w:r>
          </w:p>
        </w:tc>
      </w:tr>
    </w:tbl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选型结论为SQLite。</w:t>
      </w:r>
      <w:r>
        <w:rPr>
          <w:rFonts w:ascii="Times New Roman" w:eastAsia="FangSong"/>
          <w:b w:val="false"/>
          <w:bCs w:val="false"/>
          <w:color w:val="000000"/>
          <w:sz w:val="32"/>
          <w:szCs w:val="32"/>
        </w:rPr>
        <w:t xml:space="preserve">数据量级小、单进程应用、无并发写入压力，且现有驱动与SQLite同源，仅需在应用配置中增加本地文件路径分支，即可实现一套代码双后端，迁移与回退均不改业务代码。</w:t>
      </w:r>
    </w:p>
    <w:p>
      <w:pPr>
        <w:pStyle w:val="Heading2"/>
        <w:spacing w:after="30" w:before="60" w:line="560" w:lineRule="exact"/>
        <w:ind w:firstLine="640"/>
      </w:pPr>
      <w:bookmarkStart w:id="100019" w:name="_Toc100019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（二）登录认证方案</w:t>
      </w:r>
      <w:bookmarkEnd w:id="100019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现用境外认证服务境内访问时好时坏，且依赖个人注册的第三方账号。按优先级排序：首选向信息中心单独申请统一身份认证接入（只要求把平台注册为认证系统的接入应用，门槛远低于开虚拟机，即使资源申请被拒也值得单独争取）；兜底为自建邀请制登录，平台用户表本就自行维护，认证服务实际只承担登录与邀请两个动作，自建开发量约1至2天；迁移初期可暂时保留现有认证作为过渡，自建登录上线后立即切换下线。自建登录的安全要求纳入本方案第六章安全基线。</w:t>
      </w:r>
    </w:p>
    <w:p>
      <w:pPr>
        <w:pStyle w:val="Heading2"/>
        <w:spacing w:after="30" w:before="60" w:line="560" w:lineRule="exact"/>
        <w:ind w:firstLine="640"/>
      </w:pPr>
      <w:bookmarkStart w:id="100020" w:name="_Toc100020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（三）部署架构与域名备案</w:t>
      </w:r>
      <w:bookmarkEnd w:id="100020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自主方案的部署形态为：采购境内轻量云服务器（2核2GB，新用户活动价首年约99元），以处室或工作身份注册云账号；服务器上以Docker运行应用容器与反向代理，数据库为卷挂载的SQLite文件；前端由反向代理自动签发HTTPS证书。境内服务器绑定域名须完成ICP备案（个人可办，免费，周期约2至4周）；备案期间以IP加端口试运行或维持现网双轨，备案不构成前置依赖。若信息中心后续同意接收，将应用容器与数据卷平移至校内虚拟机即可，全部投入不作废。</w:t>
      </w:r>
    </w:p>
    <w:p>
      <w:pPr>
        <w:pStyle w:val="Heading2"/>
        <w:spacing w:after="30" w:before="60" w:line="560" w:lineRule="exact"/>
        <w:ind w:firstLine="640"/>
      </w:pPr>
      <w:bookmarkStart w:id="100021" w:name="_Toc100021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（四）备份与恢复体系</w:t>
      </w:r>
      <w:bookmarkEnd w:id="100021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数据安全保障靠备份纪律而非数据库服务本身：每日定时生成数据库一致性快照，加密后上传境内对象存储并同步第二落点，保留30天滚动；每季度从备份中取样在空环境完整恢复并核对行数，形成记录。单机故障时数据不丢失（最多损失24小时数据），按部署文档重建约需一小时。手机号等敏感字段的应用层加密存储列为二期加固项。</w:t>
      </w:r>
    </w:p>
    <w:p>
      <w:pPr>
        <w:pStyle w:val="Heading1"/>
        <w:spacing w:after="60" w:before="120" w:line="560" w:lineRule="exact"/>
        <w:ind w:firstLine="640"/>
      </w:pPr>
      <w:bookmarkStart w:id="100022" w:name="_Toc100022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六、安全基线要求</w:t>
      </w:r>
      <w:bookmarkEnd w:id="100022"/>
    </w:p>
    <w:p>
      <w:pPr>
        <w:pStyle w:val="Heading2"/>
        <w:spacing w:after="30" w:before="60" w:line="560" w:lineRule="exact"/>
        <w:ind w:firstLine="640"/>
      </w:pPr>
      <w:bookmarkStart w:id="100023" w:name="_Toc100023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（一）登录安全</w:t>
      </w:r>
      <w:bookmarkEnd w:id="100023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登录面共六项基线：密码哈希采用bcrypt或argon2算法，禁止明文与可逆加密；会话Cookie设置HttpOnly、Secure、SameSite属性，签名密钥为32字节以上随机值且每环境独立；注册仅限管理员在后台生成的邀请码通道，新用户默认最窄权限且永不覆盖人工设定的角色；登录接口限速，15分钟内5次失败锁定30分钟；找回密码走邮箱一次性令牌，10分钟有效且单次使用；全部登录与角色变更写入审计日志（时间、账号、动作、来源地址）。</w:t>
      </w:r>
    </w:p>
    <w:p>
      <w:pPr>
        <w:pStyle w:val="Heading2"/>
        <w:spacing w:after="30" w:before="60" w:line="560" w:lineRule="exact"/>
        <w:ind w:firstLine="640"/>
      </w:pPr>
      <w:bookmarkStart w:id="100024" w:name="_Toc100024"/>
      <w:r>
        <w:rPr>
          <w:rFonts w:ascii="Times New Roman" w:eastAsia="KaiTi"/>
          <w:b w:val="false"/>
          <w:bCs w:val="false"/>
          <w:color w:val="000000"/>
          <w:sz w:val="32"/>
          <w:szCs w:val="32"/>
        </w:rPr>
        <w:t xml:space="preserve">（二）数据安全</w:t>
      </w:r>
      <w:bookmarkEnd w:id="100024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数据面共六项基线：按三备份两介质要求每日快照双落点存储、加密后出服务器、保留30天；季度恢复演练留痕，未演练的备份不视为有效备份；敏感字段应用层加密存储（二期）；应用、数据库、备份、日志四者全部位于境内，切换完成前移除所有跨境调用；密钥不进代码仓库与部署配置，交接时单独线下移交；全部数据库查询保持参数绑定（现有代码已符合，列为验收标准）。上线前由实训管理科按上述清单逐项自查，并配合学校网络安全扫描。</w:t>
      </w:r>
    </w:p>
    <w:p>
      <w:pPr>
        <w:pStyle w:val="Heading1"/>
        <w:spacing w:after="60" w:before="120" w:line="560" w:lineRule="exact"/>
        <w:ind w:firstLine="640"/>
      </w:pPr>
      <w:bookmarkStart w:id="100025" w:name="_Toc100025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七、经费概算</w:t>
      </w:r>
      <w:bookmarkEnd w:id="100025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自主可控方案的经费概算见表7；移交校内路线若获批准，下述支出不再发生（仅保留域名续费）。合计金额很小，建议以科室业务经费列支，个人支出为零。</w:t>
      </w:r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表9  自主可控方案经费概算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pct" w:w="2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首年</w:t>
            </w:r>
          </w:p>
        </w:tc>
        <w:tc>
          <w:tcPr>
            <w:tcW w:type="pct" w:w="2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次年起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轻量服务器2核2GB（境内地域）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约99元（新用户活动价）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约200至300元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域名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约50至80元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对象存储备份（小于1GB，30份滚动）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小于12元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同左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ICP备案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免费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4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约150至250元</w:t>
            </w:r>
          </w:p>
        </w:tc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约300至400元</w:t>
            </w:r>
          </w:p>
        </w:tc>
      </w:tr>
    </w:tbl>
    <w:p>
      <w:pPr>
        <w:pStyle w:val="Heading1"/>
        <w:spacing w:after="60" w:before="120" w:line="560" w:lineRule="exact"/>
        <w:ind w:firstLine="640"/>
      </w:pPr>
      <w:bookmarkStart w:id="100026" w:name="_Toc100026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八、风险分析与应对</w:t>
      </w:r>
      <w:bookmarkEnd w:id="100026"/>
    </w:p>
    <w:p>
      <w:pPr>
        <w:keepNext/>
        <w:spacing w:after="60" w:before="120" w:line="400" w:lineRule="atLeast"/>
        <w:jc w:val="center"/>
      </w:pPr>
      <w:r>
        <w:rPr>
          <w:rFonts w:ascii="Times New Roman" w:eastAsia="SimHei"/>
          <w:b w:val="false"/>
          <w:bCs w:val="false"/>
          <w:color w:val="000000"/>
          <w:sz w:val="21"/>
          <w:szCs w:val="21"/>
        </w:rPr>
        <w:t xml:space="preserve">表10  主要风险与应对措施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808080" w:sz="2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风险</w:t>
            </w:r>
          </w:p>
        </w:tc>
        <w:tc>
          <w:tcPr>
            <w:tcW w:type="pct" w:w="6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SimHei"/>
                <w:b w:val="false"/>
                <w:bCs w:val="false"/>
                <w:color w:val="000000"/>
                <w:sz w:val="21"/>
                <w:szCs w:val="21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信息中心人力紧张、接收意愿低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全程坚持自研自维护、只借基础设施口径；同步启动自主可控方案不等不靠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等保测评、安全扫描等流程周期长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数据库先行迁回境内止血，流程性工作与服务迁移解耦；阶段目标写入会议纪要便于跟踪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迁移期间数据不一致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双轨期以旧库为准，切换日冻结写入、单向同步、核对后切换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自建登录引入新漏洞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按第六章基线清单实现并逐项自查；上线前用学校安全扫描工具全量检查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单机故障、服务器损毁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每日双落点备份保证数据不丢（最多损失24小时）；按部署文档重建约一小时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云账号仍系于个人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处室或工作身份注册并建立密钥交接清单；信息中心接收时资产可整体转移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密钥泄露面扩大</w:t>
            </w:r>
          </w:p>
        </w:tc>
        <w:tc>
          <w:tcPr>
            <w:tcW w:type="pct" w:w="6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00" w:lineRule="atLeast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1"/>
                <w:szCs w:val="21"/>
              </w:rPr>
              <w:t xml:space="preserve">迁移完成后轮换全部密钥；历史明文备份在加密方案上线后清除</w:t>
            </w:r>
          </w:p>
        </w:tc>
      </w:tr>
    </w:tbl>
    <w:p>
      <w:pPr>
        <w:pStyle w:val="Heading1"/>
        <w:spacing w:after="60" w:before="120" w:line="560" w:lineRule="exact"/>
        <w:ind w:firstLine="640"/>
      </w:pPr>
      <w:bookmarkStart w:id="100027" w:name="_Toc100027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九、结论与下一步工作</w:t>
      </w:r>
      <w:bookmarkEnd w:id="100027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实训科管理平台功能已经受验证，当前的主要矛盾不在应用本身，而在于承载方式：数据存境外、跑在个人免费资源上、用第三方域名对外服务。两条主线的定位是：移交校内解决资产归属与长期规范，自主可控解决眼下的数据安全与服务可用，两者先后衔接、全部投入可平移不作废。</w:t>
      </w:r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下一步工作按三项推进。第一，一周内完成平台一页纸介绍与运维承诺定稿，向教务处分管领导汇报取得处室背书；第二，约信息中心召开首次对接会，同步单独提出统一身份认证接入申请；第三，不等对接结果，启动本地迁移演练（数据库导出至SQLite并完成全功能回归），同步办理轻量服务器采购与备案。</w:t>
      </w:r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建议处室领导同意本方案并批示与信息中心的沟通安排；同时同意将自主可控路线的年度经费（约150至400元）纳入科室业务支出。</w:t>
      </w:r>
    </w:p>
    <w:p>
      <w:pPr>
        <w:pStyle w:val="Heading1"/>
        <w:spacing w:after="60" w:before="120" w:line="560" w:lineRule="exact"/>
        <w:ind w:firstLine="640"/>
      </w:pPr>
      <w:bookmarkStart w:id="100028" w:name="_Toc100028"/>
      <w:r>
        <w:rPr>
          <w:rFonts w:ascii="Times New Roman" w:eastAsia="SimHei"/>
          <w:b w:val="false"/>
          <w:bCs w:val="false"/>
          <w:color w:val="000000"/>
          <w:sz w:val="32"/>
          <w:szCs w:val="32"/>
        </w:rPr>
        <w:t xml:space="preserve">附件：数据核查与事实来源说明</w:t>
      </w:r>
      <w:bookmarkEnd w:id="100028"/>
    </w:p>
    <w:p>
      <w:pPr>
        <w:spacing w:after="0" w:line="560" w:lineRule="exact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本方案引用的平台技术事实均有源可查：平台部署工程、云端部署归档文档（2026年8月19日）、用户权限落地设计文档（2026年8月20日）及平台代码仓库。数据体量与敏感字段为2026年9月10日实测结果：用户表2行、教室照片18张（压缩后共约5.9MB）、房间编辑与设备表均为0行；静态台账扫描出教职工手机号31处；线上健康检查接口探活超时（免费层空闲休眠复现）。相关明细及密钥事项按学校保密要求另行管理，本方案不附具体凭证。</w:t>
      </w:r>
    </w:p>
    <w:sectPr>
      <w:footerReference w:type="default" r:id="rId8"/>
      <w:type w:val="nextPage"/>
      <w:pgSz w:w="11906" w:h="16838" w:orient="portrait"/>
      <w:pgMar w:top="2098" w:right="1474" w:bottom="1984" w:left="1588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000000"/>
        <w:sz w:val="28"/>
        <w:szCs w:val="2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000000"/>
        <w:sz w:val="28"/>
        <w:szCs w:val="2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40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 w:line="560" w:lineRule="exact"/>
      <w:outlineLvl w:val="0"/>
    </w:pPr>
    <w:rPr>
      <w:rFonts w:ascii="Times New Roman" w:eastAsia="SimHei"/>
      <w:b w:val="false"/>
      <w:bCs w:val="false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30" w:before="60" w:line="560" w:lineRule="exact"/>
      <w:outlineLvl w:val="1"/>
    </w:pPr>
    <w:rPr>
      <w:rFonts w:ascii="Times New Roman" w:eastAsia="KaiTi"/>
      <w:b w:val="false"/>
      <w:bCs w:val="false"/>
      <w:color w:val="000000"/>
      <w:sz w:val="32"/>
      <w:szCs w:val="32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实训科管理平台移交与数据安全工作方案</dc:title>
  <dc:creator>教务处实训管理科</dc:creator>
  <cp:lastModifiedBy>Un-named</cp:lastModifiedBy>
  <cp:revision>1</cp:revision>
  <dcterms:created xsi:type="dcterms:W3CDTF">2026-09-11T02:28:41.389Z</dcterms:created>
  <dcterms:modified xsi:type="dcterms:W3CDTF">2026-09-11T02:28:41.391Z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