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32"/>
          <w:lang w:val="en-US" w:eastAsia="zh-CN"/>
        </w:rPr>
      </w:pPr>
      <w:r>
        <w:rPr>
          <w:rFonts w:hint="eastAsia"/>
          <w:sz w:val="24"/>
          <w:szCs w:val="32"/>
          <w:lang w:val="en-US" w:eastAsia="zh-CN"/>
        </w:rPr>
        <w:t>一．通路</w:t>
      </w:r>
    </w:p>
    <w:p>
      <w:pPr>
        <w:rPr>
          <w:rFonts w:hint="eastAsia"/>
          <w:lang w:val="en-US" w:eastAsia="zh-CN"/>
        </w:rPr>
      </w:pPr>
      <w:r>
        <w:rPr>
          <w:rFonts w:hint="eastAsia"/>
          <w:lang w:val="en-US" w:eastAsia="zh-CN"/>
        </w:rPr>
        <w:t xml:space="preserve">1. </w:t>
      </w:r>
    </w:p>
    <w:p>
      <w:pPr>
        <w:rPr>
          <w:rFonts w:ascii="宋体" w:hAnsi="宋体" w:eastAsia="宋体" w:cs="宋体"/>
          <w:sz w:val="24"/>
          <w:szCs w:val="24"/>
        </w:rPr>
      </w:pPr>
      <w:r>
        <w:rPr>
          <w:rFonts w:ascii="宋体" w:hAnsi="宋体" w:eastAsia="宋体" w:cs="宋体"/>
          <w:sz w:val="24"/>
          <w:szCs w:val="24"/>
        </w:rPr>
        <w:t>positive regulation of transcription by RNA polymerase II”以及“negative regulation of transcription by RNA polymerase II</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突变的亨廷丁蛋白会干扰RNA聚合酶II介导的基因转录，导致诸如脑源性神经营养因子（BDNF）等关键神经营养因子表达减少，从而加剧神经元的退行性改变。</w:t>
      </w: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t>Zuccato等人（2001）在《Science》上发表的研究已证明，突变亨廷丁蛋白会导致BDNF基因转录减少，从而影响神经元存活</w:t>
      </w:r>
      <w:r>
        <w:rPr>
          <w:rFonts w:hint="eastAsia" w:ascii="宋体" w:hAnsi="宋体" w:eastAsia="宋体" w:cs="宋体"/>
          <w:sz w:val="24"/>
          <w:szCs w:val="24"/>
          <w:lang w:eastAsia="zh-CN"/>
        </w:rPr>
        <w:t>。</w:t>
      </w:r>
    </w:p>
    <w:p>
      <w:pPr>
        <w:pStyle w:val="4"/>
        <w:keepNext w:val="0"/>
        <w:keepLines w:val="0"/>
        <w:widowControl/>
        <w:suppressLineNumbers w:val="0"/>
        <w:ind w:left="720"/>
      </w:pPr>
      <w:r>
        <w:rPr>
          <w:rStyle w:val="7"/>
        </w:rPr>
        <w:t>Zuccato, C., Ciammola, A., Rigamonti, D., et al. (2001).</w:t>
      </w:r>
      <w:r>
        <w:t xml:space="preserve"> Loss of huntingtin-mediated BDNF gene transcription in Huntington's disease. </w:t>
      </w:r>
      <w:r>
        <w:rPr>
          <w:rStyle w:val="8"/>
        </w:rPr>
        <w:t>Science</w:t>
      </w:r>
      <w:r>
        <w:t xml:space="preserve">, 293(5529), 493-498. DOI: </w:t>
      </w:r>
      <w:r>
        <w:fldChar w:fldCharType="begin"/>
      </w:r>
      <w:r>
        <w:instrText xml:space="preserve"> HYPERLINK "https://doi.org/10.1126/science.1062033" \t "_new" </w:instrText>
      </w:r>
      <w:r>
        <w:fldChar w:fldCharType="separate"/>
      </w:r>
      <w:r>
        <w:rPr>
          <w:rStyle w:val="9"/>
        </w:rPr>
        <w:t>10.1126/science.1062033</w:t>
      </w:r>
      <w:r>
        <w:fldChar w:fldCharType="end"/>
      </w:r>
      <w:r>
        <w:t>.</w:t>
      </w:r>
    </w:p>
    <w:p>
      <w:pPr>
        <w:pStyle w:val="4"/>
        <w:keepNext w:val="0"/>
        <w:keepLines w:val="0"/>
        <w:widowControl/>
        <w:suppressLineNumbers w:val="0"/>
        <w:ind w:left="720"/>
      </w:pPr>
      <w:r>
        <w:rPr>
          <w:rStyle w:val="7"/>
        </w:rPr>
        <w:t>Zuccato, C., Valenza, M., &amp; Cattaneo, E. (2010).</w:t>
      </w:r>
      <w:r>
        <w:t xml:space="preserve"> Molecular mechanisms and potential therapeutical targets in Huntington's disease. </w:t>
      </w:r>
      <w:r>
        <w:rPr>
          <w:rStyle w:val="8"/>
        </w:rPr>
        <w:t>Physiological Reviews</w:t>
      </w:r>
      <w:r>
        <w:t xml:space="preserve">, 90(3), 905-981. DOI: </w:t>
      </w:r>
      <w:r>
        <w:fldChar w:fldCharType="begin"/>
      </w:r>
      <w:r>
        <w:instrText xml:space="preserve"> HYPERLINK "https://doi.org/10.1152/physrev.00018.2009" \t "_new" </w:instrText>
      </w:r>
      <w:r>
        <w:fldChar w:fldCharType="separate"/>
      </w:r>
      <w:r>
        <w:rPr>
          <w:rStyle w:val="9"/>
        </w:rPr>
        <w:t>10.1152/physrev.00018.2009</w:t>
      </w:r>
      <w:r>
        <w:fldChar w:fldCharType="end"/>
      </w:r>
      <w:r>
        <w: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p>
      <w:pPr>
        <w:rPr>
          <w:rFonts w:hint="eastAsia" w:ascii="宋体" w:hAnsi="宋体" w:eastAsia="宋体" w:cs="宋体"/>
          <w:sz w:val="24"/>
          <w:szCs w:val="24"/>
          <w:lang w:val="en-US" w:eastAsia="zh-CN"/>
        </w:rPr>
      </w:pPr>
      <w:r>
        <w:rPr>
          <w:rFonts w:ascii="宋体" w:hAnsi="宋体" w:eastAsia="宋体" w:cs="宋体"/>
          <w:sz w:val="24"/>
          <w:szCs w:val="24"/>
        </w:rPr>
        <w:t>actin cytoskeleton organization</w:t>
      </w:r>
      <w:r>
        <w:rPr>
          <w:rFonts w:hint="eastAsia" w:ascii="宋体" w:hAnsi="宋体" w:eastAsia="宋体" w:cs="宋体"/>
          <w:sz w:val="24"/>
          <w:szCs w:val="24"/>
          <w:lang w:val="en-US" w:eastAsia="zh-CN"/>
        </w:rPr>
        <w:t xml:space="preserve"> </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涉及细胞骨架的重构和维持，对于神经元的形态、轴突和突触的稳定至关重要。已有研究显示，HD患者中细胞骨架的异常可能导致神经元突触功能受损，进而影响神经信号传导，促进神经退行性病变。</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Sepers &amp; Raymond（2014）综述了HD中突触功能障碍及兴奋性毒性机制，指出细胞骨架失调在其中可能发挥作用</w:t>
      </w:r>
    </w:p>
    <w:p>
      <w:pPr>
        <w:pStyle w:val="4"/>
        <w:keepNext w:val="0"/>
        <w:keepLines w:val="0"/>
        <w:widowControl/>
        <w:suppressLineNumbers w:val="0"/>
        <w:ind w:left="720"/>
      </w:pPr>
      <w:r>
        <w:rPr>
          <w:rStyle w:val="7"/>
        </w:rPr>
        <w:t>Sepers, M. D., &amp; Raymond, L. A. (2014).</w:t>
      </w:r>
      <w:r>
        <w:t xml:space="preserve"> Mechanisms of synaptic dysfunction and excitotoxicity in Huntington's disease. </w:t>
      </w:r>
      <w:r>
        <w:rPr>
          <w:rStyle w:val="8"/>
        </w:rPr>
        <w:t>Drug Discovery Today</w:t>
      </w:r>
      <w:r>
        <w:t xml:space="preserve">, 19(7), 990-996. DOI: </w:t>
      </w:r>
      <w:r>
        <w:fldChar w:fldCharType="begin"/>
      </w:r>
      <w:r>
        <w:instrText xml:space="preserve"> HYPERLINK "https://doi.org/10.1016/j.drudis.2014.06.008" \t "_new" </w:instrText>
      </w:r>
      <w:r>
        <w:fldChar w:fldCharType="separate"/>
      </w:r>
      <w:r>
        <w:rPr>
          <w:rStyle w:val="9"/>
        </w:rPr>
        <w:t>10.1016/j.drudis.2014.06.008</w:t>
      </w:r>
      <w:r>
        <w:fldChar w:fldCharType="end"/>
      </w:r>
      <w:r>
        <w:t>.</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p>
    <w:p>
      <w:pPr>
        <w:pStyle w:val="3"/>
        <w:keepNext w:val="0"/>
        <w:keepLines w:val="0"/>
        <w:widowControl/>
        <w:suppressLineNumbers w:val="0"/>
      </w:pPr>
      <w:r>
        <w:t>轴突初段（Axon Hillock）</w:t>
      </w:r>
    </w:p>
    <w:p>
      <w:pPr>
        <w:pStyle w:val="4"/>
        <w:keepNext w:val="0"/>
        <w:keepLines w:val="0"/>
        <w:widowControl/>
        <w:suppressLineNumbers w:val="0"/>
      </w:pPr>
      <w:r>
        <w:t>通过对亨廷顿病模型中纹状体神经元的电生理研究，揭示了神经元信号传导的异常，提示细胞膜及其相关区域（包括轴突初段）的功能可能受到影响。</w:t>
      </w:r>
    </w:p>
    <w:p>
      <w:pPr>
        <w:pStyle w:val="2"/>
        <w:keepNext w:val="0"/>
        <w:keepLines w:val="0"/>
        <w:widowControl/>
        <w:suppressLineNumbers w:val="0"/>
        <w:spacing w:before="0" w:beforeAutospacing="0" w:after="0" w:afterAutospacing="0" w:line="450" w:lineRule="atLeast"/>
        <w:ind w:left="0" w:right="0"/>
        <w:rPr>
          <w:rFonts w:ascii="Bahnschrift" w:hAnsi="Bahnschrift" w:eastAsia="Bahnschrift" w:cs="Bahnschrift"/>
          <w:b/>
          <w:bCs/>
          <w:spacing w:val="0"/>
          <w:sz w:val="28"/>
          <w:szCs w:val="28"/>
        </w:rPr>
      </w:pPr>
      <w:r>
        <w:rPr>
          <w:rFonts w:hint="default" w:ascii="Bahnschrift" w:hAnsi="Bahnschrift" w:eastAsia="Bahnschrift" w:cs="Bahnschrift"/>
          <w:b/>
          <w:bCs/>
          <w:spacing w:val="0"/>
          <w:sz w:val="28"/>
          <w:szCs w:val="28"/>
        </w:rPr>
        <w:t>Disrupted striatal neuron inputs and outputs in Huntington's disease</w:t>
      </w:r>
    </w:p>
    <w:p>
      <w:pPr>
        <w:keepNext w:val="0"/>
        <w:keepLines w:val="0"/>
        <w:widowControl/>
        <w:suppressLineNumbers w:val="0"/>
        <w:shd w:val="clear" w:fill="FFFFFF"/>
        <w:spacing w:before="225" w:beforeAutospacing="0" w:after="0" w:afterAutospacing="0"/>
        <w:ind w:left="0" w:firstLine="0"/>
        <w:jc w:val="left"/>
        <w:rPr>
          <w:rFonts w:hint="default" w:ascii="Bahnschrift" w:hAnsi="Bahnschrift" w:eastAsia="Bahnschrift" w:cs="Bahnschrift"/>
          <w:i w:val="0"/>
          <w:iCs w:val="0"/>
          <w:caps w:val="0"/>
          <w:color w:val="1B1B1B"/>
          <w:spacing w:val="0"/>
          <w:sz w:val="21"/>
          <w:szCs w:val="21"/>
        </w:rPr>
      </w:pPr>
      <w:r>
        <w:rPr>
          <w:rFonts w:hint="default" w:ascii="Bahnschrift" w:hAnsi="Bahnschrift" w:eastAsia="Bahnschrift" w:cs="Bahnschrift"/>
          <w:i w:val="0"/>
          <w:iCs w:val="0"/>
          <w:caps w:val="0"/>
          <w:color w:val="005EA2"/>
          <w:spacing w:val="0"/>
          <w:kern w:val="0"/>
          <w:sz w:val="21"/>
          <w:szCs w:val="21"/>
          <w:u w:val="single"/>
          <w:shd w:val="clear" w:fill="FFFFFF"/>
          <w:lang w:val="en-US" w:eastAsia="zh-CN" w:bidi="ar"/>
        </w:rPr>
        <w:fldChar w:fldCharType="begin"/>
      </w:r>
      <w:r>
        <w:rPr>
          <w:rFonts w:hint="default" w:ascii="Bahnschrift" w:hAnsi="Bahnschrift" w:eastAsia="Bahnschrift" w:cs="Bahnschrift"/>
          <w:i w:val="0"/>
          <w:iCs w:val="0"/>
          <w:caps w:val="0"/>
          <w:color w:val="005EA2"/>
          <w:spacing w:val="0"/>
          <w:kern w:val="0"/>
          <w:sz w:val="21"/>
          <w:szCs w:val="21"/>
          <w:u w:val="single"/>
          <w:shd w:val="clear" w:fill="FFFFFF"/>
          <w:lang w:val="en-US" w:eastAsia="zh-CN" w:bidi="ar"/>
        </w:rPr>
        <w:instrText xml:space="preserve"> HYPERLINK "https://pubmed.ncbi.nlm.nih.gov/?term="Reiner A"[Author]" </w:instrText>
      </w:r>
      <w:r>
        <w:rPr>
          <w:rFonts w:hint="default" w:ascii="Bahnschrift" w:hAnsi="Bahnschrift" w:eastAsia="Bahnschrift" w:cs="Bahnschrift"/>
          <w:i w:val="0"/>
          <w:iCs w:val="0"/>
          <w:caps w:val="0"/>
          <w:color w:val="005EA2"/>
          <w:spacing w:val="0"/>
          <w:kern w:val="0"/>
          <w:sz w:val="21"/>
          <w:szCs w:val="21"/>
          <w:u w:val="single"/>
          <w:shd w:val="clear" w:fill="FFFFFF"/>
          <w:lang w:val="en-US" w:eastAsia="zh-CN" w:bidi="ar"/>
        </w:rPr>
        <w:fldChar w:fldCharType="separate"/>
      </w:r>
      <w:r>
        <w:rPr>
          <w:rStyle w:val="9"/>
          <w:rFonts w:hint="default" w:ascii="Bahnschrift" w:hAnsi="Bahnschrift" w:eastAsia="Bahnschrift" w:cs="Bahnschrift"/>
          <w:i w:val="0"/>
          <w:iCs w:val="0"/>
          <w:caps w:val="0"/>
          <w:color w:val="005EA2"/>
          <w:spacing w:val="0"/>
          <w:sz w:val="21"/>
          <w:szCs w:val="21"/>
          <w:u w:val="single"/>
          <w:shd w:val="clear" w:fill="FFFFFF"/>
        </w:rPr>
        <w:t>Anton Reiner</w:t>
      </w:r>
      <w:r>
        <w:rPr>
          <w:rFonts w:hint="default" w:ascii="Bahnschrift" w:hAnsi="Bahnschrift" w:eastAsia="Bahnschrift" w:cs="Bahnschrift"/>
          <w:i w:val="0"/>
          <w:iCs w:val="0"/>
          <w:caps w:val="0"/>
          <w:color w:val="005EA2"/>
          <w:spacing w:val="0"/>
          <w:kern w:val="0"/>
          <w:sz w:val="21"/>
          <w:szCs w:val="21"/>
          <w:u w:val="single"/>
          <w:shd w:val="clear" w:fill="FFFFFF"/>
          <w:lang w:val="en-US" w:eastAsia="zh-CN" w:bidi="ar"/>
        </w:rPr>
        <w:fldChar w:fldCharType="end"/>
      </w:r>
    </w:p>
    <w:p>
      <w:pPr>
        <w:rPr>
          <w:rFonts w:hint="default"/>
          <w:lang w:val="en-US" w:eastAsia="zh-CN"/>
        </w:rPr>
      </w:pPr>
    </w:p>
    <w:p>
      <w:pPr>
        <w:rPr>
          <w:rFonts w:hint="default"/>
          <w:sz w:val="24"/>
          <w:szCs w:val="32"/>
          <w:lang w:val="en-US" w:eastAsia="zh-CN"/>
        </w:rPr>
      </w:pPr>
      <w:r>
        <w:rPr>
          <w:rFonts w:hint="default"/>
          <w:sz w:val="24"/>
          <w:szCs w:val="32"/>
          <w:lang w:val="en-US" w:eastAsia="zh-CN"/>
        </w:rPr>
        <w:t xml:space="preserve"> **Bates, G. P. et al.** (2015). *Huntington disease*. Nature Reviews Disease Primers.  </w:t>
      </w:r>
    </w:p>
    <w:p>
      <w:pPr>
        <w:rPr>
          <w:rFonts w:hint="default"/>
          <w:sz w:val="24"/>
          <w:szCs w:val="32"/>
          <w:lang w:val="en-US" w:eastAsia="zh-CN"/>
        </w:rPr>
      </w:pPr>
      <w:r>
        <w:rPr>
          <w:rFonts w:hint="default"/>
          <w:sz w:val="24"/>
          <w:szCs w:val="32"/>
          <w:lang w:val="en-US" w:eastAsia="zh-CN"/>
        </w:rPr>
        <w:t xml:space="preserve">   - 概述HD的遗传机制和神经病理特征，包括轴突运输障碍和突触功能异常。</w:t>
      </w:r>
    </w:p>
    <w:p>
      <w:pPr>
        <w:rPr>
          <w:rFonts w:hint="default"/>
          <w:lang w:val="en-US" w:eastAsia="zh-CN"/>
        </w:rPr>
      </w:pPr>
    </w:p>
    <w:p>
      <w:pPr>
        <w:rPr>
          <w:rFonts w:hint="default"/>
          <w:sz w:val="28"/>
          <w:szCs w:val="36"/>
          <w:lang w:val="en-US" w:eastAsia="zh-CN"/>
        </w:rPr>
      </w:pPr>
    </w:p>
    <w:p>
      <w:pPr>
        <w:rPr>
          <w:rFonts w:hint="eastAsia"/>
          <w:sz w:val="28"/>
          <w:szCs w:val="36"/>
          <w:lang w:val="en-US" w:eastAsia="zh-CN"/>
        </w:rPr>
      </w:pPr>
      <w:r>
        <w:rPr>
          <w:rFonts w:hint="eastAsia"/>
          <w:sz w:val="28"/>
          <w:szCs w:val="36"/>
          <w:lang w:val="en-US" w:eastAsia="zh-CN"/>
        </w:rPr>
        <w:t>4.</w:t>
      </w:r>
    </w:p>
    <w:p>
      <w:pPr>
        <w:rPr>
          <w:rFonts w:ascii="宋体" w:hAnsi="宋体" w:eastAsia="宋体" w:cs="宋体"/>
          <w:sz w:val="24"/>
          <w:szCs w:val="24"/>
        </w:rPr>
      </w:pPr>
      <w:r>
        <w:rPr>
          <w:rFonts w:ascii="宋体" w:hAnsi="宋体" w:eastAsia="宋体" w:cs="宋体"/>
          <w:sz w:val="24"/>
          <w:szCs w:val="24"/>
        </w:rPr>
        <w:t>树突干（Dendritic Shaft）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在亨廷顿病中，已有大量研究发现患者及动物模型中存在树突棘丢失和树突结构退化的现象，这直接导致突触功能障碍和神经元间信号传递异常。</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GO条目中涉及的</w:t>
      </w:r>
      <w:r>
        <w:rPr>
          <w:rStyle w:val="7"/>
        </w:rPr>
        <w:t>KIRREL3</w:t>
      </w:r>
      <w:r>
        <w:t>和</w:t>
      </w:r>
      <w:r>
        <w:rPr>
          <w:rStyle w:val="7"/>
        </w:rPr>
        <w:t>CNIH2</w:t>
      </w:r>
      <w:r>
        <w:t>，分别与细胞粘附和调控AMPA受体功能相关，这些因子对突触结构的稳定及神经信号的精确传递具有重要作用。因此，其异常也可能与HD中突触和树突结构的病理变化有关。</w:t>
      </w:r>
    </w:p>
    <w:p>
      <w:pPr>
        <w:rPr>
          <w:rFonts w:hint="default" w:ascii="宋体" w:hAnsi="宋体" w:eastAsia="宋体" w:cs="宋体"/>
          <w:sz w:val="24"/>
          <w:szCs w:val="24"/>
          <w:lang w:val="en-US" w:eastAsia="zh-CN"/>
        </w:rPr>
      </w:pPr>
    </w:p>
    <w:p>
      <w:pPr>
        <w:pStyle w:val="4"/>
        <w:keepNext w:val="0"/>
        <w:keepLines w:val="0"/>
        <w:widowControl/>
        <w:suppressLineNumbers w:val="0"/>
      </w:pPr>
      <w:r>
        <w:rPr>
          <w:rStyle w:val="7"/>
        </w:rPr>
        <w:t>Milnerwood, A. J. &amp; Raymond, L. A. (2007)</w:t>
      </w:r>
      <w:r>
        <w:t xml:space="preserve"> 综述了亨廷顿病早期的突触病理变化，指出树突结构和功能的异常在病程中扮演了重要角色。</w:t>
      </w:r>
    </w:p>
    <w:p>
      <w:pPr>
        <w:pStyle w:val="4"/>
        <w:keepNext w:val="0"/>
        <w:keepLines w:val="0"/>
        <w:widowControl/>
        <w:suppressLineNumbers w:val="0"/>
        <w:ind w:left="720" w:right="720"/>
        <w:rPr>
          <w:rFonts w:hint="eastAsia" w:ascii="宋体" w:hAnsi="宋体" w:eastAsia="宋体" w:cs="宋体"/>
          <w:sz w:val="24"/>
          <w:szCs w:val="24"/>
        </w:rPr>
      </w:pPr>
      <w:r>
        <w:rPr>
          <w:rFonts w:hint="eastAsia" w:ascii="宋体" w:hAnsi="宋体" w:eastAsia="宋体" w:cs="宋体"/>
          <w:sz w:val="24"/>
          <w:szCs w:val="24"/>
        </w:rPr>
        <w:t xml:space="preserve">Milnerwood, A. J., &amp; Raymond, L. A. “Early synaptic pathophysiology in neurodegeneration: insights from Huntington’s disease.” </w:t>
      </w:r>
      <w:r>
        <w:rPr>
          <w:rStyle w:val="8"/>
          <w:rFonts w:hint="eastAsia" w:ascii="宋体" w:hAnsi="宋体" w:eastAsia="宋体" w:cs="宋体"/>
          <w:sz w:val="24"/>
          <w:szCs w:val="24"/>
        </w:rPr>
        <w:t>Trends in Neurosciences</w:t>
      </w:r>
      <w:r>
        <w:rPr>
          <w:rFonts w:hint="eastAsia" w:ascii="宋体" w:hAnsi="宋体" w:eastAsia="宋体" w:cs="宋体"/>
          <w:sz w:val="24"/>
          <w:szCs w:val="24"/>
        </w:rPr>
        <w:t>, 30(7), 407–413.</w:t>
      </w:r>
    </w:p>
    <w:p>
      <w:pPr>
        <w:pStyle w:val="4"/>
        <w:keepNext w:val="0"/>
        <w:keepLines w:val="0"/>
        <w:widowControl/>
        <w:suppressLineNumbers w:val="0"/>
      </w:pPr>
      <w:r>
        <w:rPr>
          <w:rStyle w:val="7"/>
        </w:rPr>
        <w:t>Gauthier, L. R. et al. (2004)</w:t>
      </w:r>
      <w:r>
        <w:t xml:space="preserve"> 在转基因HD小鼠模型中观察到了树突结构异常和树突棘丢失，为HD中树突相关病理变化提供了实验证据。</w:t>
      </w:r>
    </w:p>
    <w:p>
      <w:pPr>
        <w:pStyle w:val="4"/>
        <w:keepNext w:val="0"/>
        <w:keepLines w:val="0"/>
        <w:widowControl/>
        <w:suppressLineNumbers w:val="0"/>
        <w:ind w:left="720" w:right="720"/>
      </w:pPr>
      <w:r>
        <w:rPr>
          <w:rFonts w:hint="eastAsia" w:ascii="宋体" w:hAnsi="宋体" w:eastAsia="宋体" w:cs="宋体"/>
          <w:sz w:val="24"/>
          <w:szCs w:val="24"/>
        </w:rPr>
        <w:t xml:space="preserve">Gauthier, L. R., et al. “Dendritic abnormalities in a transgenic mouse model of Huntington's disease.” </w:t>
      </w:r>
      <w:r>
        <w:rPr>
          <w:rStyle w:val="8"/>
          <w:rFonts w:hint="eastAsia" w:ascii="宋体" w:hAnsi="宋体" w:eastAsia="宋体" w:cs="宋体"/>
          <w:sz w:val="24"/>
          <w:szCs w:val="24"/>
        </w:rPr>
        <w:t>Journal of Neuroscience</w:t>
      </w:r>
      <w:r>
        <w:rPr>
          <w:rFonts w:hint="eastAsia" w:ascii="宋体" w:hAnsi="宋体" w:eastAsia="宋体" w:cs="宋体"/>
          <w:sz w:val="24"/>
          <w:szCs w:val="24"/>
        </w:rPr>
        <w:t>,</w:t>
      </w:r>
    </w:p>
    <w:p>
      <w:pPr>
        <w:pStyle w:val="4"/>
        <w:keepNext w:val="0"/>
        <w:keepLines w:val="0"/>
        <w:widowControl/>
        <w:suppressLineNumbers w:val="0"/>
        <w:ind w:right="720"/>
        <w:rPr>
          <w:rFonts w:hint="eastAsia" w:ascii="宋体" w:hAnsi="宋体" w:eastAsia="宋体" w:cs="宋体"/>
          <w:sz w:val="24"/>
          <w:szCs w:val="24"/>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pPr>
        <w:rPr>
          <w:rFonts w:hint="default" w:ascii="宋体" w:hAnsi="宋体" w:eastAsia="宋体" w:cs="宋体"/>
          <w:sz w:val="28"/>
          <w:szCs w:val="28"/>
          <w:lang w:val="en-US" w:eastAsia="zh-CN"/>
        </w:rPr>
      </w:pPr>
    </w:p>
    <w:p>
      <w:r>
        <w:rPr>
          <w:rFonts w:hint="eastAsia" w:ascii="宋体" w:hAnsi="宋体" w:eastAsia="宋体" w:cs="宋体"/>
          <w:sz w:val="28"/>
          <w:szCs w:val="28"/>
          <w:lang w:val="en-US" w:eastAsia="zh-CN"/>
        </w:rPr>
        <w:t>二．基因</w:t>
      </w: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CNIH2</w:t>
      </w:r>
    </w:p>
    <w:p>
      <w:pPr>
        <w:keepNext w:val="0"/>
        <w:keepLines w:val="0"/>
        <w:widowControl/>
        <w:numPr>
          <w:ilvl w:val="0"/>
          <w:numId w:val="1"/>
        </w:numPr>
        <w:suppressLineNumbers w:val="0"/>
        <w:spacing w:before="0" w:beforeAutospacing="1" w:after="0" w:afterAutospacing="1"/>
        <w:ind w:left="720" w:hanging="360"/>
      </w:pPr>
      <w:r>
        <w:rPr>
          <w:rStyle w:val="7"/>
        </w:rPr>
        <w:t>通路归属：</w:t>
      </w:r>
      <w:r>
        <w:t xml:space="preserve"> GO:0043198（dendritic shaft）</w:t>
      </w:r>
    </w:p>
    <w:p>
      <w:pPr>
        <w:keepNext w:val="0"/>
        <w:keepLines w:val="0"/>
        <w:widowControl/>
        <w:numPr>
          <w:ilvl w:val="0"/>
          <w:numId w:val="1"/>
        </w:numPr>
        <w:suppressLineNumbers w:val="0"/>
        <w:spacing w:before="0" w:beforeAutospacing="1" w:after="0" w:afterAutospacing="1"/>
        <w:ind w:left="720" w:hanging="360"/>
        <w:rPr>
          <w:rFonts w:hint="default" w:ascii="宋体" w:hAnsi="宋体" w:eastAsia="宋体" w:cs="宋体"/>
          <w:sz w:val="24"/>
          <w:szCs w:val="24"/>
          <w:lang w:val="en-US" w:eastAsia="zh-CN"/>
        </w:rPr>
      </w:pPr>
      <w:r>
        <w:rPr>
          <w:rStyle w:val="7"/>
        </w:rPr>
        <w:t>与HD关系：</w:t>
      </w:r>
      <w:r>
        <w:t xml:space="preserve"> CNIH2调控AMPA受体的功能和细胞表面表达，可能参与HD中突触传递异常和兴奋性毒性的发生。（Milnerwood &amp; Raymond, 2007）</w:t>
      </w:r>
    </w:p>
    <w:p>
      <w:pPr>
        <w:pStyle w:val="4"/>
        <w:keepNext w:val="0"/>
        <w:keepLines w:val="0"/>
        <w:widowControl/>
        <w:suppressLineNumbers w:val="0"/>
      </w:pPr>
      <w:r>
        <w:t>CNIH2与亨廷顿病的相关性已被研究。CNIH2与AMPAR（AMPA受体）相互作用，而AMPAR在神经元兴奋性和突触可塑性中发挥重要作用。以下是相关研究：</w:t>
      </w:r>
    </w:p>
    <w:p>
      <w:pPr>
        <w:keepNext w:val="0"/>
        <w:keepLines w:val="0"/>
        <w:widowControl/>
        <w:numPr>
          <w:ilvl w:val="0"/>
          <w:numId w:val="2"/>
        </w:numPr>
        <w:suppressLineNumbers w:val="0"/>
        <w:spacing w:before="0" w:beforeAutospacing="1" w:after="0" w:afterAutospacing="1"/>
        <w:ind w:left="720" w:hanging="360"/>
        <w:rPr>
          <w:rFonts w:hint="default" w:ascii="宋体" w:hAnsi="宋体" w:eastAsia="宋体" w:cs="宋体"/>
          <w:sz w:val="24"/>
          <w:szCs w:val="24"/>
          <w:lang w:val="en-US" w:eastAsia="zh-CN"/>
        </w:rPr>
      </w:pPr>
      <w:r>
        <w:t>研究表明，CNIH2在亨廷顿病的动物模型中呈现下调，并且可能参与亨廷顿病的突触损伤机制</w:t>
      </w:r>
    </w:p>
    <w:p>
      <w:pPr>
        <w:keepNext w:val="0"/>
        <w:keepLines w:val="0"/>
        <w:widowControl/>
        <w:numPr>
          <w:ilvl w:val="0"/>
          <w:numId w:val="1"/>
        </w:numPr>
        <w:suppressLineNumbers w:val="0"/>
        <w:spacing w:before="0" w:beforeAutospacing="1" w:after="0" w:afterAutospacing="1"/>
        <w:ind w:left="720" w:hanging="360"/>
        <w:rPr>
          <w:rFonts w:hint="default" w:ascii="宋体" w:hAnsi="宋体" w:eastAsia="宋体" w:cs="宋体"/>
          <w:sz w:val="24"/>
          <w:szCs w:val="24"/>
          <w:lang w:val="en-US" w:eastAsia="zh-CN"/>
        </w:rPr>
      </w:pPr>
      <w:r>
        <w:rPr>
          <w:rStyle w:val="7"/>
          <w:rFonts w:ascii="宋体" w:hAnsi="宋体" w:eastAsia="宋体" w:cs="宋体"/>
          <w:sz w:val="24"/>
          <w:szCs w:val="24"/>
        </w:rPr>
        <w:t>Milnerwood, A. J., &amp; Raymond, L. A. (2007).</w:t>
      </w:r>
      <w:r>
        <w:rPr>
          <w:rFonts w:ascii="宋体" w:hAnsi="宋体" w:eastAsia="宋体" w:cs="宋体"/>
          <w:sz w:val="24"/>
          <w:szCs w:val="24"/>
        </w:rPr>
        <w:t xml:space="preserve"> Early synaptic pathophysiology in neurodegeneration: insights from Huntington's disease.</w:t>
      </w:r>
    </w:p>
    <w:p>
      <w:pPr>
        <w:pStyle w:val="4"/>
        <w:keepNext w:val="0"/>
        <w:keepLines w:val="0"/>
        <w:widowControl/>
        <w:suppressLineNumbers w:val="0"/>
        <w:rPr>
          <w:rFonts w:hint="default" w:ascii="Symbol" w:hAnsi="Symbol" w:eastAsia="Symbol" w:cs="Symbol"/>
          <w:sz w:val="24"/>
        </w:rPr>
      </w:pPr>
    </w:p>
    <w:p>
      <w:pPr>
        <w:pStyle w:val="4"/>
        <w:keepNext w:val="0"/>
        <w:keepLines w:val="0"/>
        <w:widowControl/>
        <w:suppressLineNumbers w:val="0"/>
        <w:rPr>
          <w:rFonts w:hint="default" w:ascii="Symbol" w:hAnsi="Symbol" w:eastAsia="Symbol" w:cs="Symbol"/>
          <w:sz w:val="24"/>
        </w:rPr>
      </w:pPr>
    </w:p>
    <w:p>
      <w:pPr>
        <w:pStyle w:val="4"/>
        <w:keepNext w:val="0"/>
        <w:keepLines w:val="0"/>
        <w:widowControl/>
        <w:suppressLineNumbers w:val="0"/>
        <w:rPr>
          <w:rFonts w:hint="eastAsia" w:ascii="Symbol" w:hAnsi="Symbol" w:cs="Symbol" w:eastAsiaTheme="minorEastAsia"/>
          <w:sz w:val="24"/>
          <w:lang w:val="en-US" w:eastAsia="zh-CN"/>
        </w:rPr>
      </w:pPr>
      <w:r>
        <w:rPr>
          <w:rFonts w:hint="default" w:ascii="Symbol" w:hAnsi="Symbol" w:eastAsia="Symbol" w:cs="Symbol"/>
          <w:sz w:val="24"/>
        </w:rPr>
        <w:t>·</w:t>
      </w:r>
      <w:r>
        <w:rPr>
          <w:rFonts w:hint="eastAsia" w:ascii="宋体" w:hAnsi="宋体" w:eastAsia="宋体" w:cs="宋体"/>
          <w:sz w:val="24"/>
        </w:rPr>
        <w:t xml:space="preserve">  </w:t>
      </w:r>
      <w:r>
        <w:rPr>
          <w:rStyle w:val="7"/>
          <w:rFonts w:hint="eastAsia"/>
        </w:rPr>
        <w:t>EIF5A</w:t>
      </w:r>
      <w:r>
        <w:rPr>
          <w:rStyle w:val="7"/>
          <w:rFonts w:hint="eastAsia"/>
          <w:lang w:val="en-US" w:eastAsia="zh-CN"/>
        </w:rPr>
        <w:t xml:space="preserve"> （真核翻译起始因子5A）在HD中通过调节翻译延伸过程参与疾病进展</w:t>
      </w:r>
    </w:p>
    <w:p>
      <w:pPr>
        <w:pStyle w:val="4"/>
        <w:keepNext w:val="0"/>
        <w:keepLines w:val="0"/>
        <w:widowControl/>
        <w:suppressLineNumbers w:val="0"/>
      </w:pPr>
      <w:r>
        <w:rPr>
          <w:rStyle w:val="7"/>
        </w:rPr>
        <w:t>Ribotoxic collisions disrupt proteostasis in Huntington's Disease</w:t>
      </w:r>
    </w:p>
    <w:p>
      <w:pPr>
        <w:keepNext w:val="0"/>
        <w:keepLines w:val="0"/>
        <w:widowControl/>
        <w:numPr>
          <w:ilvl w:val="0"/>
          <w:numId w:val="3"/>
        </w:numPr>
        <w:suppressLineNumbers w:val="0"/>
        <w:spacing w:before="0" w:beforeAutospacing="1" w:after="0" w:afterAutospacing="1"/>
        <w:ind w:left="720" w:hanging="360"/>
      </w:pPr>
      <w:r>
        <w:rPr>
          <w:rStyle w:val="7"/>
        </w:rPr>
        <w:t>关联性</w:t>
      </w:r>
      <w:r>
        <w:t>: 这篇文章研究了EIF5A在HD细胞中的作用，特别是在翻译应激反应（ISR）中的作用。EIF5A的功能与蛋白质合成相关，可能会影响转录过程，特别是在RNA聚合酶II的转录过程中调节基因表达。</w:t>
      </w:r>
    </w:p>
    <w:p>
      <w:pPr>
        <w:pStyle w:val="4"/>
        <w:keepNext w:val="0"/>
        <w:keepLines w:val="0"/>
        <w:widowControl/>
        <w:suppressLineNumbers w:val="0"/>
        <w:rPr>
          <w:rFonts w:hint="default" w:ascii="Symbol" w:hAnsi="Symbol" w:eastAsia="Symbol" w:cs="Symbol"/>
          <w:sz w:val="24"/>
        </w:rPr>
      </w:pPr>
    </w:p>
    <w:p>
      <w:pPr>
        <w:pStyle w:val="4"/>
        <w:keepNext w:val="0"/>
        <w:keepLines w:val="0"/>
        <w:widowControl/>
        <w:suppressLineNumbers w:val="0"/>
        <w:rPr>
          <w:rFonts w:hint="default" w:ascii="Symbol" w:hAnsi="Symbol" w:eastAsia="Symbol" w:cs="Symbol"/>
          <w:sz w:val="24"/>
        </w:rPr>
      </w:pPr>
    </w:p>
    <w:p>
      <w:pPr>
        <w:pStyle w:val="4"/>
        <w:keepNext w:val="0"/>
        <w:keepLines w:val="0"/>
        <w:widowControl/>
        <w:suppressLineNumbers w:val="0"/>
        <w:ind w:left="720"/>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keepNext w:val="0"/>
        <w:keepLines w:val="0"/>
        <w:widowControl/>
        <w:suppressLineNumbers w:val="0"/>
        <w:spacing w:line="18" w:lineRule="atLeast"/>
        <w:ind w:left="0" w:firstLine="0"/>
        <w:rPr>
          <w:rStyle w:val="7"/>
          <w:rFonts w:hint="default" w:ascii="Segoe UI" w:hAnsi="Segoe UI" w:eastAsia="宋体" w:cs="Segoe UI"/>
          <w:b/>
          <w:i w:val="0"/>
          <w:iCs w:val="0"/>
          <w:caps w:val="0"/>
          <w:color w:val="404040"/>
          <w:spacing w:val="0"/>
          <w:sz w:val="22"/>
          <w:szCs w:val="22"/>
          <w:lang w:val="en-US" w:eastAsia="zh-CN"/>
        </w:rPr>
      </w:pPr>
      <w:r>
        <w:rPr>
          <w:rFonts w:hint="default" w:ascii="Symbol" w:hAnsi="Symbol" w:eastAsia="Symbol" w:cs="Symbol"/>
          <w:sz w:val="21"/>
          <w:szCs w:val="22"/>
        </w:rPr>
        <w:t>·</w:t>
      </w:r>
      <w:r>
        <w:rPr>
          <w:rFonts w:hint="eastAsia" w:ascii="宋体" w:hAnsi="宋体" w:eastAsia="宋体" w:cs="宋体"/>
          <w:sz w:val="21"/>
          <w:szCs w:val="22"/>
        </w:rPr>
        <w:t xml:space="preserve">  </w:t>
      </w:r>
      <w:r>
        <w:rPr>
          <w:rFonts w:ascii="宋体" w:hAnsi="宋体" w:eastAsia="宋体" w:cs="宋体"/>
          <w:sz w:val="24"/>
          <w:szCs w:val="24"/>
        </w:rPr>
        <w:t>BCL6</w:t>
      </w:r>
      <w:r>
        <w:rPr>
          <w:rFonts w:hint="eastAsia" w:cs="宋体"/>
          <w:sz w:val="24"/>
          <w:szCs w:val="24"/>
          <w:lang w:val="en-US" w:eastAsia="zh-CN"/>
        </w:rPr>
        <w:t xml:space="preserve"> and             </w:t>
      </w:r>
      <w:r>
        <w:rPr>
          <w:rFonts w:ascii="宋体" w:hAnsi="宋体" w:eastAsia="宋体" w:cs="宋体"/>
          <w:sz w:val="24"/>
          <w:szCs w:val="24"/>
        </w:rPr>
        <w:t>GFI1</w:t>
      </w:r>
    </w:p>
    <w:p>
      <w:pPr>
        <w:pStyle w:val="3"/>
        <w:keepNext w:val="0"/>
        <w:keepLines w:val="0"/>
        <w:widowControl/>
        <w:suppressLineNumbers w:val="0"/>
        <w:spacing w:line="18" w:lineRule="atLeast"/>
        <w:ind w:left="0" w:firstLine="0"/>
        <w:rPr>
          <w:sz w:val="24"/>
          <w:szCs w:val="24"/>
        </w:rPr>
      </w:pPr>
      <w:r>
        <w:rPr>
          <w:rStyle w:val="7"/>
          <w:b/>
          <w:sz w:val="24"/>
          <w:szCs w:val="24"/>
        </w:rPr>
        <w:t>所在通路</w:t>
      </w:r>
      <w:r>
        <w:rPr>
          <w:sz w:val="24"/>
          <w:szCs w:val="24"/>
        </w:rPr>
        <w:t>：</w:t>
      </w:r>
      <w:r>
        <w:rPr>
          <w:rFonts w:hint="eastAsia"/>
          <w:sz w:val="24"/>
          <w:szCs w:val="24"/>
          <w:lang w:val="en-US" w:eastAsia="zh-CN"/>
        </w:rPr>
        <w:t>negative</w:t>
      </w:r>
      <w:r>
        <w:rPr>
          <w:rFonts w:hint="eastAsia"/>
          <w:sz w:val="24"/>
          <w:szCs w:val="24"/>
        </w:rPr>
        <w:t xml:space="preserve"> regulation of transcription by RNA polymerase II</w:t>
      </w:r>
    </w:p>
    <w:p>
      <w:pPr>
        <w:rPr>
          <w:rFonts w:ascii="宋体" w:hAnsi="宋体" w:eastAsia="宋体" w:cs="宋体"/>
          <w:sz w:val="24"/>
          <w:szCs w:val="24"/>
        </w:rPr>
      </w:pPr>
      <w:r>
        <w:rPr>
          <w:rFonts w:ascii="宋体" w:hAnsi="宋体" w:eastAsia="宋体" w:cs="宋体"/>
          <w:sz w:val="24"/>
          <w:szCs w:val="24"/>
        </w:rPr>
        <w:t>A study investigates the transcriptional dysregulation in Huntington's disease using RNA sequencing, identifying BCL6 as a critical gene involved in HD-related pathways. The study suggests that BCL6 is upregulated in HD and could play a role in the disease's pathogenesis.</w:t>
      </w:r>
    </w:p>
    <w:p>
      <w:pPr>
        <w:rPr>
          <w:rFonts w:ascii="宋体" w:hAnsi="宋体" w:eastAsia="宋体" w:cs="宋体"/>
          <w:sz w:val="24"/>
          <w:szCs w:val="24"/>
        </w:rPr>
      </w:pPr>
    </w:p>
    <w:p>
      <w:pPr>
        <w:rPr>
          <w:rFonts w:ascii="Helvetica" w:hAnsi="Helvetica" w:eastAsia="Helvetica" w:cs="Helvetica"/>
          <w:i w:val="0"/>
          <w:iCs w:val="0"/>
          <w:caps w:val="0"/>
          <w:color w:val="282828"/>
          <w:spacing w:val="0"/>
          <w:sz w:val="24"/>
          <w:szCs w:val="24"/>
          <w:shd w:val="clear" w:fill="F7F7F7"/>
        </w:rPr>
      </w:pPr>
      <w:r>
        <w:rPr>
          <w:rStyle w:val="7"/>
        </w:rPr>
        <w:t>参考文献</w:t>
      </w:r>
      <w:r>
        <w:t>：</w:t>
      </w:r>
      <w:r>
        <w:rPr>
          <w:rFonts w:ascii="Helvetica" w:hAnsi="Helvetica" w:eastAsia="Helvetica" w:cs="Helvetica"/>
          <w:i w:val="0"/>
          <w:iCs w:val="0"/>
          <w:caps w:val="0"/>
          <w:color w:val="282828"/>
          <w:spacing w:val="0"/>
          <w:sz w:val="24"/>
          <w:szCs w:val="24"/>
          <w:shd w:val="clear" w:fill="F7F7F7"/>
        </w:rPr>
        <w:t>A Systematic Review of Transcriptional Dysregulation in Huntington’s Disease Studied by RNA Sequencing</w:t>
      </w:r>
    </w:p>
    <w:p>
      <w:pPr>
        <w:rPr>
          <w:rFonts w:ascii="Helvetica" w:hAnsi="Helvetica" w:eastAsia="Helvetica" w:cs="Helvetica"/>
          <w:i w:val="0"/>
          <w:iCs w:val="0"/>
          <w:caps w:val="0"/>
          <w:color w:val="282828"/>
          <w:spacing w:val="0"/>
          <w:sz w:val="24"/>
          <w:szCs w:val="24"/>
          <w:shd w:val="clear" w:fill="F7F7F7"/>
        </w:rPr>
      </w:pPr>
    </w:p>
    <w:p>
      <w:pPr>
        <w:rPr>
          <w:rFonts w:ascii="宋体" w:hAnsi="宋体" w:eastAsia="宋体" w:cs="宋体"/>
          <w:sz w:val="24"/>
          <w:szCs w:val="24"/>
        </w:rPr>
      </w:pPr>
      <w:r>
        <w:rPr>
          <w:rFonts w:ascii="宋体" w:hAnsi="宋体" w:eastAsia="宋体" w:cs="宋体"/>
          <w:sz w:val="24"/>
          <w:szCs w:val="24"/>
        </w:rPr>
        <w:t>Tsuda, H.,Jafar-Nejad, H.,Patel, A.J., Sun, Y., Chen, H.K., Rose, M.F., Venken, K.J., Botas, J., Orr, H.T., Bellen, H.J., et al. (2005). The AXH domain of Ataxin-1 mediates neurodegeneration through its inter action with Gfi-1/Senseless proteins. Cell 122, 633–644.</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default" w:ascii="宋体" w:hAnsi="宋体" w:eastAsia="宋体" w:cs="宋体"/>
          <w:b/>
          <w:bCs/>
          <w:sz w:val="24"/>
          <w:szCs w:val="24"/>
          <w:lang w:val="en-US" w:eastAsia="zh-CN"/>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sz w:val="24"/>
          <w:szCs w:val="24"/>
        </w:rPr>
        <w:t>ACTN3</w:t>
      </w:r>
    </w:p>
    <w:p>
      <w:pPr>
        <w:keepNext w:val="0"/>
        <w:keepLines w:val="0"/>
        <w:widowControl/>
        <w:numPr>
          <w:ilvl w:val="0"/>
          <w:numId w:val="4"/>
        </w:numPr>
        <w:suppressLineNumbers w:val="0"/>
        <w:spacing w:before="0" w:beforeAutospacing="1" w:after="0" w:afterAutospacing="1"/>
        <w:ind w:left="720" w:hanging="360"/>
      </w:pPr>
      <w:r>
        <w:rPr>
          <w:rStyle w:val="7"/>
        </w:rPr>
        <w:t>所在通路</w:t>
      </w:r>
      <w:r>
        <w:t>：</w:t>
      </w:r>
      <w:r>
        <w:rPr>
          <w:rFonts w:ascii="Arial" w:hAnsi="Arial" w:eastAsia="宋体" w:cs="Arial"/>
          <w:i w:val="0"/>
          <w:iCs w:val="0"/>
          <w:caps w:val="0"/>
          <w:color w:val="111111"/>
          <w:spacing w:val="0"/>
          <w:sz w:val="21"/>
          <w:szCs w:val="21"/>
          <w:shd w:val="clear" w:fill="FFFFFF"/>
        </w:rPr>
        <w:t>actin cytoskeleton organization</w:t>
      </w:r>
    </w:p>
    <w:p>
      <w:pPr>
        <w:keepNext w:val="0"/>
        <w:keepLines w:val="0"/>
        <w:widowControl/>
        <w:suppressLineNumbers w:val="0"/>
        <w:ind w:firstLine="420" w:firstLineChars="0"/>
      </w:pPr>
      <w:r>
        <w:rPr>
          <w:rFonts w:ascii="Symbol" w:hAnsi="Symbol" w:eastAsia="Symbol" w:cs="Symbol"/>
          <w:sz w:val="24"/>
        </w:rPr>
        <w:t>·</w:t>
      </w:r>
      <w:r>
        <w:rPr>
          <w:rFonts w:hint="eastAsia" w:ascii="宋体" w:hAnsi="宋体" w:eastAsia="宋体" w:cs="宋体"/>
          <w:sz w:val="24"/>
        </w:rPr>
        <w:t xml:space="preserve">  </w:t>
      </w:r>
      <w:r>
        <w:rPr>
          <w:rStyle w:val="7"/>
        </w:rPr>
        <w:t>ACTN3</w:t>
      </w:r>
      <w:r>
        <w:t>, an actinin isoform expressed in muscle fibers, has been implicated in several neurological conditions, including Huntington's disease. In skeletal muscle models of Huntington's disease, ACTN3 expression changes could be involved in muscle atrophy associated with the disease. Some studies have shown that ACTN3 may interact with mutant proteins and contribute to the degeneration seen in HD.</w:t>
      </w:r>
    </w:p>
    <w:p>
      <w:pPr>
        <w:keepNext w:val="0"/>
        <w:keepLines w:val="0"/>
        <w:widowControl/>
        <w:suppressLineNumbers w:val="0"/>
        <w:ind w:firstLine="420" w:firstLineChars="0"/>
      </w:pPr>
      <w:r>
        <w:rPr>
          <w:rFonts w:hint="default" w:ascii="Symbol" w:hAnsi="Symbol" w:eastAsia="Symbol" w:cs="Symbol"/>
          <w:sz w:val="24"/>
        </w:rPr>
        <w:t>·</w:t>
      </w:r>
      <w:r>
        <w:rPr>
          <w:rFonts w:hint="eastAsia" w:ascii="宋体" w:hAnsi="宋体" w:eastAsia="宋体" w:cs="宋体"/>
          <w:sz w:val="24"/>
        </w:rPr>
        <w:t xml:space="preserve">  </w:t>
      </w:r>
      <w:r>
        <w:rPr>
          <w:rStyle w:val="7"/>
        </w:rPr>
        <w:t>Reference</w:t>
      </w:r>
      <w:r>
        <w:t xml:space="preserve">: Strand, A. D., et al. (2005). "Gene expression in Huntington's disease skeletal muscle: a potential biomarker." </w:t>
      </w:r>
      <w:r>
        <w:rPr>
          <w:rStyle w:val="8"/>
        </w:rPr>
        <w:t>Human Molecular Genetics</w:t>
      </w:r>
      <w:r>
        <w:t>, 14(13), 1863-1877.</w:t>
      </w:r>
    </w:p>
    <w:p>
      <w:pPr>
        <w:keepNext w:val="0"/>
        <w:keepLines w:val="0"/>
        <w:widowControl/>
        <w:suppressLineNumbers w:val="0"/>
        <w:ind w:firstLine="420" w:firstLineChars="0"/>
      </w:pPr>
    </w:p>
    <w:p>
      <w:pPr>
        <w:keepNext w:val="0"/>
        <w:keepLines w:val="0"/>
        <w:widowControl/>
        <w:suppressLineNumbers w:val="0"/>
        <w:ind w:firstLine="420" w:firstLineChars="0"/>
      </w:pPr>
    </w:p>
    <w:p>
      <w:pPr>
        <w:keepNext w:val="0"/>
        <w:keepLines w:val="0"/>
        <w:widowControl/>
        <w:suppressLineNumbers w:val="0"/>
        <w:ind w:firstLine="420" w:firstLineChars="0"/>
      </w:pPr>
    </w:p>
    <w:p>
      <w:pPr>
        <w:rPr>
          <w:rFonts w:ascii="宋体" w:hAnsi="宋体" w:eastAsia="宋体" w:cs="宋体"/>
          <w:sz w:val="24"/>
          <w:szCs w:val="24"/>
        </w:rPr>
      </w:pPr>
      <w:r>
        <w:rPr>
          <w:rFonts w:ascii="宋体" w:hAnsi="宋体" w:eastAsia="宋体" w:cs="宋体"/>
          <w:sz w:val="24"/>
          <w:szCs w:val="24"/>
        </w:rPr>
        <w:t>Sepers &amp; Raymond（2014）综述了HD中突触功能障碍及兴奋性毒性机制，指出细胞骨架失调在其中可能发挥作用</w:t>
      </w:r>
    </w:p>
    <w:p>
      <w:pPr>
        <w:pStyle w:val="4"/>
        <w:keepNext w:val="0"/>
        <w:keepLines w:val="0"/>
        <w:widowControl/>
        <w:suppressLineNumbers w:val="0"/>
        <w:ind w:left="720"/>
      </w:pPr>
      <w:r>
        <w:rPr>
          <w:rStyle w:val="7"/>
        </w:rPr>
        <w:t>Sepers, M. D., &amp; Raymond, L. A. (2014).</w:t>
      </w:r>
      <w:r>
        <w:t xml:space="preserve"> Mechanisms of synaptic dysfunction and excitotoxicity in Huntington's disease. </w:t>
      </w:r>
      <w:r>
        <w:rPr>
          <w:rStyle w:val="8"/>
        </w:rPr>
        <w:t>Drug Discovery Today</w:t>
      </w:r>
      <w:r>
        <w:t xml:space="preserve">, 19(7), 990-996. DOI: </w:t>
      </w:r>
      <w:r>
        <w:fldChar w:fldCharType="begin"/>
      </w:r>
      <w:r>
        <w:instrText xml:space="preserve"> HYPERLINK "https://doi.org/10.1016/j.drudis.2014.06.008" \t "_new" </w:instrText>
      </w:r>
      <w:r>
        <w:fldChar w:fldCharType="separate"/>
      </w:r>
      <w:r>
        <w:rPr>
          <w:rStyle w:val="9"/>
        </w:rPr>
        <w:t>10.1016/j.drudis.2014.06.008</w:t>
      </w:r>
      <w:r>
        <w:fldChar w:fldCharType="end"/>
      </w:r>
      <w:r>
        <w:t>.</w:t>
      </w:r>
    </w:p>
    <w:p>
      <w:pPr>
        <w:keepNext w:val="0"/>
        <w:keepLines w:val="0"/>
        <w:widowControl/>
        <w:suppressLineNumbers w:val="0"/>
        <w:ind w:firstLine="420" w:firstLineChars="0"/>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pStyle w:val="4"/>
        <w:keepNext w:val="0"/>
        <w:keepLines w:val="0"/>
        <w:widowControl/>
        <w:suppressLineNumbers w:val="0"/>
        <w:rPr>
          <w:rFonts w:hint="default" w:eastAsia="宋体"/>
          <w:lang w:val="en-US" w:eastAsia="zh-CN"/>
        </w:rPr>
      </w:pPr>
      <w:r>
        <w:rPr>
          <w:rFonts w:hint="default" w:ascii="Symbol" w:hAnsi="Symbol" w:eastAsia="Symbol" w:cs="Symbol"/>
          <w:sz w:val="24"/>
        </w:rPr>
        <w:t>·</w:t>
      </w:r>
      <w:r>
        <w:rPr>
          <w:rFonts w:hint="eastAsia" w:ascii="宋体" w:hAnsi="宋体" w:eastAsia="宋体" w:cs="宋体"/>
          <w:sz w:val="24"/>
        </w:rPr>
        <w:t xml:space="preserve">  </w:t>
      </w:r>
      <w:r>
        <w:rPr>
          <w:rStyle w:val="7"/>
        </w:rPr>
        <w:t>TPX2</w:t>
      </w:r>
      <w:r>
        <w:rPr>
          <w:rStyle w:val="7"/>
          <w:rFonts w:hint="eastAsia"/>
          <w:lang w:val="en-US" w:eastAsia="zh-CN"/>
        </w:rPr>
        <w:t xml:space="preserve"> </w:t>
      </w:r>
      <w:r>
        <w:rPr>
          <w:rStyle w:val="7"/>
          <w:rFonts w:hint="eastAsia" w:ascii="Times New Roman" w:hAnsi="Times New Roman" w:eastAsia="宋体" w:cs="Times New Roman"/>
          <w:lang w:val="en-US" w:eastAsia="zh-CN"/>
        </w:rPr>
        <w:t>(找和</w:t>
      </w:r>
      <w:r>
        <w:t>轴突初段</w:t>
      </w:r>
      <w:r>
        <w:rPr>
          <w:rFonts w:hint="eastAsia"/>
          <w:lang w:val="en-US" w:eastAsia="zh-CN"/>
        </w:rPr>
        <w:t>/microtubule nucleation的关系，然后推到</w:t>
      </w:r>
      <w:r>
        <w:rPr>
          <w:rFonts w:ascii="Segoe UI" w:hAnsi="Segoe UI" w:eastAsia="Segoe UI" w:cs="Segoe UI"/>
          <w:i w:val="0"/>
          <w:iCs w:val="0"/>
          <w:caps w:val="0"/>
          <w:color w:val="404040"/>
          <w:spacing w:val="0"/>
          <w:sz w:val="20"/>
          <w:szCs w:val="20"/>
        </w:rPr>
        <w:t>细胞骨架异常</w:t>
      </w:r>
      <w:r>
        <w:rPr>
          <w:rFonts w:hint="eastAsia" w:ascii="Segoe UI" w:hAnsi="Segoe UI" w:eastAsia="宋体" w:cs="Segoe UI"/>
          <w:i w:val="0"/>
          <w:iCs w:val="0"/>
          <w:caps w:val="0"/>
          <w:color w:val="404040"/>
          <w:spacing w:val="0"/>
          <w:sz w:val="20"/>
          <w:szCs w:val="20"/>
          <w:lang w:val="en-US" w:eastAsia="zh-CN"/>
        </w:rPr>
        <w:t>上，然后就停</w:t>
      </w:r>
      <w:r>
        <w:rPr>
          <w:rStyle w:val="7"/>
          <w:rFonts w:hint="eastAsia" w:ascii="Times New Roman" w:hAnsi="Times New Roman" w:eastAsia="宋体" w:cs="Times New Roman"/>
          <w:lang w:val="en-US" w:eastAsia="zh-CN"/>
        </w:rPr>
        <w:t>)</w:t>
      </w:r>
    </w:p>
    <w:p>
      <w:pPr>
        <w:keepNext w:val="0"/>
        <w:keepLines w:val="0"/>
        <w:widowControl/>
        <w:numPr>
          <w:ilvl w:val="0"/>
          <w:numId w:val="4"/>
        </w:numPr>
        <w:suppressLineNumbers w:val="0"/>
        <w:spacing w:before="0" w:beforeAutospacing="1" w:after="0" w:afterAutospacing="1"/>
        <w:ind w:left="720" w:hanging="360"/>
      </w:pPr>
      <w:r>
        <w:rPr>
          <w:rStyle w:val="7"/>
        </w:rPr>
        <w:t>所在通路</w:t>
      </w:r>
      <w:r>
        <w:t>：轴突初段</w:t>
      </w:r>
      <w:r>
        <w:rPr>
          <w:rFonts w:hint="eastAsia"/>
          <w:lang w:val="en-US" w:eastAsia="zh-CN"/>
        </w:rPr>
        <w:t>/microtubule nucleation</w:t>
      </w:r>
    </w:p>
    <w:p>
      <w:pPr>
        <w:keepNext w:val="0"/>
        <w:keepLines w:val="0"/>
        <w:widowControl/>
        <w:numPr>
          <w:ilvl w:val="0"/>
          <w:numId w:val="4"/>
        </w:numPr>
        <w:suppressLineNumbers w:val="0"/>
        <w:spacing w:before="0" w:beforeAutospacing="1" w:after="0" w:afterAutospacing="1"/>
        <w:ind w:left="720" w:hanging="360"/>
      </w:pPr>
      <w:r>
        <w:rPr>
          <w:rStyle w:val="7"/>
        </w:rPr>
        <w:t>HD关联机制</w:t>
      </w:r>
      <w:r>
        <w:t>：TPX2参与微管的成核和组织，对轴突初段的结构完整性至关重要。HD中细胞骨架及微管动力学的异常可能部分源于TPX2功能失调，从而影响神经信号的产生和传递。</w:t>
      </w:r>
    </w:p>
    <w:p>
      <w:pPr>
        <w:rPr>
          <w:rFonts w:ascii="宋体" w:hAnsi="宋体" w:eastAsia="宋体" w:cs="宋体"/>
          <w:sz w:val="24"/>
          <w:szCs w:val="24"/>
        </w:rPr>
      </w:pPr>
    </w:p>
    <w:p>
      <w:pPr>
        <w:rPr>
          <w:rFonts w:ascii="宋体" w:hAnsi="宋体" w:eastAsia="宋体" w:cs="宋体"/>
          <w:sz w:val="24"/>
          <w:szCs w:val="24"/>
        </w:rPr>
      </w:pPr>
      <w:bookmarkStart w:id="0" w:name="_GoBack"/>
      <w:bookmarkEnd w:id="0"/>
      <w:r>
        <w:rPr>
          <w:rFonts w:ascii="宋体" w:hAnsi="宋体" w:eastAsia="宋体" w:cs="宋体"/>
          <w:sz w:val="24"/>
          <w:szCs w:val="24"/>
        </w:rPr>
        <w:t>Sepers &amp; Raymond（2014）综述了HD中突触功能障碍及兴奋性毒性机制，指出细胞骨架失调在其中可能发挥作用</w:t>
      </w:r>
    </w:p>
    <w:p>
      <w:pPr>
        <w:pStyle w:val="4"/>
        <w:keepNext w:val="0"/>
        <w:keepLines w:val="0"/>
        <w:widowControl/>
        <w:suppressLineNumbers w:val="0"/>
        <w:ind w:left="720"/>
      </w:pPr>
      <w:r>
        <w:rPr>
          <w:rStyle w:val="7"/>
        </w:rPr>
        <w:t>Sepers, M. D., &amp; Raymond, L. A. (2014).</w:t>
      </w:r>
      <w:r>
        <w:t xml:space="preserve"> Mechanisms of synaptic dysfunction and excitotoxicity in Huntington's disease. </w:t>
      </w:r>
      <w:r>
        <w:rPr>
          <w:rStyle w:val="8"/>
        </w:rPr>
        <w:t>Drug Discovery Today</w:t>
      </w:r>
      <w:r>
        <w:t xml:space="preserve">, 19(7), 990-996. DOI: </w:t>
      </w:r>
      <w:r>
        <w:fldChar w:fldCharType="begin"/>
      </w:r>
      <w:r>
        <w:instrText xml:space="preserve"> HYPERLINK "https://doi.org/10.1016/j.drudis.2014.06.008" \t "_new" </w:instrText>
      </w:r>
      <w:r>
        <w:fldChar w:fldCharType="separate"/>
      </w:r>
      <w:r>
        <w:rPr>
          <w:rStyle w:val="9"/>
        </w:rPr>
        <w:t>10.1016/j.drudis.2014.06.008</w:t>
      </w:r>
      <w:r>
        <w:fldChar w:fldCharType="end"/>
      </w:r>
      <w:r>
        <w:t>.</w:t>
      </w:r>
    </w:p>
    <w:p>
      <w:pPr>
        <w:rPr>
          <w:rFonts w:hint="default"/>
          <w:sz w:val="24"/>
          <w:szCs w:val="32"/>
          <w:lang w:val="en-US" w:eastAsia="zh-CN"/>
        </w:rPr>
      </w:pPr>
      <w:r>
        <w:rPr>
          <w:rFonts w:hint="default"/>
          <w:sz w:val="24"/>
          <w:szCs w:val="32"/>
          <w:lang w:val="en-US" w:eastAsia="zh-CN"/>
        </w:rPr>
        <w:t xml:space="preserve"> **Bates, G. P. et al.** (2015). *Huntington disease*. Nature Reviews Disease Primers.  </w:t>
      </w:r>
    </w:p>
    <w:p>
      <w:pPr>
        <w:rPr>
          <w:rFonts w:hint="default"/>
          <w:sz w:val="24"/>
          <w:szCs w:val="32"/>
          <w:lang w:val="en-US" w:eastAsia="zh-CN"/>
        </w:rPr>
      </w:pPr>
      <w:r>
        <w:rPr>
          <w:rFonts w:hint="default"/>
          <w:sz w:val="24"/>
          <w:szCs w:val="32"/>
          <w:lang w:val="en-US" w:eastAsia="zh-CN"/>
        </w:rPr>
        <w:t xml:space="preserve">   - 概述HD的遗传机制和神经病理特征，包括轴突运输障碍和突触功能异常。</w:t>
      </w: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ind w:firstLine="420" w:firstLineChars="0"/>
        <w:rPr>
          <w:rFonts w:hint="default" w:ascii="宋体" w:hAnsi="宋体" w:eastAsia="宋体" w:cs="宋体"/>
          <w:b/>
          <w:bCs/>
          <w:sz w:val="24"/>
          <w:szCs w:val="24"/>
          <w:lang w:val="en-US" w:eastAsia="zh-CN"/>
        </w:rPr>
      </w:pPr>
    </w:p>
    <w:p>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KIRREL3</w:t>
      </w:r>
    </w:p>
    <w:p>
      <w:pPr>
        <w:keepNext w:val="0"/>
        <w:keepLines w:val="0"/>
        <w:widowControl/>
        <w:numPr>
          <w:ilvl w:val="0"/>
          <w:numId w:val="5"/>
        </w:numPr>
        <w:suppressLineNumbers w:val="0"/>
        <w:spacing w:before="0" w:beforeAutospacing="1" w:after="0" w:afterAutospacing="1"/>
        <w:ind w:left="720" w:hanging="360"/>
      </w:pPr>
      <w:r>
        <w:rPr>
          <w:rStyle w:val="7"/>
        </w:rPr>
        <w:t>通路归属：</w:t>
      </w:r>
      <w:r>
        <w:t xml:space="preserve"> GO:0043198（dendritic shaft）</w:t>
      </w:r>
    </w:p>
    <w:p>
      <w:pPr>
        <w:keepNext w:val="0"/>
        <w:keepLines w:val="0"/>
        <w:widowControl/>
        <w:numPr>
          <w:ilvl w:val="0"/>
          <w:numId w:val="5"/>
        </w:numPr>
        <w:suppressLineNumbers w:val="0"/>
        <w:spacing w:before="0" w:beforeAutospacing="1" w:after="0" w:afterAutospacing="1"/>
        <w:ind w:left="720" w:hanging="360"/>
      </w:pPr>
      <w:r>
        <w:rPr>
          <w:rStyle w:val="7"/>
        </w:rPr>
        <w:t>与HD关系：</w:t>
      </w:r>
      <w:r>
        <w:t xml:space="preserve"> KIRREL3参与树突干及突触结构的稳定，HD中常见的树突及突触异常提示其潜在贡献。KIRREL3参与神经元细胞粘附及突触结构的稳定，异常可能导致树突结构异常和突触功能障碍，这与HD中观察到的树突退化及突触失调一致。</w:t>
      </w:r>
    </w:p>
    <w:p>
      <w:pPr>
        <w:keepNext w:val="0"/>
        <w:keepLines w:val="0"/>
        <w:widowControl/>
        <w:numPr>
          <w:ilvl w:val="0"/>
          <w:numId w:val="6"/>
        </w:numPr>
        <w:suppressLineNumbers w:val="0"/>
        <w:spacing w:before="0" w:beforeAutospacing="1" w:after="0" w:afterAutospacing="1"/>
        <w:ind w:left="720" w:hanging="360"/>
        <w:rPr>
          <w:rFonts w:hint="default" w:ascii="Georgia" w:hAnsi="Georgia" w:eastAsia="Georgia" w:cs="Georgia"/>
          <w:b/>
          <w:bCs/>
          <w:i w:val="0"/>
          <w:iCs w:val="0"/>
          <w:caps w:val="0"/>
          <w:color w:val="212121"/>
          <w:spacing w:val="0"/>
          <w:sz w:val="22"/>
          <w:szCs w:val="22"/>
        </w:rPr>
      </w:pPr>
      <w:r>
        <w:rPr>
          <w:rStyle w:val="7"/>
          <w:sz w:val="22"/>
          <w:szCs w:val="22"/>
        </w:rPr>
        <w:t>参考文献</w:t>
      </w:r>
      <w:r>
        <w:rPr>
          <w:sz w:val="22"/>
          <w:szCs w:val="22"/>
        </w:rPr>
        <w:t>：Gauthier et al. (2004) 在HD小鼠模型中观察到树突结构和突触功能的异常。</w:t>
      </w:r>
      <w:r>
        <w:rPr>
          <w:rFonts w:hint="default" w:ascii="Georgia" w:hAnsi="Georgia" w:eastAsia="Georgia" w:cs="Georgia"/>
          <w:b/>
          <w:bCs/>
          <w:i w:val="0"/>
          <w:iCs w:val="0"/>
          <w:caps w:val="0"/>
          <w:color w:val="212121"/>
          <w:spacing w:val="0"/>
          <w:sz w:val="22"/>
          <w:szCs w:val="22"/>
          <w:shd w:val="clear" w:fill="FFFFFF"/>
        </w:rPr>
        <w:t>Huntingtin controls neurotrophic support and survival of neurons by enhancing BDNF vesicular transport along microtubules</w:t>
      </w:r>
    </w:p>
    <w:p>
      <w:pPr>
        <w:pStyle w:val="4"/>
        <w:keepNext w:val="0"/>
        <w:keepLines w:val="0"/>
        <w:widowControl/>
        <w:suppressLineNumbers w:val="0"/>
        <w:ind w:left="420" w:leftChars="0" w:firstLine="420" w:firstLineChars="0"/>
      </w:pPr>
      <w:r>
        <w:rPr>
          <w:rStyle w:val="7"/>
        </w:rPr>
        <w:t>Milnerwood, A. J. &amp; Raymond, L. A. (2007)</w:t>
      </w:r>
      <w:r>
        <w:t xml:space="preserve"> 综述了亨廷顿病早期的突触病理变化，指出树突结构和功能的异常在病程中扮演了重要角色。</w:t>
      </w:r>
    </w:p>
    <w:p>
      <w:pPr>
        <w:pStyle w:val="4"/>
        <w:keepNext w:val="0"/>
        <w:keepLines w:val="0"/>
        <w:widowControl/>
        <w:suppressLineNumbers w:val="0"/>
        <w:ind w:left="720" w:right="720"/>
        <w:rPr>
          <w:rFonts w:hint="default" w:ascii="Georgia" w:hAnsi="Georgia" w:eastAsia="Georgia" w:cs="Georgia"/>
          <w:b/>
          <w:bCs/>
          <w:i w:val="0"/>
          <w:iCs w:val="0"/>
          <w:caps w:val="0"/>
          <w:color w:val="212121"/>
          <w:spacing w:val="0"/>
          <w:sz w:val="22"/>
          <w:szCs w:val="22"/>
        </w:rPr>
      </w:pPr>
      <w:r>
        <w:rPr>
          <w:rFonts w:hint="eastAsia" w:ascii="宋体" w:hAnsi="宋体" w:eastAsia="宋体" w:cs="宋体"/>
          <w:sz w:val="24"/>
          <w:szCs w:val="24"/>
        </w:rPr>
        <w:t xml:space="preserve">Milnerwood, A. J., &amp; Raymond, L. A. “Early synaptic pathophysiology in neurodegeneration: insights from Huntington’s disease.” </w:t>
      </w:r>
      <w:r>
        <w:rPr>
          <w:rStyle w:val="8"/>
          <w:rFonts w:hint="eastAsia" w:ascii="宋体" w:hAnsi="宋体" w:eastAsia="宋体" w:cs="宋体"/>
          <w:sz w:val="24"/>
          <w:szCs w:val="24"/>
        </w:rPr>
        <w:t>Trends in Neurosciences</w:t>
      </w:r>
      <w:r>
        <w:rPr>
          <w:rFonts w:hint="eastAsia" w:ascii="宋体" w:hAnsi="宋体" w:eastAsia="宋体" w:cs="宋体"/>
          <w:sz w:val="24"/>
          <w:szCs w:val="24"/>
        </w:rPr>
        <w:t>, 30(7), 407–413.</w:t>
      </w:r>
    </w:p>
    <w:p>
      <w:pPr>
        <w:ind w:firstLine="420" w:firstLineChars="0"/>
        <w:rPr>
          <w:rFonts w:hint="default" w:ascii="宋体" w:hAnsi="宋体" w:eastAsia="宋体" w:cs="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4829C"/>
    <w:multiLevelType w:val="multilevel"/>
    <w:tmpl w:val="ADF48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1D76CB"/>
    <w:multiLevelType w:val="multilevel"/>
    <w:tmpl w:val="D61D76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B5600"/>
    <w:multiLevelType w:val="multilevel"/>
    <w:tmpl w:val="FFFB56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445A24F"/>
    <w:multiLevelType w:val="multilevel"/>
    <w:tmpl w:val="3445A2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38D6845"/>
    <w:multiLevelType w:val="multilevel"/>
    <w:tmpl w:val="738D68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58967F8"/>
    <w:multiLevelType w:val="multilevel"/>
    <w:tmpl w:val="75896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NhNDE4ZjA2ZmY5ZGY2NmI3YmMwM2ExYjAyZTc2NmQifQ=="/>
  </w:docVars>
  <w:rsids>
    <w:rsidRoot w:val="00000000"/>
    <w:rsid w:val="047C454E"/>
    <w:rsid w:val="084C38DA"/>
    <w:rsid w:val="086F1377"/>
    <w:rsid w:val="09760036"/>
    <w:rsid w:val="0FF151B9"/>
    <w:rsid w:val="114C648C"/>
    <w:rsid w:val="11BC654A"/>
    <w:rsid w:val="15EC3621"/>
    <w:rsid w:val="18A24CF2"/>
    <w:rsid w:val="21D06A21"/>
    <w:rsid w:val="29C42A2C"/>
    <w:rsid w:val="35E25811"/>
    <w:rsid w:val="3B080FB2"/>
    <w:rsid w:val="40C815E5"/>
    <w:rsid w:val="433443A0"/>
    <w:rsid w:val="54361800"/>
    <w:rsid w:val="584D1589"/>
    <w:rsid w:val="5FCE64A6"/>
    <w:rsid w:val="60E15BEB"/>
    <w:rsid w:val="61F756D0"/>
    <w:rsid w:val="752E7274"/>
    <w:rsid w:val="77A2364A"/>
    <w:rsid w:val="7B086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2025-02-18T10:39:00Z</dcterms:created>
  <dc:creator>wplyt</dc:creator>
  <cp:lastModifiedBy>王鹏</cp:lastModifiedBy>
  <dcterms:modified xsi:type="dcterms:W3CDTF">2025-02-19T03:47:50Z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F3655B510972451C9CD9A05C6AD98D54_12</vt:lpwstr>
  </property>
</Properties>
</file>