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8E" w:rsidRDefault="00B72E8E" w:rsidP="00252C2E"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1</w:t>
      </w:r>
    </w:p>
    <w:p w:rsidR="00561BEB" w:rsidRDefault="00561BEB" w:rsidP="00252C2E">
      <w:r>
        <w:rPr>
          <w:noProof/>
        </w:rPr>
        <w:drawing>
          <wp:inline distT="0" distB="0" distL="0" distR="0" wp14:anchorId="07CF318E" wp14:editId="3798FBF2">
            <wp:extent cx="4180952" cy="13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B" w:rsidRDefault="00561BEB" w:rsidP="00252C2E">
      <w:r>
        <w:rPr>
          <w:noProof/>
        </w:rPr>
        <w:drawing>
          <wp:inline distT="0" distB="0" distL="0" distR="0" wp14:anchorId="1852517E" wp14:editId="078D531A">
            <wp:extent cx="1409524" cy="5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B" w:rsidRDefault="00561BEB" w:rsidP="00252C2E">
      <w:pPr>
        <w:rPr>
          <w:rFonts w:hint="eastAsia"/>
        </w:rPr>
      </w:pPr>
      <w:r>
        <w:rPr>
          <w:noProof/>
        </w:rPr>
        <w:drawing>
          <wp:inline distT="0" distB="0" distL="0" distR="0" wp14:anchorId="424D4154" wp14:editId="6DBFA354">
            <wp:extent cx="2076190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B" w:rsidRDefault="00561BEB" w:rsidP="00252C2E"/>
    <w:p w:rsidR="00DA7DEF" w:rsidRDefault="00561BEB" w:rsidP="00252C2E">
      <w:r w:rsidRPr="00E77B86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.25pt;height:14.25pt" o:ole="">
            <v:imagedata r:id="rId7" o:title=""/>
          </v:shape>
          <o:OLEObject Type="Embed" ProgID="Equation.DSMT4" ShapeID="_x0000_i1031" DrawAspect="Content" ObjectID="_1537787534" r:id="rId8"/>
        </w:objec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Pr="00252C2E">
        <w:t>embedding dimension</w:t>
      </w:r>
    </w:p>
    <w:p w:rsidR="002706F9" w:rsidRDefault="00561BEB" w:rsidP="00252C2E">
      <w:pPr>
        <w:rPr>
          <w:rFonts w:hint="eastAsia"/>
        </w:rPr>
      </w:pPr>
      <w:r w:rsidRPr="00E77B86">
        <w:rPr>
          <w:position w:val="-4"/>
        </w:rPr>
        <w:object w:dxaOrig="220" w:dyaOrig="260">
          <v:shape id="_x0000_i1032" type="#_x0000_t75" style="width:11.25pt;height:12.75pt" o:ole="">
            <v:imagedata r:id="rId9" o:title=""/>
          </v:shape>
          <o:OLEObject Type="Embed" ProgID="Equation.DSMT4" ShapeID="_x0000_i1032" DrawAspect="Content" ObjectID="_1537787535" r:id="rId10"/>
        </w:objec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="00BE3AFE">
        <w:rPr>
          <w:rFonts w:ascii="MinionPro-Regular" w:hAnsi="MinionPro-Regular"/>
          <w:color w:val="231F20"/>
          <w:sz w:val="20"/>
          <w:szCs w:val="20"/>
        </w:rPr>
        <w:t>time delay</w:t>
      </w:r>
    </w:p>
    <w:p w:rsidR="00DA7DEF" w:rsidRDefault="00DA7DEF" w:rsidP="00252C2E">
      <w:r w:rsidRPr="00E77B86">
        <w:rPr>
          <w:position w:val="-14"/>
        </w:rPr>
        <w:object w:dxaOrig="460" w:dyaOrig="380">
          <v:shape id="_x0000_i1025" type="#_x0000_t75" style="width:23.25pt;height:18.75pt" o:ole="">
            <v:imagedata r:id="rId11" o:title=""/>
          </v:shape>
          <o:OLEObject Type="Embed" ProgID="Equation.DSMT4" ShapeID="_x0000_i1025" DrawAspect="Content" ObjectID="_1537787536" r:id="rId12"/>
        </w:object>
      </w:r>
      <w:proofErr w:type="gramStart"/>
      <w:r>
        <w:rPr>
          <w:rFonts w:ascii="MinionPro-Regular" w:hAnsi="MinionPro-Regular"/>
          <w:color w:val="231F20"/>
          <w:sz w:val="20"/>
          <w:szCs w:val="20"/>
        </w:rPr>
        <w:t>is</w:t>
      </w:r>
      <w:proofErr w:type="gramEnd"/>
      <w:r>
        <w:rPr>
          <w:rFonts w:ascii="MinionPro-Regular" w:hAnsi="MinionPro-Regular"/>
          <w:color w:val="231F20"/>
          <w:sz w:val="20"/>
          <w:szCs w:val="20"/>
        </w:rPr>
        <w:t xml:space="preserve"> some </w:t>
      </w:r>
      <w:r>
        <w:rPr>
          <w:rFonts w:ascii="MinionPro-Regular" w:hAnsi="MinionPro-Regular"/>
          <w:color w:val="231F20"/>
          <w:sz w:val="20"/>
          <w:szCs w:val="20"/>
        </w:rPr>
        <w:t xml:space="preserve">threshold, then the </w:t>
      </w:r>
      <w:proofErr w:type="spellStart"/>
      <w:r>
        <w:rPr>
          <w:rFonts w:ascii="MinionPro-Regular" w:hAnsi="MinionPro-Regular"/>
          <w:color w:val="231F20"/>
          <w:sz w:val="20"/>
          <w:szCs w:val="20"/>
        </w:rPr>
        <w:t>neighbours</w:t>
      </w:r>
      <w:proofErr w:type="spellEnd"/>
      <w:r>
        <w:rPr>
          <w:rFonts w:ascii="MinionPro-Regular" w:hAnsi="MinionPro-Regular"/>
          <w:color w:val="231F20"/>
          <w:sz w:val="20"/>
          <w:szCs w:val="20"/>
        </w:rPr>
        <w:t xml:space="preserve"> are said to be false.</w:t>
      </w:r>
    </w:p>
    <w:p w:rsidR="00B72E8E" w:rsidRDefault="00DA7DEF" w:rsidP="00252C2E">
      <w:pPr>
        <w:rPr>
          <w:rFonts w:ascii="MinionPro-Regular" w:hAnsi="MinionPro-Regular"/>
          <w:color w:val="231F20"/>
          <w:sz w:val="20"/>
          <w:szCs w:val="20"/>
        </w:rPr>
      </w:pPr>
      <w:r w:rsidRPr="00E77B86">
        <w:rPr>
          <w:position w:val="-12"/>
        </w:rPr>
        <w:object w:dxaOrig="320" w:dyaOrig="360">
          <v:shape id="_x0000_i1027" type="#_x0000_t75" style="width:15.75pt;height:18pt" o:ole="">
            <v:imagedata r:id="rId13" o:title=""/>
          </v:shape>
          <o:OLEObject Type="Embed" ProgID="Equation.DSMT4" ShapeID="_x0000_i1027" DrawAspect="Content" ObjectID="_1537787537" r:id="rId14"/>
        </w:object>
      </w:r>
      <w:r>
        <w:t xml:space="preserve"> </w:t>
      </w:r>
      <w:proofErr w:type="gramStart"/>
      <w:r>
        <w:rPr>
          <w:rFonts w:ascii="MinionPro-Regular" w:hAnsi="MinionPro-Regular"/>
          <w:color w:val="231F20"/>
          <w:sz w:val="20"/>
          <w:szCs w:val="20"/>
        </w:rPr>
        <w:t>is</w:t>
      </w:r>
      <w:proofErr w:type="gramEnd"/>
      <w:r>
        <w:rPr>
          <w:rFonts w:ascii="MinionPro-Regular" w:hAnsi="MinionPro-Regular"/>
          <w:color w:val="231F20"/>
          <w:sz w:val="20"/>
          <w:szCs w:val="20"/>
        </w:rPr>
        <w:t xml:space="preserve"> an estimate of the </w:t>
      </w:r>
      <w:r>
        <w:rPr>
          <w:rFonts w:ascii="MinionPro-Regular" w:hAnsi="MinionPro-Regular"/>
          <w:color w:val="231F20"/>
          <w:sz w:val="20"/>
          <w:szCs w:val="20"/>
        </w:rPr>
        <w:t>attractor size</w:t>
      </w:r>
    </w:p>
    <w:p w:rsidR="00DA7DEF" w:rsidRDefault="00DA7DEF" w:rsidP="00252C2E">
      <w:pPr>
        <w:rPr>
          <w:rFonts w:hint="eastAsia"/>
        </w:rPr>
      </w:pPr>
      <w:r w:rsidRPr="00E77B86">
        <w:rPr>
          <w:position w:val="-14"/>
        </w:rPr>
        <w:object w:dxaOrig="460" w:dyaOrig="380">
          <v:shape id="_x0000_i1026" type="#_x0000_t75" style="width:23.25pt;height:18.75pt" o:ole="">
            <v:imagedata r:id="rId15" o:title=""/>
          </v:shape>
          <o:OLEObject Type="Embed" ProgID="Equation.DSMT4" ShapeID="_x0000_i1026" DrawAspect="Content" ObjectID="_1537787538" r:id="rId16"/>
        </w:object>
      </w:r>
      <w:proofErr w:type="gramStart"/>
      <w:r>
        <w:rPr>
          <w:rFonts w:ascii="MinionPro-Regular" w:hAnsi="MinionPro-Regular"/>
          <w:color w:val="231F20"/>
          <w:sz w:val="20"/>
          <w:szCs w:val="20"/>
        </w:rPr>
        <w:t>is</w:t>
      </w:r>
      <w:proofErr w:type="gramEnd"/>
      <w:r>
        <w:rPr>
          <w:rFonts w:ascii="MinionPro-Regular" w:hAnsi="MinionPro-Regular"/>
          <w:color w:val="231F20"/>
          <w:sz w:val="20"/>
          <w:szCs w:val="20"/>
        </w:rPr>
        <w:t xml:space="preserve"> the second threshold.</w:t>
      </w:r>
    </w:p>
    <w:p w:rsidR="00DA7DEF" w:rsidRDefault="00F760B3" w:rsidP="00252C2E">
      <w:r>
        <w:rPr>
          <w:rFonts w:ascii="MinionPro-Regular" w:hAnsi="MinionPro-Regular"/>
          <w:color w:val="231F20"/>
          <w:sz w:val="20"/>
          <w:szCs w:val="20"/>
        </w:rPr>
        <w:t xml:space="preserve">Kennel et al. </w:t>
      </w:r>
      <w:r>
        <w:rPr>
          <w:rFonts w:ascii="MinionPro-Regular" w:hAnsi="MinionPro-Regular"/>
          <w:color w:val="231F20"/>
          <w:sz w:val="20"/>
          <w:szCs w:val="20"/>
        </w:rPr>
        <w:t>recommend the next settings of the thresholds</w:t>
      </w:r>
      <w:proofErr w:type="gramStart"/>
      <w:r>
        <w:rPr>
          <w:rFonts w:ascii="MinionPro-Regular" w:hAnsi="MinionPro-Regular"/>
          <w:color w:val="231F20"/>
          <w:sz w:val="20"/>
          <w:szCs w:val="20"/>
        </w:rPr>
        <w:t>:</w:t>
      </w:r>
      <w:r>
        <w:rPr>
          <w:rFonts w:ascii="MinionPro-Regular" w:hAnsi="MinionPro-Regular"/>
          <w:color w:val="231F20"/>
          <w:sz w:val="20"/>
          <w:szCs w:val="20"/>
        </w:rPr>
        <w:t xml:space="preserve"> </w:t>
      </w:r>
      <w:proofErr w:type="gramEnd"/>
      <w:r w:rsidRPr="00E77B86">
        <w:rPr>
          <w:position w:val="-12"/>
        </w:rPr>
        <w:object w:dxaOrig="840" w:dyaOrig="360">
          <v:shape id="_x0000_i1028" type="#_x0000_t75" style="width:42pt;height:18pt" o:ole="">
            <v:imagedata r:id="rId17" o:title=""/>
          </v:shape>
          <o:OLEObject Type="Embed" ProgID="Equation.DSMT4" ShapeID="_x0000_i1028" DrawAspect="Content" ObjectID="_1537787539" r:id="rId18"/>
        </w:object>
      </w:r>
      <w:r>
        <w:t xml:space="preserve">, </w:t>
      </w:r>
      <w:r w:rsidRPr="00E77B86">
        <w:rPr>
          <w:position w:val="-12"/>
        </w:rPr>
        <w:object w:dxaOrig="760" w:dyaOrig="360">
          <v:shape id="_x0000_i1029" type="#_x0000_t75" style="width:38.25pt;height:18pt" o:ole="">
            <v:imagedata r:id="rId19" o:title=""/>
          </v:shape>
          <o:OLEObject Type="Embed" ProgID="Equation.DSMT4" ShapeID="_x0000_i1029" DrawAspect="Content" ObjectID="_1537787540" r:id="rId20"/>
        </w:object>
      </w:r>
    </w:p>
    <w:p w:rsidR="00DA7DEF" w:rsidRDefault="00DA7DEF" w:rsidP="00252C2E"/>
    <w:p w:rsidR="00DA7DEF" w:rsidRDefault="00DA7DEF" w:rsidP="00252C2E"/>
    <w:p w:rsidR="00B72E8E" w:rsidRDefault="00B72E8E" w:rsidP="00252C2E"/>
    <w:p w:rsidR="00B72E8E" w:rsidRDefault="00B72E8E" w:rsidP="00252C2E"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</w:t>
      </w:r>
    </w:p>
    <w:p w:rsidR="00B72E8E" w:rsidRDefault="00B72E8E" w:rsidP="00252C2E">
      <w:pPr>
        <w:rPr>
          <w:rFonts w:hint="eastAsia"/>
        </w:rPr>
      </w:pPr>
      <w:r>
        <w:rPr>
          <w:noProof/>
        </w:rPr>
        <w:drawing>
          <wp:inline distT="0" distB="0" distL="0" distR="0" wp14:anchorId="752A182D" wp14:editId="1C819691">
            <wp:extent cx="5274310" cy="1022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8E" w:rsidRDefault="00B72E8E" w:rsidP="00252C2E"/>
    <w:p w:rsidR="00B72E8E" w:rsidRDefault="00B72E8E" w:rsidP="00252C2E">
      <w:pPr>
        <w:rPr>
          <w:rFonts w:hint="eastAsia"/>
        </w:rPr>
      </w:pPr>
    </w:p>
    <w:p w:rsidR="00252C2E" w:rsidRPr="00252C2E" w:rsidRDefault="00252C2E" w:rsidP="00252C2E">
      <w:proofErr w:type="gramStart"/>
      <w:r>
        <w:t>false</w:t>
      </w:r>
      <w:proofErr w:type="gramEnd"/>
      <w:r>
        <w:t xml:space="preserve"> </w:t>
      </w:r>
      <w:r w:rsidRPr="00252C2E">
        <w:t xml:space="preserve">nearest </w:t>
      </w:r>
      <w:r>
        <w:t>neighbors</w:t>
      </w:r>
    </w:p>
    <w:p w:rsidR="00252C2E" w:rsidRDefault="00252C2E" w:rsidP="00252C2E">
      <w:r w:rsidRPr="00252C2E">
        <w:rPr>
          <w:rFonts w:hint="eastAsia"/>
        </w:rPr>
        <w:t>参数：</w:t>
      </w:r>
      <w:r w:rsidRPr="00252C2E">
        <w:rPr>
          <w:rFonts w:hint="eastAsia"/>
        </w:rPr>
        <w:t xml:space="preserve"> </w:t>
      </w:r>
    </w:p>
    <w:p w:rsidR="00B72E8E" w:rsidRPr="00252C2E" w:rsidRDefault="00B72E8E" w:rsidP="00252C2E">
      <w:pPr>
        <w:rPr>
          <w:rFonts w:hint="eastAsia"/>
        </w:rPr>
      </w:pPr>
      <w:proofErr w:type="gramStart"/>
      <w:r>
        <w:t>series  time</w:t>
      </w:r>
      <w:proofErr w:type="gramEnd"/>
      <w:r>
        <w:t xml:space="preserve"> series</w:t>
      </w:r>
    </w:p>
    <w:p w:rsidR="00252C2E" w:rsidRDefault="00252C2E" w:rsidP="00252C2E">
      <w:proofErr w:type="gramStart"/>
      <w:r w:rsidRPr="00252C2E">
        <w:t>m</w:t>
      </w:r>
      <w:proofErr w:type="gramEnd"/>
      <w:r w:rsidRPr="00252C2E">
        <w:tab/>
        <w:t>maximum embedding dimension</w:t>
      </w:r>
    </w:p>
    <w:p w:rsidR="00A24313" w:rsidRDefault="00A24313" w:rsidP="00252C2E">
      <w:r w:rsidRPr="00A24313">
        <w:t xml:space="preserve">The percentage of false nearest </w:t>
      </w:r>
      <w:proofErr w:type="spellStart"/>
      <w:r w:rsidRPr="00A24313">
        <w:t>neighbours</w:t>
      </w:r>
      <w:proofErr w:type="spellEnd"/>
      <w:r w:rsidRPr="00A24313">
        <w:t xml:space="preserve"> will be computed from embedding dimension 1 up to this maximum embedding dimension</w:t>
      </w:r>
    </w:p>
    <w:p w:rsidR="00252C2E" w:rsidRPr="00252C2E" w:rsidRDefault="00252C2E" w:rsidP="00252C2E"/>
    <w:p w:rsidR="00252C2E" w:rsidRPr="00252C2E" w:rsidRDefault="00252C2E" w:rsidP="00252C2E">
      <w:pPr>
        <w:rPr>
          <w:b/>
        </w:rPr>
      </w:pPr>
      <w:proofErr w:type="gramStart"/>
      <w:r w:rsidRPr="00252C2E">
        <w:rPr>
          <w:b/>
        </w:rPr>
        <w:lastRenderedPageBreak/>
        <w:t>d</w:t>
      </w:r>
      <w:proofErr w:type="gramEnd"/>
      <w:r w:rsidRPr="00252C2E">
        <w:rPr>
          <w:b/>
        </w:rPr>
        <w:tab/>
        <w:t xml:space="preserve">delay parameter  </w:t>
      </w:r>
    </w:p>
    <w:p w:rsidR="00252C2E" w:rsidRPr="00252C2E" w:rsidRDefault="00252C2E" w:rsidP="00252C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MinionPro-Regular" w:hAnsi="MinionPro-Regular"/>
          <w:color w:val="231F20"/>
          <w:sz w:val="20"/>
          <w:szCs w:val="20"/>
        </w:rPr>
        <w:t>Th</w:t>
      </w:r>
      <w:r w:rsidR="00BE3AFE">
        <w:rPr>
          <w:rFonts w:ascii="MinionPro-Regular" w:hAnsi="MinionPro-Regular"/>
          <w:color w:val="231F20"/>
          <w:sz w:val="20"/>
          <w:szCs w:val="20"/>
        </w:rPr>
        <w:t>e</w:t>
      </w:r>
      <w:r>
        <w:rPr>
          <w:rFonts w:ascii="MinionPro-Regular" w:hAnsi="MinionPro-Regular"/>
          <w:color w:val="231F20"/>
          <w:sz w:val="20"/>
          <w:szCs w:val="20"/>
        </w:rPr>
        <w:t xml:space="preserve"> time delay is</w:t>
      </w:r>
      <w:r>
        <w:rPr>
          <w:rFonts w:ascii="MinionPro-Regular" w:hAnsi="MinionPro-Regular"/>
          <w:color w:val="231F20"/>
          <w:sz w:val="20"/>
          <w:szCs w:val="20"/>
        </w:rPr>
        <w:t xml:space="preserve"> set as the fi</w:t>
      </w:r>
      <w:r w:rsidR="00BE3AFE">
        <w:rPr>
          <w:rFonts w:ascii="MinionPro-Regular" w:hAnsi="MinionPro-Regular"/>
          <w:color w:val="231F20"/>
          <w:sz w:val="20"/>
          <w:szCs w:val="20"/>
        </w:rPr>
        <w:t>r</w:t>
      </w:r>
      <w:r>
        <w:rPr>
          <w:rFonts w:ascii="MinionPro-Regular" w:hAnsi="MinionPro-Regular"/>
          <w:color w:val="231F20"/>
          <w:sz w:val="20"/>
          <w:szCs w:val="20"/>
        </w:rPr>
        <w:t>st minimum of</w:t>
      </w:r>
      <w:r w:rsidRPr="00BE3AFE">
        <w:rPr>
          <w:rFonts w:ascii="MinionPro-Regular" w:hAnsi="MinionPro-Regular"/>
          <w:b/>
          <w:color w:val="231F20"/>
          <w:sz w:val="20"/>
          <w:szCs w:val="20"/>
        </w:rPr>
        <w:t xml:space="preserve"> the </w:t>
      </w:r>
      <w:r w:rsidRPr="00BE3AFE">
        <w:rPr>
          <w:rFonts w:ascii="MinionPro-Regular" w:hAnsi="MinionPro-Regular"/>
          <w:b/>
          <w:color w:val="231F20"/>
          <w:sz w:val="20"/>
          <w:szCs w:val="20"/>
        </w:rPr>
        <w:t>mutual information function</w:t>
      </w:r>
      <w:r w:rsidRPr="00BE3AFE">
        <w:rPr>
          <w:rFonts w:ascii="MinionPro-Regular" w:hAnsi="MinionPro-Regular"/>
          <w:b/>
          <w:color w:val="231F20"/>
          <w:sz w:val="20"/>
          <w:szCs w:val="20"/>
        </w:rPr>
        <w:t>.</w:t>
      </w:r>
      <w:r>
        <w:rPr>
          <w:rFonts w:ascii="MinionPro-Regular" w:hAnsi="MinionPro-Regular"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The mutual information acts as the equivalent of the corr</w:t>
      </w:r>
      <w:r>
        <w:rPr>
          <w:rFonts w:ascii="Times New Roman" w:hAnsi="Times New Roman" w:cs="Times New Roman"/>
          <w:kern w:val="0"/>
          <w:sz w:val="20"/>
          <w:szCs w:val="20"/>
        </w:rPr>
        <w:t>elation function in a nonlinear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domain.</w:t>
      </w:r>
      <w:r w:rsidR="00561BEB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proofErr w:type="gramStart"/>
      <w:r w:rsidR="00561BEB">
        <w:rPr>
          <w:rFonts w:ascii="Times New Roman" w:hAnsi="Times New Roman" w:cs="Times New Roman"/>
          <w:kern w:val="0"/>
          <w:sz w:val="20"/>
          <w:szCs w:val="20"/>
        </w:rPr>
        <w:t>nonlinear</w:t>
      </w:r>
      <w:proofErr w:type="gramEnd"/>
      <w:r w:rsidR="00561BEB">
        <w:rPr>
          <w:rFonts w:ascii="Times New Roman" w:hAnsi="Times New Roman" w:cs="Times New Roman"/>
          <w:kern w:val="0"/>
          <w:sz w:val="20"/>
          <w:szCs w:val="20"/>
        </w:rPr>
        <w:t xml:space="preserve"> correlation)</w:t>
      </w:r>
    </w:p>
    <w:p w:rsidR="00252C2E" w:rsidRPr="00252C2E" w:rsidRDefault="00252C2E" w:rsidP="00252C2E"/>
    <w:p w:rsidR="00252C2E" w:rsidRDefault="00252C2E" w:rsidP="00252C2E">
      <w:pPr>
        <w:rPr>
          <w:rFonts w:hint="eastAsia"/>
        </w:rPr>
      </w:pPr>
      <w:r>
        <w:t>t</w:t>
      </w:r>
      <w:r>
        <w:tab/>
        <w:t xml:space="preserve">Theiler window   </w:t>
      </w:r>
      <w:bookmarkStart w:id="0" w:name="_GoBack"/>
      <w:bookmarkEnd w:id="0"/>
    </w:p>
    <w:p w:rsidR="00E2645E" w:rsidRPr="00252C2E" w:rsidRDefault="00E2645E" w:rsidP="00252C2E">
      <w:pPr>
        <w:rPr>
          <w:rFonts w:hint="eastAsia"/>
        </w:rPr>
      </w:pPr>
    </w:p>
    <w:p w:rsidR="00252C2E" w:rsidRDefault="00252C2E" w:rsidP="00252C2E">
      <w:proofErr w:type="spellStart"/>
      <w:proofErr w:type="gramStart"/>
      <w:r>
        <w:t>rt</w:t>
      </w:r>
      <w:proofErr w:type="spellEnd"/>
      <w:proofErr w:type="gramEnd"/>
      <w:r>
        <w:t xml:space="preserve"> escape factor   </w:t>
      </w:r>
    </w:p>
    <w:p w:rsidR="00A24313" w:rsidRPr="00A24313" w:rsidRDefault="00A24313" w:rsidP="00252C2E">
      <w:proofErr w:type="gramStart"/>
      <w:r>
        <w:t>distance</w:t>
      </w:r>
      <w:proofErr w:type="gramEnd"/>
      <w:r>
        <w:t xml:space="preserve"> tolerance </w:t>
      </w:r>
      <w:proofErr w:type="spellStart"/>
      <w:r>
        <w:t>rt</w:t>
      </w:r>
      <w:proofErr w:type="spellEnd"/>
      <w:r w:rsidRPr="00A24313">
        <w:t xml:space="preserve"> - This is a threshold for the embedding criterion</w:t>
      </w:r>
      <w:r>
        <w:t xml:space="preserve"> (see above). The choice of </w:t>
      </w:r>
      <w:proofErr w:type="spellStart"/>
      <w:proofErr w:type="gramStart"/>
      <w:r>
        <w:t>rt</w:t>
      </w:r>
      <w:proofErr w:type="spellEnd"/>
      <w:proofErr w:type="gramEnd"/>
      <w:r w:rsidRPr="00A24313">
        <w:t xml:space="preserve"> </w:t>
      </w:r>
      <w:r w:rsidRPr="00E77B86">
        <w:rPr>
          <w:position w:val="-4"/>
        </w:rPr>
        <w:object w:dxaOrig="200" w:dyaOrig="200">
          <v:shape id="_x0000_i1030" type="#_x0000_t75" style="width:9.75pt;height:9.75pt" o:ole="">
            <v:imagedata r:id="rId22" o:title=""/>
          </v:shape>
          <o:OLEObject Type="Embed" ProgID="Equation.DSMT4" ShapeID="_x0000_i1030" DrawAspect="Content" ObjectID="_1537787541" r:id="rId23"/>
        </w:object>
      </w:r>
      <w:r w:rsidRPr="00A24313">
        <w:t xml:space="preserve"> 10 will usually identify the FNN c</w:t>
      </w:r>
      <w:r>
        <w:t xml:space="preserve">learly. Very high values of </w:t>
      </w:r>
      <w:proofErr w:type="spellStart"/>
      <w:proofErr w:type="gramStart"/>
      <w:r>
        <w:t>rt</w:t>
      </w:r>
      <w:proofErr w:type="spellEnd"/>
      <w:proofErr w:type="gramEnd"/>
      <w:r w:rsidRPr="00A24313">
        <w:t xml:space="preserve"> will result in an underestimation of the number </w:t>
      </w:r>
      <w:r>
        <w:t xml:space="preserve">of FNN. Very low values for </w:t>
      </w:r>
      <w:proofErr w:type="spellStart"/>
      <w:proofErr w:type="gramStart"/>
      <w:r>
        <w:t>rt</w:t>
      </w:r>
      <w:proofErr w:type="spellEnd"/>
      <w:proofErr w:type="gramEnd"/>
      <w:r w:rsidRPr="00A24313">
        <w:t xml:space="preserve"> will identify too many false nearest </w:t>
      </w:r>
      <w:proofErr w:type="spellStart"/>
      <w:r w:rsidRPr="00A24313">
        <w:t>neighbours</w:t>
      </w:r>
      <w:proofErr w:type="spellEnd"/>
      <w:r w:rsidRPr="00A24313">
        <w:t>, in particular when the points on the attractor become sparse</w:t>
      </w:r>
    </w:p>
    <w:p w:rsidR="00252C2E" w:rsidRPr="00252C2E" w:rsidRDefault="00252C2E" w:rsidP="00252C2E"/>
    <w:p w:rsidR="00252C2E" w:rsidRDefault="00252C2E" w:rsidP="00252C2E">
      <w:proofErr w:type="spellStart"/>
      <w:proofErr w:type="gramStart"/>
      <w:r>
        <w:rPr>
          <w:rFonts w:hint="eastAsia"/>
        </w:rPr>
        <w:t>eps</w:t>
      </w:r>
      <w:proofErr w:type="spellEnd"/>
      <w:proofErr w:type="gramEnd"/>
      <w:r>
        <w:rPr>
          <w:rFonts w:hint="eastAsia"/>
        </w:rPr>
        <w:t xml:space="preserve"> neighborhood diameter</w:t>
      </w:r>
    </w:p>
    <w:p w:rsidR="00DA7DEF" w:rsidRPr="00252C2E" w:rsidRDefault="00B72E8E" w:rsidP="00252C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gramEnd"/>
      <w:r>
        <w:t>series</w:t>
      </w:r>
      <w:r>
        <w:rPr>
          <w:rFonts w:hint="eastAsia"/>
        </w:rPr>
        <w:t>)</w:t>
      </w:r>
      <w:r>
        <w:t>/</w:t>
      </w:r>
      <w:proofErr w:type="spellStart"/>
      <w:r>
        <w:t>rt</w:t>
      </w:r>
      <w:proofErr w:type="spellEnd"/>
    </w:p>
    <w:p w:rsidR="00252C2E" w:rsidRPr="00252C2E" w:rsidRDefault="00252C2E" w:rsidP="00252C2E">
      <w:pPr>
        <w:rPr>
          <w:rFonts w:ascii="MinionPro-It" w:eastAsia="MinionPro-It" w:cs="MinionPro-It"/>
          <w:iCs/>
          <w:kern w:val="0"/>
          <w:sz w:val="20"/>
          <w:szCs w:val="20"/>
        </w:rPr>
      </w:pPr>
    </w:p>
    <w:p w:rsidR="00252C2E" w:rsidRDefault="00252C2E" w:rsidP="00252C2E">
      <w:pPr>
        <w:rPr>
          <w:rFonts w:ascii="MinionPro-It" w:eastAsia="MinionPro-It" w:cs="MinionPro-It"/>
          <w:iCs/>
          <w:kern w:val="0"/>
          <w:sz w:val="20"/>
          <w:szCs w:val="20"/>
        </w:rPr>
      </w:pPr>
    </w:p>
    <w:p w:rsidR="00FB09A3" w:rsidRDefault="00FB09A3">
      <w:pPr>
        <w:rPr>
          <w:rFonts w:ascii="MinionPro-It" w:eastAsia="MinionPro-It" w:cs="MinionPro-It"/>
          <w:iCs/>
          <w:kern w:val="0"/>
          <w:sz w:val="20"/>
          <w:szCs w:val="20"/>
        </w:rPr>
      </w:pPr>
    </w:p>
    <w:p w:rsidR="00252C2E" w:rsidRDefault="00252C2E">
      <w:pPr>
        <w:rPr>
          <w:rFonts w:ascii="MinionPro-It" w:eastAsia="MinionPro-It" w:cs="MinionPro-It"/>
          <w:iCs/>
          <w:kern w:val="0"/>
          <w:sz w:val="20"/>
          <w:szCs w:val="20"/>
        </w:rPr>
      </w:pPr>
    </w:p>
    <w:p w:rsidR="00252C2E" w:rsidRPr="00252C2E" w:rsidRDefault="00252C2E">
      <w:pPr>
        <w:rPr>
          <w:rFonts w:ascii="MinionPro-It" w:eastAsia="MinionPro-It" w:cs="MinionPro-It" w:hint="eastAsia"/>
          <w:iCs/>
          <w:kern w:val="0"/>
          <w:sz w:val="20"/>
          <w:szCs w:val="20"/>
        </w:rPr>
      </w:pPr>
    </w:p>
    <w:p w:rsidR="00FB09A3" w:rsidRDefault="00FB09A3">
      <w:pPr>
        <w:rPr>
          <w:rFonts w:ascii="MinionPro-It" w:eastAsia="MinionPro-It" w:cs="MinionPro-It"/>
          <w:i/>
          <w:iCs/>
          <w:kern w:val="0"/>
          <w:sz w:val="20"/>
          <w:szCs w:val="20"/>
        </w:rPr>
      </w:pPr>
    </w:p>
    <w:p w:rsidR="00FB09A3" w:rsidRDefault="00FB09A3">
      <w:pPr>
        <w:rPr>
          <w:rFonts w:ascii="MinionPro-It" w:eastAsia="MinionPro-It" w:cs="MinionPro-It"/>
          <w:i/>
          <w:iCs/>
          <w:kern w:val="0"/>
          <w:sz w:val="20"/>
          <w:szCs w:val="20"/>
        </w:rPr>
      </w:pPr>
      <w:r>
        <w:rPr>
          <w:rFonts w:ascii="MinionPro-It" w:eastAsia="MinionPro-It" w:cs="MinionPro-It"/>
          <w:i/>
          <w:iCs/>
          <w:kern w:val="0"/>
          <w:sz w:val="20"/>
          <w:szCs w:val="20"/>
        </w:rPr>
        <w:t>Kennel</w:t>
      </w:r>
      <w:proofErr w:type="gramStart"/>
      <w:r>
        <w:rPr>
          <w:rFonts w:ascii="MinionPro-It" w:eastAsia="MinionPro-It" w:cs="MinionPro-It" w:hint="eastAsia"/>
          <w:i/>
          <w:iCs/>
          <w:kern w:val="0"/>
          <w:sz w:val="20"/>
          <w:szCs w:val="20"/>
        </w:rPr>
        <w:t>’</w:t>
      </w:r>
      <w:proofErr w:type="gramEnd"/>
      <w:r>
        <w:rPr>
          <w:rFonts w:ascii="MinionPro-It" w:eastAsia="MinionPro-It" w:cs="MinionPro-It"/>
          <w:i/>
          <w:iCs/>
          <w:kern w:val="0"/>
          <w:sz w:val="20"/>
          <w:szCs w:val="20"/>
        </w:rPr>
        <w:t>s Algorithm.</w:t>
      </w:r>
    </w:p>
    <w:p w:rsidR="00FB09A3" w:rsidRDefault="00FB09A3">
      <w:hyperlink r:id="rId24" w:history="1">
        <w:r w:rsidRPr="00F319D8">
          <w:rPr>
            <w:rStyle w:val="a3"/>
          </w:rPr>
          <w:t>http://www.mpipks-dresden.mpg.de/~tisean/TISEAN_2.1/docs/chaospaper/node9.html</w:t>
        </w:r>
      </w:hyperlink>
    </w:p>
    <w:p w:rsidR="00FB09A3" w:rsidRDefault="00F760B3">
      <w:hyperlink r:id="rId25" w:history="1">
        <w:r w:rsidRPr="00F319D8">
          <w:rPr>
            <w:rStyle w:val="a3"/>
          </w:rPr>
          <w:t>http://help.ixellence.com/dataplore/dp_manual90.html</w:t>
        </w:r>
      </w:hyperlink>
    </w:p>
    <w:p w:rsidR="00F760B3" w:rsidRDefault="00F760B3"/>
    <w:p w:rsidR="00FB09A3" w:rsidRDefault="00FB09A3"/>
    <w:p w:rsidR="00FB09A3" w:rsidRDefault="00FB09A3">
      <w:pPr>
        <w:rPr>
          <w:rFonts w:ascii="MinionPro-It" w:eastAsia="MinionPro-It" w:cs="MinionPro-It"/>
          <w:i/>
          <w:iCs/>
          <w:kern w:val="0"/>
          <w:sz w:val="20"/>
          <w:szCs w:val="20"/>
        </w:rPr>
      </w:pPr>
      <w:r>
        <w:rPr>
          <w:rFonts w:ascii="MinionPro-It" w:eastAsia="MinionPro-It" w:cs="MinionPro-It"/>
          <w:i/>
          <w:iCs/>
          <w:kern w:val="0"/>
          <w:sz w:val="20"/>
          <w:szCs w:val="20"/>
        </w:rPr>
        <w:t>Cao</w:t>
      </w:r>
      <w:proofErr w:type="gramStart"/>
      <w:r>
        <w:rPr>
          <w:rFonts w:ascii="MinionPro-It" w:eastAsia="MinionPro-It" w:cs="MinionPro-It" w:hint="eastAsia"/>
          <w:i/>
          <w:iCs/>
          <w:kern w:val="0"/>
          <w:sz w:val="20"/>
          <w:szCs w:val="20"/>
        </w:rPr>
        <w:t>’</w:t>
      </w:r>
      <w:proofErr w:type="gramEnd"/>
      <w:r>
        <w:rPr>
          <w:rFonts w:ascii="MinionPro-It" w:eastAsia="MinionPro-It" w:cs="MinionPro-It"/>
          <w:i/>
          <w:iCs/>
          <w:kern w:val="0"/>
          <w:sz w:val="20"/>
          <w:szCs w:val="20"/>
        </w:rPr>
        <w:t>s Algorithm.</w:t>
      </w:r>
    </w:p>
    <w:p w:rsidR="00A05C29" w:rsidRDefault="00FB09A3">
      <w:hyperlink r:id="rId26" w:history="1">
        <w:r w:rsidRPr="00F319D8">
          <w:rPr>
            <w:rStyle w:val="a3"/>
          </w:rPr>
          <w:t>http://www.physik3.gwdg.de/tstool/HTML/node15.html</w:t>
        </w:r>
      </w:hyperlink>
    </w:p>
    <w:p w:rsidR="00FB09A3" w:rsidRDefault="00FB09A3"/>
    <w:p w:rsidR="00FB09A3" w:rsidRDefault="00FB09A3"/>
    <w:p w:rsidR="00FB09A3" w:rsidRDefault="00FB09A3"/>
    <w:p w:rsidR="00FB09A3" w:rsidRDefault="00FB09A3"/>
    <w:p w:rsidR="00FB09A3" w:rsidRDefault="00FB09A3"/>
    <w:p w:rsidR="00FB09A3" w:rsidRDefault="00FB09A3">
      <w:r>
        <w:rPr>
          <w:rFonts w:hint="eastAsia"/>
        </w:rPr>
        <w:t>Reference:</w:t>
      </w:r>
    </w:p>
    <w:p w:rsidR="003B32D1" w:rsidRPr="00561BEB" w:rsidRDefault="00561BEB">
      <w:pPr>
        <w:rPr>
          <w:rFonts w:hint="eastAsia"/>
          <w:b/>
        </w:rPr>
      </w:pPr>
      <w:r w:rsidRPr="00561BEB">
        <w:rPr>
          <w:b/>
        </w:rPr>
        <w:t>Determining embedding dimension for phase-space reconstruction using a geometrical construction</w:t>
      </w:r>
    </w:p>
    <w:p w:rsidR="00FB09A3" w:rsidRPr="00561BEB" w:rsidRDefault="00FB09A3">
      <w:pPr>
        <w:rPr>
          <w:b/>
        </w:rPr>
      </w:pPr>
      <w:r w:rsidRPr="00561BEB">
        <w:rPr>
          <w:b/>
        </w:rPr>
        <w:t xml:space="preserve">Use of False Nearest </w:t>
      </w:r>
      <w:proofErr w:type="spellStart"/>
      <w:r w:rsidRPr="00561BEB">
        <w:rPr>
          <w:b/>
        </w:rPr>
        <w:t>Neighbours</w:t>
      </w:r>
      <w:proofErr w:type="spellEnd"/>
      <w:r w:rsidRPr="00561BEB">
        <w:rPr>
          <w:b/>
        </w:rPr>
        <w:t xml:space="preserve"> for Selecting Variables and Embedding Parameters for State Space Reconstruction-krako2015</w:t>
      </w:r>
    </w:p>
    <w:p w:rsidR="002706F9" w:rsidRPr="00561BEB" w:rsidRDefault="002706F9">
      <w:pPr>
        <w:rPr>
          <w:b/>
        </w:rPr>
      </w:pPr>
      <w:r w:rsidRPr="00561BEB">
        <w:rPr>
          <w:b/>
        </w:rPr>
        <w:t>Time Series Prediction and Neural Networks-neural30-notes</w:t>
      </w:r>
    </w:p>
    <w:p w:rsidR="00FB09A3" w:rsidRPr="00561BEB" w:rsidRDefault="00B72E8E">
      <w:pPr>
        <w:rPr>
          <w:b/>
        </w:rPr>
      </w:pPr>
      <w:proofErr w:type="spellStart"/>
      <w:r w:rsidRPr="00561BEB">
        <w:rPr>
          <w:b/>
        </w:rPr>
        <w:t>Holger</w:t>
      </w:r>
      <w:proofErr w:type="spellEnd"/>
      <w:r w:rsidRPr="00561BEB">
        <w:rPr>
          <w:b/>
        </w:rPr>
        <w:t xml:space="preserve"> </w:t>
      </w:r>
      <w:proofErr w:type="spellStart"/>
      <w:r w:rsidRPr="00561BEB">
        <w:rPr>
          <w:b/>
        </w:rPr>
        <w:t>Kantz</w:t>
      </w:r>
      <w:proofErr w:type="spellEnd"/>
      <w:r w:rsidRPr="00561BEB">
        <w:rPr>
          <w:b/>
        </w:rPr>
        <w:t>, Thomas Schreiber,-Nonlinear Time Series Analysis, 2nd Edition (2004)</w:t>
      </w:r>
    </w:p>
    <w:p w:rsidR="00B72E8E" w:rsidRDefault="00B72E8E">
      <w:pPr>
        <w:rPr>
          <w:rFonts w:hint="eastAsia"/>
        </w:rPr>
      </w:pPr>
      <w:r w:rsidRPr="00B72E8E">
        <w:t>Modelling and Forecasting Financial Data_ Techniques of Nonlinear Dynamics-</w:t>
      </w:r>
      <w:proofErr w:type="spellStart"/>
      <w:r w:rsidRPr="00B72E8E">
        <w:t>Abdol</w:t>
      </w:r>
      <w:proofErr w:type="spellEnd"/>
      <w:r w:rsidRPr="00B72E8E">
        <w:t xml:space="preserve"> S. </w:t>
      </w:r>
      <w:proofErr w:type="spellStart"/>
      <w:r w:rsidRPr="00B72E8E">
        <w:t>So</w:t>
      </w:r>
      <w:r>
        <w:t>ofi</w:t>
      </w:r>
      <w:proofErr w:type="spellEnd"/>
      <w:r>
        <w:t xml:space="preserve">, </w:t>
      </w:r>
      <w:proofErr w:type="spellStart"/>
      <w:r>
        <w:t>Liangyue</w:t>
      </w:r>
      <w:proofErr w:type="spellEnd"/>
      <w:r>
        <w:t xml:space="preserve"> Cao-Springer</w:t>
      </w:r>
    </w:p>
    <w:sectPr w:rsidR="00B7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MinionPro-I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74"/>
    <w:rsid w:val="00252C2E"/>
    <w:rsid w:val="002706F9"/>
    <w:rsid w:val="00362E74"/>
    <w:rsid w:val="003B32D1"/>
    <w:rsid w:val="00561BEB"/>
    <w:rsid w:val="006F2404"/>
    <w:rsid w:val="00A05C29"/>
    <w:rsid w:val="00A24313"/>
    <w:rsid w:val="00B72E8E"/>
    <w:rsid w:val="00BE3AFE"/>
    <w:rsid w:val="00DA7DEF"/>
    <w:rsid w:val="00E2645E"/>
    <w:rsid w:val="00F760B3"/>
    <w:rsid w:val="00FB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1DB4B-9937-4590-A426-AB2E106C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hyperlink" Target="http://www.physik3.gwdg.de/tstool/HTML/node15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hyperlink" Target="http://help.ixellence.com/dataplore/dp_manual90.html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wmf"/><Relationship Id="rId24" Type="http://schemas.openxmlformats.org/officeDocument/2006/relationships/hyperlink" Target="http://www.mpipks-dresden.mpg.de/~tisean/TISEAN_2.1/docs/chaospaper/node9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2016-10-12T01:32:00Z</dcterms:created>
  <dcterms:modified xsi:type="dcterms:W3CDTF">2016-10-12T06:25:00Z</dcterms:modified>
</cp:coreProperties>
</file>