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5F0A6B" w14:paraId="0E14F26B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65AC1AC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68D5C3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170B0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70F316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CE84F0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72BD7D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04445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6BDE93C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1EA98EC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9D6EB96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3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518D96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58D3D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C43C3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2470B0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A7E1D5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337CB9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8998B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FB5C92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BF1C67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5587888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2C42B99D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4A4B3C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D90FED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E8DE82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51117A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BC4836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F219A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ECEF2A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44012E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92171F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31E195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4BE640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0F9F4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5E75F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BE0FC7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141685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54DDED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76C139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839389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3CC86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4E1FA0E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6BB27637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16D77D4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3EEAE7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6A7ED9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53667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18ED98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03C7C1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708F7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83C824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45F950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1E5B55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46BA00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FE808D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A6D13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1B58AB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C9776D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9B78A6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1443E0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20D1C8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0CAD3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D5E74C5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29856588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86E153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230B4E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199A8A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EE9319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205CE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B98C4B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EC050B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2E45B7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D958A7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CED035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BA5145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0A264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B6A143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F96F10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CA8777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5FC3B1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872DA6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931C2D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0B892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991347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355A9FC3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D94EAF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0720C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D80854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6859D4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EEEA3C0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2</w:t>
            </w:r>
          </w:p>
        </w:tc>
        <w:tc>
          <w:tcPr>
            <w:tcW w:w="360" w:type="dxa"/>
            <w:vAlign w:val="center"/>
          </w:tcPr>
          <w:p w14:paraId="440CCE1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A4C5F2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EEAC6C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FD8FDA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287304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53FA6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B8DB8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DCB0C7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1AAB23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C8482A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2965A1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D0A775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5907E9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35697F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0FCDE4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6C7D7BAA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0AFC01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1696B2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43FA82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921DD5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354D4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EE1EA8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EEA85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DBDCC8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5C419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F4D22F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D4205F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8EA9D3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B9EC07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44B765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08D0C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33D8FC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C25F7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AD5810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BC465E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8861FC5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2702046A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24FE245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4C3FF2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E1F8EA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BB135B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866E0DC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4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DCD2BE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31AA19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FB6528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0881C9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0BDC54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B45979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7D49C0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2725FCF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13</w:t>
            </w:r>
          </w:p>
        </w:tc>
        <w:tc>
          <w:tcPr>
            <w:tcW w:w="360" w:type="dxa"/>
            <w:vAlign w:val="center"/>
          </w:tcPr>
          <w:p w14:paraId="48D2429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550A19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1552EA6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15</w:t>
            </w:r>
          </w:p>
        </w:tc>
        <w:tc>
          <w:tcPr>
            <w:tcW w:w="360" w:type="dxa"/>
            <w:vAlign w:val="center"/>
          </w:tcPr>
          <w:p w14:paraId="7BEB60A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FE707E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D264BA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1305A39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1DB892A6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137029D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101834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2153B4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38F73B3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5</w:t>
            </w:r>
          </w:p>
        </w:tc>
        <w:tc>
          <w:tcPr>
            <w:tcW w:w="360" w:type="dxa"/>
            <w:vAlign w:val="center"/>
          </w:tcPr>
          <w:p w14:paraId="7156654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A77568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F3FC39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C3EB74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D09960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3CD5AC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20E5D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11DC5D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E3AA78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3B017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1B467B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0FB620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6ED314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488AFE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AD24BA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0ADFC66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2EBF982E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4CDEA99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1DFEE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AC871A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BC108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7D3834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60326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D79892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9090A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70A934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BC0527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C27C8D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50A96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A7F072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642CC2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9D906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6B8F89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1265FE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83AC64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1D4D6E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D45183D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70DF79A6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073DE32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3FD26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7718E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F030FF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3892DFC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6</w:t>
            </w:r>
          </w:p>
        </w:tc>
        <w:tc>
          <w:tcPr>
            <w:tcW w:w="360" w:type="dxa"/>
            <w:vAlign w:val="center"/>
          </w:tcPr>
          <w:p w14:paraId="10B5E48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D0DE46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900A5A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8DED346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11</w:t>
            </w:r>
          </w:p>
        </w:tc>
        <w:tc>
          <w:tcPr>
            <w:tcW w:w="360" w:type="dxa"/>
            <w:vAlign w:val="center"/>
          </w:tcPr>
          <w:p w14:paraId="175C10B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1F98F00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14</w:t>
            </w:r>
          </w:p>
        </w:tc>
        <w:tc>
          <w:tcPr>
            <w:tcW w:w="360" w:type="dxa"/>
            <w:vAlign w:val="center"/>
          </w:tcPr>
          <w:p w14:paraId="1DEFC30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1996B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AB7ED01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17</w:t>
            </w:r>
          </w:p>
        </w:tc>
        <w:tc>
          <w:tcPr>
            <w:tcW w:w="360" w:type="dxa"/>
            <w:vAlign w:val="center"/>
          </w:tcPr>
          <w:p w14:paraId="7D0C293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696D5F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39B1F3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10AAEC5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18</w:t>
            </w:r>
          </w:p>
        </w:tc>
        <w:tc>
          <w:tcPr>
            <w:tcW w:w="360" w:type="dxa"/>
            <w:vAlign w:val="center"/>
          </w:tcPr>
          <w:p w14:paraId="31DF913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8D28FB1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5BD9648F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484ADB4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ACB03F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63038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68B16E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0FA72F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1A09F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8FBEE3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3EF80E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630766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3C3E5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E315EE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712E47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D4731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34F1CF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179FC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E5A546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A65315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72381D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3A0D9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295CC8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0A9138F5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DF39E1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605820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C5AD31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360CCD5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8</w:t>
            </w:r>
          </w:p>
        </w:tc>
        <w:tc>
          <w:tcPr>
            <w:tcW w:w="360" w:type="dxa"/>
            <w:vAlign w:val="center"/>
          </w:tcPr>
          <w:p w14:paraId="539ED90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FF9A11E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9</w:t>
            </w:r>
          </w:p>
        </w:tc>
        <w:tc>
          <w:tcPr>
            <w:tcW w:w="360" w:type="dxa"/>
            <w:vAlign w:val="center"/>
          </w:tcPr>
          <w:p w14:paraId="76A6A3C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1E53B9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22C024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5FF8F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5DFFFA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D5F1F8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4A506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EFBFDC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4446EA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055B39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2D7872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16931E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BABFDA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02EB2E1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42D253B9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0042D2F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EA41DE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91C0E6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4611AF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C558E7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9473F4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D543F5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40DF83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6F938F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20C334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917FDD0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16</w:t>
            </w:r>
          </w:p>
        </w:tc>
        <w:tc>
          <w:tcPr>
            <w:tcW w:w="360" w:type="dxa"/>
            <w:vAlign w:val="center"/>
          </w:tcPr>
          <w:p w14:paraId="3870F84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0F2260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4A9605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0E0B66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7C16E7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B8CE0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6C414B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5AAEB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0ED1884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3C731C78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19E2BCE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A756B1E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7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59B342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2C258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A8FEA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43EB04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3FE4D1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DDF6FE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FD3B10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3B2C6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423B44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8C8C6F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986A9A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E27726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A5C309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DC09E3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181A46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58BEA4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3A7020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9069445" w14:textId="77777777" w:rsidR="005F0A6B" w:rsidRDefault="005F0A6B">
            <w:pPr>
              <w:pStyle w:val="BodyText"/>
              <w:jc w:val="center"/>
            </w:pPr>
          </w:p>
        </w:tc>
        <w:bookmarkStart w:id="0" w:name="_GoBack"/>
        <w:bookmarkEnd w:id="0"/>
      </w:tr>
      <w:tr w:rsidR="005F0A6B" w14:paraId="3475BB28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2717F5A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D38854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C5EAF3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773CAEF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12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03D0E6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15DC47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54683E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3F5F8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340AEB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37C435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12FCFF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24A50D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0CD3B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F243FB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CAC836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13ADEC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81BE5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E6F794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8C6DB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758CB22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5FEF2348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2399C54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D31DCC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CF0A48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6E492C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DFBDE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785FA9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9EAAC3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ADCEF6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DA0CB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02622A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20BD1D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A7DB39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35E9DC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FD724B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BA9843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142CB5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7F7E6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8211F4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9BA4CF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B27C64C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5B3E1213" w14:textId="77777777">
        <w:trPr>
          <w:trHeight w:hRule="exact" w:val="360"/>
          <w:jc w:val="center"/>
        </w:trPr>
        <w:tc>
          <w:tcPr>
            <w:tcW w:w="360" w:type="dxa"/>
            <w:vAlign w:val="center"/>
          </w:tcPr>
          <w:p w14:paraId="74295A8B" w14:textId="77777777" w:rsidR="005F0A6B" w:rsidRDefault="0074211B">
            <w:pPr>
              <w:pStyle w:val="BodyText"/>
            </w:pPr>
            <w:r>
              <w:rPr>
                <w:vertAlign w:val="superscript"/>
              </w:rPr>
              <w:t>10</w:t>
            </w:r>
          </w:p>
        </w:tc>
        <w:tc>
          <w:tcPr>
            <w:tcW w:w="360" w:type="dxa"/>
            <w:vAlign w:val="center"/>
          </w:tcPr>
          <w:p w14:paraId="71837B1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C15C6B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A76597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952058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AAB4F8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916EA6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F2C1F2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B406E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7A207E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33D414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FFF751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63C349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BA965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727643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3DA56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0FEEBB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EA64F4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D3B672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AF10449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0090B58A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7484D8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BD2F9B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7C32BB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570C87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2C79E4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F0EE46D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95E080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66207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3F8A37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4A2E59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4EACE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4B9B4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890640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5A692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580429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486D99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4566E0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2C85CF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BA30F5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990BC33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73177DE7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4A912DC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E95D91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B5928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1C3431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AF0F74F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94C6F9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46197E5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F0D143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3CC7A2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765E9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16AFF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F68DDD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14200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01CB37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81D7B5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E11079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E5D8F1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48222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530B1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4DDFBF4" w14:textId="77777777" w:rsidR="005F0A6B" w:rsidRDefault="005F0A6B">
            <w:pPr>
              <w:pStyle w:val="BodyText"/>
              <w:jc w:val="center"/>
            </w:pPr>
          </w:p>
        </w:tc>
      </w:tr>
      <w:tr w:rsidR="005F0A6B" w14:paraId="6AF70BB0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674604F2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438A5D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C3EC82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F90551B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F1DD2B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296B2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E00AB9C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AC43DA3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57D7860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97FAC6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205C7BA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CC226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C4FCE29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A4DC74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AA14A6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6E6FB38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408827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4B4473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1BE291" w14:textId="77777777" w:rsidR="005F0A6B" w:rsidRDefault="005F0A6B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FCF9E41" w14:textId="77777777" w:rsidR="005F0A6B" w:rsidRDefault="005F0A6B">
            <w:pPr>
              <w:pStyle w:val="BodyText"/>
              <w:jc w:val="center"/>
            </w:pPr>
          </w:p>
        </w:tc>
      </w:tr>
    </w:tbl>
    <w:p w14:paraId="2288443E" w14:textId="77777777" w:rsidR="005F0A6B" w:rsidRDefault="005F0A6B">
      <w:pPr>
        <w:pStyle w:val="BodyText"/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5280"/>
        <w:gridCol w:w="4306"/>
      </w:tblGrid>
      <w:tr w:rsidR="005F0A6B" w14:paraId="07D2BE84" w14:textId="77777777">
        <w:tc>
          <w:tcPr>
            <w:tcW w:w="0" w:type="auto"/>
          </w:tcPr>
          <w:p w14:paraId="60AEC82D" w14:textId="05F3C5F5" w:rsidR="005F0A6B" w:rsidRPr="00693C2E" w:rsidRDefault="00693C2E">
            <w:pPr>
              <w:pStyle w:val="BodyText"/>
              <w:rPr>
                <w:b/>
                <w:sz w:val="28"/>
                <w:szCs w:val="28"/>
              </w:rPr>
            </w:pPr>
            <w:r w:rsidRPr="00693C2E">
              <w:rPr>
                <w:b/>
                <w:sz w:val="28"/>
                <w:szCs w:val="28"/>
              </w:rPr>
              <w:t>Horizontally</w:t>
            </w:r>
            <w:r w:rsidR="0074211B" w:rsidRPr="00693C2E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14:paraId="2C425565" w14:textId="307AA822" w:rsidR="005F0A6B" w:rsidRPr="00693C2E" w:rsidRDefault="00693C2E">
            <w:pPr>
              <w:pStyle w:val="BodyText"/>
              <w:rPr>
                <w:b/>
                <w:sz w:val="28"/>
                <w:szCs w:val="28"/>
              </w:rPr>
            </w:pPr>
            <w:r w:rsidRPr="00693C2E">
              <w:rPr>
                <w:b/>
                <w:sz w:val="28"/>
                <w:szCs w:val="28"/>
              </w:rPr>
              <w:t>Vertically</w:t>
            </w:r>
            <w:r w:rsidR="0074211B" w:rsidRPr="00693C2E">
              <w:rPr>
                <w:b/>
                <w:sz w:val="28"/>
                <w:szCs w:val="28"/>
              </w:rPr>
              <w:t>:</w:t>
            </w:r>
          </w:p>
        </w:tc>
      </w:tr>
      <w:tr w:rsidR="005F0A6B" w14:paraId="2C1E9615" w14:textId="77777777">
        <w:tc>
          <w:tcPr>
            <w:tcW w:w="0" w:type="auto"/>
          </w:tcPr>
          <w:p w14:paraId="3AE3719F" w14:textId="3BD8FE4B" w:rsidR="005F0A6B" w:rsidRDefault="0074211B" w:rsidP="003757BB">
            <w:r>
              <w:t xml:space="preserve">2.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bring (something) into existence</w:t>
            </w:r>
          </w:p>
          <w:p w14:paraId="428AA5EC" w14:textId="025E7C0F" w:rsidR="005F0A6B" w:rsidRDefault="0074211B" w:rsidP="003757BB">
            <w:r>
              <w:t xml:space="preserve">5.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having a human crew</w:t>
            </w:r>
          </w:p>
          <w:p w14:paraId="5C0C1B4F" w14:textId="77F7A5C8" w:rsidR="005F0A6B" w:rsidRDefault="0074211B" w:rsidP="003757BB">
            <w:r>
              <w:t xml:space="preserve">6.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a way of dealing with a situation or problem</w:t>
            </w:r>
          </w:p>
          <w:p w14:paraId="578097F7" w14:textId="07D506E0" w:rsidR="005F0A6B" w:rsidRDefault="0074211B" w:rsidP="003757BB">
            <w:r>
              <w:t xml:space="preserve">8.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a body's relative mass</w:t>
            </w:r>
          </w:p>
          <w:p w14:paraId="7B52B8A4" w14:textId="0E0667E5" w:rsidR="005F0A6B" w:rsidRPr="003757BB" w:rsidRDefault="0074211B" w:rsidP="003757BB">
            <w:r>
              <w:t xml:space="preserve">10.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a substance that flows freely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 xml:space="preserve"> like water or</w:t>
            </w:r>
            <w:r w:rsidR="003757BB" w:rsidRPr="003757B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oil</w:t>
            </w:r>
          </w:p>
          <w:p w14:paraId="2F826A95" w14:textId="451B713D" w:rsidR="005F0A6B" w:rsidRDefault="0074211B" w:rsidP="003757BB">
            <w:r>
              <w:t xml:space="preserve">13.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own</w:t>
            </w:r>
          </w:p>
          <w:p w14:paraId="393FAB79" w14:textId="4DEB48EC" w:rsidR="005F0A6B" w:rsidRDefault="0074211B" w:rsidP="003757BB">
            <w:r>
              <w:t xml:space="preserve">16.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as a result or consequence of this</w:t>
            </w:r>
          </w:p>
          <w:p w14:paraId="5F60BF30" w14:textId="77777777" w:rsidR="003757BB" w:rsidRDefault="0074211B" w:rsidP="003757BB">
            <w:r>
              <w:t>1</w:t>
            </w:r>
            <w:r>
              <w:t xml:space="preserve">7.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be unlike or dissimilar</w:t>
            </w:r>
          </w:p>
          <w:p w14:paraId="5AA21686" w14:textId="54626F9D" w:rsidR="005F0A6B" w:rsidRDefault="005F0A6B">
            <w:pPr>
              <w:pStyle w:val="BodyText"/>
            </w:pPr>
          </w:p>
        </w:tc>
        <w:tc>
          <w:tcPr>
            <w:tcW w:w="0" w:type="auto"/>
          </w:tcPr>
          <w:p w14:paraId="1746FD28" w14:textId="6320B773" w:rsidR="005F0A6B" w:rsidRDefault="0074211B" w:rsidP="003757BB">
            <w:r>
              <w:t xml:space="preserve">1.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worth a great deal of money.</w:t>
            </w:r>
          </w:p>
          <w:p w14:paraId="196A9F48" w14:textId="14BDBD94" w:rsidR="005F0A6B" w:rsidRDefault="0074211B" w:rsidP="003757BB">
            <w:r>
              <w:t xml:space="preserve">3.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demonstrate the truth</w:t>
            </w:r>
          </w:p>
          <w:p w14:paraId="2A6D4607" w14:textId="311B6F0E" w:rsidR="005F0A6B" w:rsidRDefault="0074211B" w:rsidP="003757BB">
            <w:r>
              <w:t xml:space="preserve">4.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statistics collected together</w:t>
            </w:r>
          </w:p>
          <w:p w14:paraId="3D244F36" w14:textId="02B4EABF" w:rsidR="005F0A6B" w:rsidRPr="00693C2E" w:rsidRDefault="0074211B" w:rsidP="003757BB">
            <w:pPr>
              <w:rPr>
                <w:lang w:val="ru-RU"/>
              </w:rPr>
            </w:pPr>
            <w:r>
              <w:t xml:space="preserve">7.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 xml:space="preserve">a thing used for transporting </w:t>
            </w:r>
          </w:p>
          <w:p w14:paraId="34FFAE33" w14:textId="6B32596E" w:rsidR="005F0A6B" w:rsidRDefault="0074211B" w:rsidP="003757BB">
            <w:r>
              <w:t xml:space="preserve">9.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contain as part of a whole</w:t>
            </w:r>
          </w:p>
          <w:p w14:paraId="4FCA9D5D" w14:textId="0163346C" w:rsidR="005F0A6B" w:rsidRDefault="0074211B" w:rsidP="003757BB">
            <w:r>
              <w:t xml:space="preserve">11.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get, acquire, or secure (something)</w:t>
            </w:r>
          </w:p>
          <w:p w14:paraId="2B03D386" w14:textId="0468629A" w:rsidR="005F0A6B" w:rsidRDefault="0074211B" w:rsidP="003757BB">
            <w:r>
              <w:t xml:space="preserve">12.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start or set in motion</w:t>
            </w:r>
          </w:p>
          <w:p w14:paraId="4CD6943F" w14:textId="4B264220" w:rsidR="005F0A6B" w:rsidRDefault="0074211B" w:rsidP="003757BB">
            <w:r>
              <w:t xml:space="preserve">14.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specific but not explicitly named</w:t>
            </w:r>
          </w:p>
          <w:p w14:paraId="5F02032F" w14:textId="4896BB09" w:rsidR="005F0A6B" w:rsidRDefault="0074211B" w:rsidP="003757BB">
            <w:r>
              <w:t xml:space="preserve">15.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uppermost layer of something</w:t>
            </w:r>
          </w:p>
          <w:p w14:paraId="6B411B28" w14:textId="3D0D8167" w:rsidR="005F0A6B" w:rsidRDefault="0074211B" w:rsidP="003757BB">
            <w:r>
              <w:t xml:space="preserve">17. </w:t>
            </w:r>
            <w:r w:rsidR="003757BB">
              <w:rPr>
                <w:rFonts w:ascii="Arial" w:hAnsi="Arial" w:cs="Arial"/>
                <w:color w:val="222222"/>
                <w:shd w:val="clear" w:color="auto" w:fill="FFFFFF"/>
              </w:rPr>
              <w:t>compactness of a substance</w:t>
            </w:r>
          </w:p>
          <w:p w14:paraId="3BBBBBC0" w14:textId="0084D390" w:rsidR="005F0A6B" w:rsidRDefault="0074211B" w:rsidP="00693C2E">
            <w:r>
              <w:t xml:space="preserve">18. </w:t>
            </w:r>
            <w:r w:rsidR="00693C2E">
              <w:rPr>
                <w:rFonts w:ascii="Arial" w:hAnsi="Arial" w:cs="Arial"/>
                <w:color w:val="222222"/>
                <w:shd w:val="clear" w:color="auto" w:fill="FFFFFF"/>
              </w:rPr>
              <w:t>not including</w:t>
            </w:r>
          </w:p>
        </w:tc>
      </w:tr>
    </w:tbl>
    <w:p w14:paraId="2C707B99" w14:textId="77777777" w:rsidR="0074211B" w:rsidRDefault="0074211B"/>
    <w:sectPr w:rsidR="007421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57BB"/>
    <w:rsid w:val="004E29B3"/>
    <w:rsid w:val="00590D07"/>
    <w:rsid w:val="005F0A6B"/>
    <w:rsid w:val="00693C2E"/>
    <w:rsid w:val="0074211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050D3"/>
  <w15:docId w15:val="{D6934994-39A6-0B49-A46C-7A5D2C0F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2020-05-01T11:08:00Z</dcterms:created>
  <dcterms:modified xsi:type="dcterms:W3CDTF">2020-05-01T11:08:00Z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Crossword</dc:title>
  <dc:subject xmlns:dc="http://purl.org/dc/elements/1.1/"/>
  <dc:creator xmlns:dc="http://purl.org/dc/elements/1.1/">http://cross.highcat.org</dc:creator>
  <ns0:keywords/>
  <ns0:lastModifiedBy>http://cross.highcat.org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2020-05-01T13:55:13Z</dcterms:created>
  <dcterms:modified xmlns:xsi="http://www.w3.org/2001/XMLSchema-instance" xmlns:dcterms="http://purl.org/dc/terms/" xsi:type="dcterms:W3CDTF">2020-05-01T13:55:13Z</dcterms:modified>
</ns0:coreProperties>
</file>