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0E7C8B"/>
          <w:spacing w:val="30"/>
          <w:sz w:val="18"/>
          <w:szCs w:val="18"/>
        </w:rPr>
        <w:t xml:space="preserve">PROPOSTA DE TRABALHO  ·  ESTATÍSTICA DESCRITIVA</w:t>
      </w:r>
    </w:p>
    <w:p>
      <w:pPr>
        <w:spacing w:after="60"/>
      </w:pPr>
      <w:r>
        <w:rPr>
          <w:b/>
          <w:bCs/>
          <w:color w:val="16224A"/>
          <w:sz w:val="36"/>
          <w:szCs w:val="36"/>
        </w:rPr>
        <w:t xml:space="preserve">Viés instrumental na busca por exoluas</w:t>
      </w:r>
    </w:p>
    <w:p>
      <w:pPr>
        <w:spacing w:after="40"/>
      </w:pPr>
      <w:r>
        <w:rPr>
          <w:color w:val="444B5E"/>
          <w:sz w:val="19"/>
          <w:szCs w:val="19"/>
        </w:rPr>
        <w:t xml:space="preserve">Henrique Sena Silva   ·   Orientação: Patrícia Takaki   ·   UNIMONTES</w:t>
      </w:r>
    </w:p>
    <w:p>
      <w:pPr>
        <w:pBdr>
          <w:bottom w:val="single" w:color="16224A" w:sz="10" w:space="6"/>
        </w:pBdr>
        <w:spacing w:after="120"/>
      </w:pPr>
      <w:r>
        <w:t xml:space="preserve"/>
      </w:r>
    </w:p>
    <w:p>
      <w:pPr>
        <w:pStyle w:val="Heading1"/>
      </w:pPr>
      <w:r>
        <w:t xml:space="preserve">Tema</w:t>
      </w:r>
    </w:p>
    <w:p>
      <w:pPr>
        <w:spacing w:after="60"/>
      </w:pPr>
      <w:r>
        <w:rPr>
          <w:color w:val="444B5E"/>
        </w:rPr>
        <w:t xml:space="preserve">Análise estatística descritiva dos exoplanetas catalogados como potenciais hospedeiros de exoluas, com o objetivo de investigar a hipótese de que a </w:t>
      </w:r>
      <w:r>
        <w:rPr>
          <w:b/>
          <w:bCs/>
          <w:color w:val="16224A"/>
        </w:rPr>
        <w:t xml:space="preserve">instrumentação atual produz uma amostra enviesada</w:t>
      </w:r>
      <w:r>
        <w:rPr>
          <w:color w:val="444B5E"/>
        </w:rPr>
        <w:t xml:space="preserve">. Métodos como o trânsito (Kepler, Hubble) tendem a privilegiar planetas maiores e mais próximos de suas estrelas — por gerarem trânsitos mais profundos e frequentes —, o que sugere um viés de seleção sistemático nos candidatos já explorados pela literatura.</w:t>
      </w:r>
    </w:p>
    <w:p>
      <w:pPr>
        <w:pStyle w:val="Heading1"/>
      </w:pPr>
      <w:r>
        <w:t xml:space="preserve">Base de dados</w:t>
      </w:r>
    </w:p>
    <w:p>
      <w:pPr>
        <w:spacing w:after="60"/>
      </w:pPr>
      <w:r>
        <w:rPr>
          <w:b/>
          <w:bCs/>
          <w:color w:val="16224A"/>
        </w:rPr>
        <w:t xml:space="preserve">The Exomoon Archive (TEA)</w:t>
      </w:r>
      <w:r>
        <w:rPr>
          <w:color w:val="444B5E"/>
        </w:rPr>
        <w:t xml:space="preserve">, base de dados produzida no artigo de referência. Reúne </w:t>
      </w:r>
      <w:r>
        <w:rPr>
          <w:b/>
          <w:bCs/>
          <w:color w:val="16224A"/>
        </w:rPr>
        <w:t xml:space="preserve">190 exoplanetas</w:t>
      </w:r>
      <w:r>
        <w:rPr>
          <w:color w:val="444B5E"/>
        </w:rPr>
        <w:t xml:space="preserve"> analisados como potenciais hospedeiros de exoluas, extraídos de </w:t>
      </w:r>
      <w:r>
        <w:rPr>
          <w:b/>
          <w:bCs/>
          <w:color w:val="16224A"/>
        </w:rPr>
        <w:t xml:space="preserve">18 artigos</w:t>
      </w:r>
      <w:r>
        <w:rPr>
          <w:color w:val="444B5E"/>
        </w:rPr>
        <w:t xml:space="preserve"> e obtidos do NASA Exoplanet Archive (NEA). O conjunto está dividido em dois subconjuntos: dados cumulativos do Kepler (104 linhas únicas) e dados de sistemas planetários (52 linhas únicas), sendo aproximadamente </w:t>
      </w:r>
      <w:r>
        <w:rPr>
          <w:b/>
          <w:bCs/>
          <w:color w:val="16224A"/>
        </w:rPr>
        <w:t xml:space="preserve">68% provenientes do Kepler</w:t>
      </w:r>
      <w:r>
        <w:rPr>
          <w:color w:val="444B5E"/>
        </w:rPr>
        <w:t xml:space="preserve"> — fato que motiva diretamente a hipótese deste trabalho.</w:t>
      </w:r>
    </w:p>
    <w:p>
      <w:pPr>
        <w:spacing w:after="60"/>
      </w:pPr>
      <w:r>
        <w:rPr>
          <w:color w:val="444B5E"/>
          <w:sz w:val="19"/>
          <w:szCs w:val="19"/>
        </w:rPr>
        <w:t xml:space="preserve">Disponível em: </w:t>
      </w:r>
      <w:hyperlink w:history="1" r:id="rIdforrwvcjetfm-75ln5ucc">
        <w:r>
          <w:rPr>
            <w:color w:val="0563C1"/>
            <w:sz w:val="19"/>
            <w:szCs w:val="19"/>
            <w:u w:val="single"/>
          </w:rPr>
          <w:t xml:space="preserve">theexomoonarchive.netlify.app</w:t>
        </w:r>
      </w:hyperlink>
    </w:p>
    <w:p>
      <w:pPr>
        <w:pStyle w:val="Heading1"/>
      </w:pPr>
      <w:r>
        <w:t xml:space="preserve">Perguntas analíticas</w:t>
      </w:r>
    </w:p>
    <w:p>
      <w:pPr>
        <w:spacing w:after="20" w:before="140"/>
      </w:pPr>
      <w:r>
        <w:rPr>
          <w:b/>
          <w:bCs/>
          <w:color w:val="0E7C8B"/>
          <w:sz w:val="22"/>
          <w:szCs w:val="22"/>
        </w:rPr>
        <w:t xml:space="preserve">1. </w:t>
      </w:r>
      <w:r>
        <w:rPr>
          <w:b/>
          <w:bCs/>
          <w:color w:val="16224A"/>
          <w:sz w:val="22"/>
          <w:szCs w:val="22"/>
        </w:rPr>
        <w:t xml:space="preserve">Há viés de distribuição no perfil físico dos candidatos?</w:t>
      </w:r>
      <w:r>
        <w:rPr>
          <w:i/>
          <w:iCs/>
          <w:color w:val="0E7C8B"/>
          <w:sz w:val="17"/>
          <w:szCs w:val="17"/>
        </w:rPr>
        <w:t xml:space="preserve">   [Distribuição]</w:t>
      </w:r>
    </w:p>
    <w:p>
      <w:pPr>
        <w:spacing w:after="60"/>
        <w:ind w:left="230"/>
      </w:pPr>
      <w:r>
        <w:rPr>
          <w:color w:val="444B5E"/>
          <w:sz w:val="21"/>
          <w:szCs w:val="21"/>
        </w:rPr>
        <w:t xml:space="preserve">A distribuição do raio planetário e do período orbital é assimétrica, concentrada em planetas grandes e de curto período, conforme prevê o limite de detectabilidade dos instrumentos atuais?</w:t>
      </w:r>
    </w:p>
    <w:p>
      <w:pPr>
        <w:spacing w:after="20" w:before="140"/>
      </w:pPr>
      <w:r>
        <w:rPr>
          <w:b/>
          <w:bCs/>
          <w:color w:val="0E7C8B"/>
          <w:sz w:val="22"/>
          <w:szCs w:val="22"/>
        </w:rPr>
        <w:t xml:space="preserve">2. </w:t>
      </w:r>
      <w:r>
        <w:rPr>
          <w:b/>
          <w:bCs/>
          <w:color w:val="16224A"/>
          <w:sz w:val="22"/>
          <w:szCs w:val="22"/>
        </w:rPr>
        <w:t xml:space="preserve">O instrumento condiciona o tipo de planeta encontrado?</w:t>
      </w:r>
      <w:r>
        <w:rPr>
          <w:i/>
          <w:iCs/>
          <w:color w:val="0E7C8B"/>
          <w:sz w:val="17"/>
          <w:szCs w:val="17"/>
        </w:rPr>
        <w:t xml:space="preserve">   [Correlação / comparação]</w:t>
      </w:r>
    </w:p>
    <w:p>
      <w:pPr>
        <w:spacing w:after="60"/>
        <w:ind w:left="230"/>
      </w:pPr>
      <w:r>
        <w:rPr>
          <w:color w:val="444B5E"/>
          <w:sz w:val="21"/>
          <w:szCs w:val="21"/>
        </w:rPr>
        <w:t xml:space="preserve">Existe diferença sistemática entre os planetas observados pelo Kepler e os observados por outros telescópios quanto a raio, período orbital e temperatura de equilíbrio?</w:t>
      </w:r>
    </w:p>
    <w:p>
      <w:pPr>
        <w:spacing w:after="20" w:before="140"/>
      </w:pPr>
      <w:r>
        <w:rPr>
          <w:b/>
          <w:bCs/>
          <w:color w:val="0E7C8B"/>
          <w:sz w:val="22"/>
          <w:szCs w:val="22"/>
        </w:rPr>
        <w:t xml:space="preserve">3. </w:t>
      </w:r>
      <w:r>
        <w:rPr>
          <w:b/>
          <w:bCs/>
          <w:color w:val="16224A"/>
          <w:sz w:val="22"/>
          <w:szCs w:val="22"/>
        </w:rPr>
        <w:t xml:space="preserve">Existe uma “zona de detectabilidade”?</w:t>
      </w:r>
      <w:r>
        <w:rPr>
          <w:i/>
          <w:iCs/>
          <w:color w:val="0E7C8B"/>
          <w:sz w:val="17"/>
          <w:szCs w:val="17"/>
        </w:rPr>
        <w:t xml:space="preserve">   [Agrupamentos / outliers]</w:t>
      </w:r>
    </w:p>
    <w:p>
      <w:pPr>
        <w:spacing w:after="60"/>
        <w:ind w:left="230"/>
      </w:pPr>
      <w:r>
        <w:rPr>
          <w:color w:val="444B5E"/>
          <w:sz w:val="21"/>
          <w:szCs w:val="21"/>
        </w:rPr>
        <w:t xml:space="preserve">Há agrupamentos no espaço de características (raio × período × temperatura) que delimitem essa faixa, e quais candidatos são outliers relevantes — possivelmente detectados por técnicas alternativas?</w:t>
      </w:r>
    </w:p>
    <w:p>
      <w:pPr>
        <w:pStyle w:val="Heading1"/>
      </w:pPr>
      <w:r>
        <w:t xml:space="preserve">Ferramentas</w:t>
      </w:r>
    </w:p>
    <w:p>
      <w:pPr>
        <w:spacing w:after="30"/>
      </w:pPr>
      <w:r>
        <w:rPr>
          <w:b/>
          <w:bCs/>
          <w:color w:val="16224A"/>
          <w:sz w:val="21"/>
          <w:szCs w:val="21"/>
        </w:rPr>
        <w:t xml:space="preserve">Ambiente: </w:t>
      </w:r>
      <w:r>
        <w:rPr>
          <w:color w:val="444B5E"/>
          <w:sz w:val="21"/>
          <w:szCs w:val="21"/>
        </w:rPr>
        <w:t xml:space="preserve">Jupyter Notebook / Google Colab. Pilha de análise em Python: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6224A"/>
          <w:sz w:val="21"/>
          <w:szCs w:val="21"/>
        </w:rPr>
        <w:t xml:space="preserve">pandas + numpy: </w:t>
      </w:r>
      <w:r>
        <w:rPr>
          <w:color w:val="444B5E"/>
          <w:sz w:val="21"/>
          <w:szCs w:val="21"/>
        </w:rPr>
        <w:t xml:space="preserve">carregamento, limpeza e unificação dos subconjuntos; transformações numéricas (ex.: escala logarítmica).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6224A"/>
          <w:sz w:val="21"/>
          <w:szCs w:val="21"/>
        </w:rPr>
        <w:t xml:space="preserve">matplotlib + seaborn: </w:t>
      </w:r>
      <w:r>
        <w:rPr>
          <w:color w:val="444B5E"/>
          <w:sz w:val="21"/>
          <w:szCs w:val="21"/>
        </w:rPr>
        <w:t xml:space="preserve">histogramas, boxplots, gráficos de dispersão, heatmaps de correlação e pairplots.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6224A"/>
          <w:sz w:val="21"/>
          <w:szCs w:val="21"/>
        </w:rPr>
        <w:t xml:space="preserve">scipy.stats: </w:t>
      </w:r>
      <w:r>
        <w:rPr>
          <w:color w:val="444B5E"/>
          <w:sz w:val="21"/>
          <w:szCs w:val="21"/>
        </w:rPr>
        <w:t xml:space="preserve">assimetria e curtose, testes de correlação (Pearson/Spearman) e comparação Kepler vs. demais (Mann–Whitney).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color w:val="16224A"/>
          <w:sz w:val="21"/>
          <w:szCs w:val="21"/>
        </w:rPr>
        <w:t xml:space="preserve">scikit-learn: </w:t>
      </w:r>
      <w:r>
        <w:rPr>
          <w:color w:val="444B5E"/>
          <w:sz w:val="21"/>
          <w:szCs w:val="21"/>
        </w:rPr>
        <w:t xml:space="preserve">padronização, agrupamento (K-Means / DBSCAN) e redução de dimensionalidade (PCA) para visualização.</w:t>
      </w:r>
    </w:p>
    <w:p>
      <w:pPr>
        <w:pStyle w:val="Heading1"/>
      </w:pPr>
      <w:r>
        <w:t xml:space="preserve">Cronograma</w:t>
      </w:r>
    </w:p>
    <w:p>
      <w:pPr>
        <w:spacing w:after="80"/>
      </w:pPr>
      <w:r>
        <w:rPr>
          <w:color w:val="444B5E"/>
          <w:sz w:val="21"/>
          <w:szCs w:val="21"/>
        </w:rPr>
        <w:t xml:space="preserve">Planejamento semanal com entrega final em </w:t>
      </w:r>
      <w:r>
        <w:rPr>
          <w:b/>
          <w:bCs/>
          <w:color w:val="16224A"/>
          <w:sz w:val="21"/>
          <w:szCs w:val="21"/>
        </w:rPr>
        <w:t xml:space="preserve">25/06</w:t>
      </w:r>
      <w:r>
        <w:rPr>
          <w:color w:val="444B5E"/>
          <w:sz w:val="21"/>
          <w:szCs w:val="21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622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622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16224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Atividades / entrega</w:t>
            </w:r>
          </w:p>
        </w:tc>
      </w:tr>
      <w:t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6224A"/>
                <w:sz w:val="19"/>
                <w:szCs w:val="19"/>
              </w:rPr>
              <w:t xml:space="preserve">28/05 – 03/06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0E7C8B"/>
                <w:sz w:val="19"/>
                <w:szCs w:val="19"/>
              </w:rPr>
              <w:t xml:space="preserve">Coleta e limpeza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444B5E"/>
                <w:sz w:val="19"/>
                <w:szCs w:val="19"/>
              </w:rPr>
              <w:t xml:space="preserve">Reunir os subconjuntos Kepler e planetary systems do TEA, tratar valores ausentes e definir as variáveis de análise.</w:t>
            </w:r>
          </w:p>
        </w:tc>
      </w:tr>
      <w:t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6224A"/>
                <w:sz w:val="19"/>
                <w:szCs w:val="19"/>
              </w:rPr>
              <w:t xml:space="preserve">04/06 – 10/06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0E7C8B"/>
                <w:sz w:val="19"/>
                <w:szCs w:val="19"/>
              </w:rPr>
              <w:t xml:space="preserve">Análise univariada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444B5E"/>
                <w:sz w:val="19"/>
                <w:szCs w:val="19"/>
              </w:rPr>
              <w:t xml:space="preserve">Estatísticas descritivas, distribuições, assimetria e curtose (Pergunta 1).</w:t>
            </w:r>
          </w:p>
        </w:tc>
      </w:tr>
      <w:t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6224A"/>
                <w:sz w:val="19"/>
                <w:szCs w:val="19"/>
              </w:rPr>
              <w:t xml:space="preserve">11/06 – 17/06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0E7C8B"/>
                <w:sz w:val="19"/>
                <w:szCs w:val="19"/>
              </w:rPr>
              <w:t xml:space="preserve">Análise comparativa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444B5E"/>
                <w:sz w:val="19"/>
                <w:szCs w:val="19"/>
              </w:rPr>
              <w:t xml:space="preserve">Correlações e comparação Kepler vs. demais telescópios (Pergunta 2).</w:t>
            </w:r>
          </w:p>
        </w:tc>
      </w:tr>
      <w:t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6224A"/>
                <w:sz w:val="19"/>
                <w:szCs w:val="19"/>
              </w:rPr>
              <w:t xml:space="preserve">18/06 – 23/06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0E7C8B"/>
                <w:sz w:val="19"/>
                <w:szCs w:val="19"/>
              </w:rPr>
              <w:t xml:space="preserve">Clusters e outliers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5F8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444B5E"/>
                <w:sz w:val="19"/>
                <w:szCs w:val="19"/>
              </w:rPr>
              <w:t xml:space="preserve">Agrupamentos no espaço de características e síntese dos achados (Pergunta 3).</w:t>
            </w:r>
          </w:p>
        </w:tc>
      </w:tr>
      <w:tr>
        <w:tc>
          <w:tcPr>
            <w:tcW w:type="dxa" w:w="19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16224A"/>
                <w:sz w:val="19"/>
                <w:szCs w:val="19"/>
              </w:rPr>
              <w:t xml:space="preserve">24 – 25/06</w:t>
            </w:r>
          </w:p>
        </w:tc>
        <w:tc>
          <w:tcPr>
            <w:tcW w:type="dxa" w:w="2700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b/>
                <w:bCs/>
                <w:color w:val="0E7C8B"/>
                <w:sz w:val="19"/>
                <w:szCs w:val="19"/>
              </w:rPr>
              <w:t xml:space="preserve">Prévia e apresentação</w:t>
            </w:r>
          </w:p>
        </w:tc>
        <w:tc>
          <w:tcPr>
            <w:tcW w:type="dxa" w:w="4426"/>
            <w:tcBorders>
              <w:top w:val="single" w:color="D5DEEA" w:sz="1"/>
              <w:left w:val="single" w:color="D5DEEA" w:sz="1"/>
              <w:bottom w:val="single" w:color="D5DEEA" w:sz="1"/>
              <w:right w:val="single" w:color="D5DEEA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color w:val="444B5E"/>
                <w:sz w:val="19"/>
                <w:szCs w:val="19"/>
              </w:rPr>
              <w:t xml:space="preserve">Seleção das plotagens, montagem da narrativa, revisão e apresentação final.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C8B" w:sz="6" w:space="4"/>
      </w:pBdr>
      <w:spacing w:after="120" w:before="300"/>
      <w:outlineLvl w:val="0"/>
    </w:pPr>
    <w:rPr>
      <w:rFonts w:ascii="Arial" w:cs="Arial" w:eastAsia="Arial" w:hAnsi="Arial"/>
      <w:b/>
      <w:bCs/>
      <w:color w:val="1622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orrwvcjetfm-75ln5ucc" Type="http://schemas.openxmlformats.org/officeDocument/2006/relationships/hyperlink" Target="https://theexomoonarchive.netlify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2026-05-28T22:36:04.988Z</dcterms:created>
  <dcterms:modified xsi:type="dcterms:W3CDTF">2026-05-28T22:36:04.989Z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