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 xml:space="preserve">Then, I need to make sure the player “repossesses” their standard body when they deactivate the ability. I’m worried that if the first part gets fixed, the player will just get </w:t>
      </w:r>
      <w:proofErr w:type="spellStart"/>
      <w:r>
        <w:t>softlocked</w:t>
      </w:r>
      <w:proofErr w:type="spellEnd"/>
      <w:r>
        <w:t>.</w:t>
      </w:r>
    </w:p>
    <w:p w14:paraId="1E63F614" w14:textId="28878A20" w:rsidR="002E56E6" w:rsidRDefault="002E56E6" w:rsidP="00E82A85">
      <w:pPr>
        <w:ind w:firstLine="0"/>
      </w:pPr>
      <w:r>
        <w:tab/>
        <w:t>This doesn’t actually apply to the Possessable tag, either. I want it to do that.</w:t>
      </w:r>
    </w:p>
    <w:sectPr w:rsidR="002E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9C4CB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6</cp:revision>
  <dcterms:created xsi:type="dcterms:W3CDTF">2024-02-12T22:59:00Z</dcterms:created>
  <dcterms:modified xsi:type="dcterms:W3CDTF">2024-02-14T23:12:00Z</dcterms:modified>
</cp:coreProperties>
</file>