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SSL CERTIFICATE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the following three options for HomeView’s SSL Certificate: </w:t>
      </w:r>
    </w:p>
    <w:p w:rsidR="00000000" w:rsidDel="00000000" w:rsidP="00000000" w:rsidRDefault="00000000" w:rsidRPr="00000000" w14:paraId="00000027">
      <w:pPr>
        <w:widowControl w:val="0"/>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Encrypt</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CloudFlare</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Wildcard</w:t>
        <w:br w:type="textWrapping"/>
      </w: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80"/>
        <w:gridCol w:w="3090"/>
        <w:gridCol w:w="2745"/>
        <w:tblGridChange w:id="0">
          <w:tblGrid>
            <w:gridCol w:w="1530"/>
            <w:gridCol w:w="3480"/>
            <w:gridCol w:w="3090"/>
            <w:gridCol w:w="2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Let’s Encrypt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CloudFare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Wildcard</w:t>
            </w:r>
          </w:p>
        </w:tc>
      </w:tr>
      <w:tr>
        <w:trPr>
          <w:cantSplit w:val="0"/>
          <w:trHeight w:val="859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39">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installation process</w:t>
            </w:r>
          </w:p>
          <w:p w:rsidR="00000000" w:rsidDel="00000000" w:rsidP="00000000" w:rsidRDefault="00000000" w:rsidRPr="00000000" w14:paraId="0000003A">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 encryption accessible to any website owner</w:t>
            </w:r>
          </w:p>
          <w:p w:rsidR="00000000" w:rsidDel="00000000" w:rsidP="00000000" w:rsidRDefault="00000000" w:rsidRPr="00000000" w14:paraId="0000003B">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Immediately starts serving over HTTPS</w:t>
            </w:r>
          </w:p>
          <w:p w:rsidR="00000000" w:rsidDel="00000000" w:rsidP="00000000" w:rsidRDefault="00000000" w:rsidRPr="00000000" w14:paraId="0000003C">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to enable automatic HTTP to HTTPS redirects on Apache</w:t>
            </w:r>
          </w:p>
          <w:p w:rsidR="00000000" w:rsidDel="00000000" w:rsidP="00000000" w:rsidRDefault="00000000" w:rsidRPr="00000000" w14:paraId="0000003D">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secure connection between site visitor and site server</w:t>
            </w:r>
          </w:p>
          <w:p w:rsidR="00000000" w:rsidDel="00000000" w:rsidP="00000000" w:rsidRDefault="00000000" w:rsidRPr="00000000" w14:paraId="0000003E">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 are “platinum sponsors”, small chance Google Chrome will distrust </w:t>
            </w:r>
          </w:p>
          <w:p w:rsidR="00000000" w:rsidDel="00000000" w:rsidP="00000000" w:rsidRDefault="00000000" w:rsidRPr="00000000" w14:paraId="0000003F">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certificate can protect multiple domain names</w:t>
            </w:r>
          </w:p>
          <w:p w:rsidR="00000000" w:rsidDel="00000000" w:rsidP="00000000" w:rsidRDefault="00000000" w:rsidRPr="00000000" w14:paraId="00000040">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downtime when issuing certificate</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t xml:space="preserve">+0.90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Offers security features to protect website from threats</w:t>
            </w:r>
          </w:p>
          <w:p w:rsidR="00000000" w:rsidDel="00000000" w:rsidP="00000000" w:rsidRDefault="00000000" w:rsidRPr="00000000" w14:paraId="00000045">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Pre-cache most popular pages to make load times quicker</w:t>
            </w:r>
          </w:p>
          <w:p w:rsidR="00000000" w:rsidDel="00000000" w:rsidP="00000000" w:rsidRDefault="00000000" w:rsidRPr="00000000" w14:paraId="00000046">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Caches JavaScript, CSS, and images</w:t>
            </w:r>
          </w:p>
          <w:p w:rsidR="00000000" w:rsidDel="00000000" w:rsidP="00000000" w:rsidRDefault="00000000" w:rsidRPr="00000000" w14:paraId="00000047">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Tracks site traffic</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sz w:val="24"/>
                <w:szCs w:val="24"/>
                <w:rtl w:val="0"/>
              </w:rPr>
              <w:t xml:space="preserve">Covers unlimited domains under one certificate</w:t>
            </w:r>
          </w:p>
          <w:p w:rsidR="00000000" w:rsidDel="00000000" w:rsidP="00000000" w:rsidRDefault="00000000" w:rsidRPr="00000000" w14:paraId="0000005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server flexibility </w:t>
            </w:r>
          </w:p>
          <w:p w:rsidR="00000000" w:rsidDel="00000000" w:rsidP="00000000" w:rsidRDefault="00000000" w:rsidRPr="00000000" w14:paraId="0000005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certificate management</w:t>
            </w:r>
          </w:p>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ffffff" w:val="clear"/>
              <w:spacing w:after="9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pBdr>
                <w:top w:color="auto" w:space="0" w:sz="0" w:val="none"/>
                <w:bottom w:color="auto" w:space="0" w:sz="0" w:val="none"/>
                <w:right w:color="auto" w:space="0" w:sz="0" w:val="none"/>
                <w:between w:color="auto" w:space="0" w:sz="0" w:val="none"/>
              </w:pBdr>
              <w:shd w:fill="ffffff" w:val="clear"/>
              <w:spacing w:after="9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pBdr>
                <w:top w:color="auto" w:space="0" w:sz="0" w:val="none"/>
                <w:bottom w:color="auto" w:space="0" w:sz="0" w:val="none"/>
                <w:right w:color="auto" w:space="0" w:sz="0" w:val="none"/>
                <w:between w:color="auto" w:space="0" w:sz="0" w:val="none"/>
              </w:pBdr>
              <w:shd w:fill="ffffff" w:val="clear"/>
              <w:spacing w:after="920"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br w:type="textWrapping"/>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+0.30</w:t>
            </w:r>
            <w:r w:rsidDel="00000000" w:rsidR="00000000" w:rsidRPr="00000000">
              <w:rPr>
                <w:rtl w:val="0"/>
              </w:rPr>
            </w:r>
          </w:p>
        </w:tc>
      </w:tr>
      <w:tr>
        <w:trPr>
          <w:cantSplit w:val="0"/>
          <w:trHeight w:val="5123.9453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of Validity is only 90 days compared to other SSL certificates</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offer Extended Domain Validation </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verification on owner of domain or website</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issues with some platforms</w:t>
              <w:br w:type="textWrapping"/>
            </w: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t xml:space="preserve">-0.40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sz w:val="24"/>
                <w:szCs w:val="24"/>
                <w:rtl w:val="0"/>
              </w:rPr>
              <w:t xml:space="preserve">Security features are only available for paid plans</w:t>
            </w:r>
          </w:p>
          <w:p w:rsidR="00000000" w:rsidDel="00000000" w:rsidP="00000000" w:rsidRDefault="00000000" w:rsidRPr="00000000" w14:paraId="00000081">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version takes 24 hours to propagate and update data</w:t>
            </w:r>
          </w:p>
          <w:p w:rsidR="00000000" w:rsidDel="00000000" w:rsidP="00000000" w:rsidRDefault="00000000" w:rsidRPr="00000000" w14:paraId="00000082">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Service goes down, your website will go down too</w:t>
            </w: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version only secures one primary domain’s subdomain</w:t>
            </w:r>
          </w:p>
          <w:p w:rsidR="00000000" w:rsidDel="00000000" w:rsidP="00000000" w:rsidRDefault="00000000" w:rsidRPr="00000000" w14:paraId="0000008C">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share and transfer a private key to each server if hosting subdomain on multiple servers</w:t>
            </w:r>
          </w:p>
          <w:p w:rsidR="00000000" w:rsidDel="00000000" w:rsidP="00000000" w:rsidRDefault="00000000" w:rsidRPr="00000000" w14:paraId="0000008D">
            <w:pPr>
              <w:widowControl w:val="0"/>
              <w:pBdr>
                <w:top w:color="auto" w:space="0" w:sz="0" w:val="none"/>
                <w:bottom w:color="auto" w:space="0" w:sz="0" w:val="none"/>
                <w:right w:color="auto" w:space="0" w:sz="0" w:val="none"/>
                <w:between w:color="auto" w:space="0" w:sz="0" w:val="none"/>
              </w:pBdr>
              <w:shd w:fill="ffffff" w:val="clear"/>
              <w:spacing w:after="9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t xml:space="preserve">-0.20</w:t>
            </w:r>
            <w:r w:rsidDel="00000000" w:rsidR="00000000" w:rsidRPr="00000000">
              <w:rPr>
                <w:rtl w:val="0"/>
              </w:rPr>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p w:rsidR="00000000" w:rsidDel="00000000" w:rsidP="00000000" w:rsidRDefault="00000000" w:rsidRPr="00000000" w14:paraId="0000009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w:t>
            </w:r>
          </w:p>
          <w:p w:rsidR="00000000" w:rsidDel="00000000" w:rsidP="00000000" w:rsidRDefault="00000000" w:rsidRPr="00000000" w14:paraId="0000009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limited features</w:t>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only on primary domain’s subdomain</w:t>
            </w:r>
          </w:p>
          <w:p w:rsidR="00000000" w:rsidDel="00000000" w:rsidP="00000000" w:rsidRDefault="00000000" w:rsidRPr="00000000" w14:paraId="000000A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Domain</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w:t>
            </w:r>
          </w:p>
          <w:p w:rsidR="00000000" w:rsidDel="00000000" w:rsidP="00000000" w:rsidRDefault="00000000" w:rsidRPr="00000000" w14:paraId="000000A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w:t>
            </w:r>
          </w:p>
          <w:p w:rsidR="00000000" w:rsidDel="00000000" w:rsidP="00000000" w:rsidRDefault="00000000" w:rsidRPr="00000000" w14:paraId="000000A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w:t>
            </w:r>
          </w:p>
          <w:p w:rsidR="00000000" w:rsidDel="00000000" w:rsidP="00000000" w:rsidRDefault="00000000" w:rsidRPr="00000000" w14:paraId="000000B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t>
            </w:r>
          </w:p>
          <w:p w:rsidR="00000000" w:rsidDel="00000000" w:rsidP="00000000" w:rsidRDefault="00000000" w:rsidRPr="00000000" w14:paraId="000000B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security features</w:t>
            </w:r>
          </w:p>
          <w:p w:rsidR="00000000" w:rsidDel="00000000" w:rsidP="00000000" w:rsidRDefault="00000000" w:rsidRPr="00000000" w14:paraId="000000B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key that must be shared and transferred</w:t>
            </w:r>
          </w:p>
          <w:p w:rsidR="00000000" w:rsidDel="00000000" w:rsidP="00000000" w:rsidRDefault="00000000" w:rsidRPr="00000000" w14:paraId="000000C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bl>
    <w:p w:rsidR="00000000" w:rsidDel="00000000" w:rsidP="00000000" w:rsidRDefault="00000000" w:rsidRPr="00000000" w14:paraId="000000C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metrics and research, Let’s Encrypt had scored the most points during the review. As compared to the other SSL certificates, Let’s Encrypt covers multiple domain names, security, and is free to use. In addition, Let’s Encrypt immediately starts serving over HTTPS and has no downtime when issuing the certificate.</w:t>
      </w:r>
      <w:r w:rsidDel="00000000" w:rsidR="00000000" w:rsidRPr="00000000">
        <w:rPr>
          <w:rtl w:val="0"/>
        </w:rPr>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SSL certificate’s pros and cons. The highest possible number of points to gain from the pros would be +0.90, whereas the highest possible deduction of points from the cons would be -0.40. To calculate each option’s subtotal from the recorded pros and cons, the number of cons would be subtracted from the option’s total number of pros. In our case, Let’s Encrypt scored the highest (by having +0.90 pros and -0.40 cons, resulting in a subtotal score of +0.50). Following the same procedure, CloudFare tied for second with Wildcard with a subtotal of +0.10,</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the number of Domain names the SSL certificate supports, Let’s Encrypt scored +0.20 for being available to use multiple whereas CloudFare and Watchmode scored +0.10 for only one domain. For the pricing options, Let’s Encrypt is completely free giving it the highest score of +0.20. Secondly, CloudFare scores +0.15 for having a free tier that came with some security features. Lastly, Wildcard scored +0.10 for having a free tier that only secures one primary domain’s subdomain.</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metric of security the certificate provides, Let’s Encrypt scored a total of +0.20 for their HTTPS encryption. CloudFare scored +0.15 for their limited security features and Wildcard scored +0.10 with a single private key that must shared and transferred if a subdomain is on multiple servers.</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certificate, the highest possible scoring was a 1.10. Let’s Encrypt scored the highest, with a score of 1.10, whereas CloudFare scored 0.50 and Wildcard scored 0.40. As a conclusion, based on its metrics and pros and cons, our team conclusively and unanimously decided to utilize Let’s Encrypt to obtain our SSL certificate.</w:t>
      </w:r>
    </w:p>
    <w:p w:rsidR="00000000" w:rsidDel="00000000" w:rsidP="00000000" w:rsidRDefault="00000000" w:rsidRPr="00000000" w14:paraId="000000D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https://www.silkstream.net/blog/2017/11/pros-cons-lets-encrypt-free-ssl-certificate.html</w:t>
        </w:r>
      </w:hyperlink>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https://www.trustradius.com/products/cloudflare/reviews?qs=pros-and-cons</w:t>
        </w:r>
      </w:hyperlink>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https://wpblogx.com/what-is-cloudflare/</w:t>
        </w:r>
      </w:hyperlink>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https://comodosslstore.com/resources/pros-and-cons-of-wildcard-ssl-certificates/</w:t>
        </w:r>
      </w:hyperlink>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https://sectigostore.com/page/advantages-and-disadvantages-of-wildcard/</w:t>
        </w:r>
      </w:hyperlink>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ctigostore.com/page/advantages-and-disadvantages-of-wildcard/" TargetMode="External"/><Relationship Id="rId9" Type="http://schemas.openxmlformats.org/officeDocument/2006/relationships/hyperlink" Target="https://comodosslstore.com/resources/pros-and-cons-of-wildcard-ssl-certificates/" TargetMode="External"/><Relationship Id="rId5" Type="http://schemas.openxmlformats.org/officeDocument/2006/relationships/styles" Target="styles.xml"/><Relationship Id="rId6" Type="http://schemas.openxmlformats.org/officeDocument/2006/relationships/hyperlink" Target="https://www.silkstream.net/blog/2017/11/pros-cons-lets-encrypt-free-ssl-certificate.html" TargetMode="External"/><Relationship Id="rId7" Type="http://schemas.openxmlformats.org/officeDocument/2006/relationships/hyperlink" Target="https://www.trustradius.com/products/cloudflare/reviews?qs=pros-and-cons" TargetMode="External"/><Relationship Id="rId8" Type="http://schemas.openxmlformats.org/officeDocument/2006/relationships/hyperlink" Target="https://wpblogx.com/what-is-cloudfl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