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0F172A"/>
          <w:sz w:val="36"/>
        </w:rPr>
        <w:t>REPORT ON STUDENT INDUSTRIAL WORK EXPERIENCE SCHEME (SIWES)</w:t>
      </w:r>
    </w:p>
    <w:p>
      <w:pPr>
        <w:spacing w:before="240" w:after="80"/>
      </w:pPr>
      <w:r>
        <w:rPr>
          <w:rFonts w:ascii="Calibri" w:hAnsi="Calibri"/>
          <w:b/>
          <w:color w:val="1F4E79"/>
          <w:sz w:val="30"/>
        </w:rPr>
        <w:t>EXPERIENCES AND TECHNICAL PROJECT UNDERTAKEN AT</w:t>
      </w:r>
    </w:p>
    <w:p>
      <w:pPr>
        <w:spacing w:before="280" w:after="120"/>
      </w:pPr>
      <w:r>
        <w:rPr>
          <w:rFonts w:ascii="Calibri" w:hAnsi="Calibri"/>
          <w:b/>
          <w:color w:val="0F172A"/>
          <w:sz w:val="36"/>
        </w:rPr>
        <w:t>AKWA IBOM STATE INTERNAL REVENUE SERVICE (AKIRS)</w:t>
      </w:r>
    </w:p>
    <w:p>
      <w:pPr>
        <w:spacing w:before="200" w:after="60"/>
      </w:pPr>
      <w:r>
        <w:rPr>
          <w:rFonts w:ascii="Calibri" w:hAnsi="Calibri"/>
          <w:b/>
          <w:color w:val="2D3748"/>
          <w:sz w:val="25"/>
        </w:rPr>
        <w:t>(JOINT REVENUE BOARD DIGITAL INFRASTRUCTURE PROGRAMME)</w:t>
      </w:r>
    </w:p>
    <w:p>
      <w:pPr>
        <w:spacing w:before="200" w:after="60"/>
      </w:pPr>
      <w:r>
        <w:rPr>
          <w:rFonts w:ascii="Calibri" w:hAnsi="Calibri"/>
          <w:b/>
          <w:color w:val="2D3748"/>
          <w:sz w:val="25"/>
        </w:rPr>
        <w:t>REVENUE HOUSE, UYO, AKWA IBOM STATE</w:t>
      </w:r>
    </w:p>
    <w:p>
      <w:pPr>
        <w:spacing w:before="200" w:after="60"/>
      </w:pPr>
      <w:r>
        <w:rPr>
          <w:rFonts w:ascii="Calibri" w:hAnsi="Calibri"/>
          <w:b/>
          <w:color w:val="2D3748"/>
          <w:sz w:val="25"/>
        </w:rPr>
        <w:t>ON</w:t>
      </w:r>
    </w:p>
    <w:p>
      <w:pPr>
        <w:spacing w:before="280" w:after="120"/>
      </w:pPr>
      <w:r>
        <w:rPr>
          <w:rFonts w:ascii="Calibri" w:hAnsi="Calibri"/>
          <w:b/>
          <w:color w:val="0F172A"/>
          <w:sz w:val="36"/>
        </w:rPr>
        <w:t>BRIDGE: A HIGH-PERFORMANCE FAULT-TOLERANT DISTRIBUTED INGRESS ROUTING MESH AND MULTI-VM GOSSIP NETWORK</w:t>
      </w:r>
    </w:p>
    <w:p>
      <w:pPr>
        <w:spacing w:before="200" w:after="60"/>
      </w:pPr>
      <w:r>
        <w:rPr>
          <w:rFonts w:ascii="Calibri" w:hAnsi="Calibri"/>
          <w:b/>
          <w:color w:val="2D3748"/>
          <w:sz w:val="25"/>
        </w:rPr>
        <w:t>BY</w:t>
      </w:r>
    </w:p>
    <w:p>
      <w:pPr>
        <w:spacing w:before="40" w:after="100" w:line="283" w:lineRule="auto"/>
      </w:pPr>
      <w:r>
        <w:rPr>
          <w:rFonts w:ascii="Calibri" w:hAnsi="Calibri"/>
          <w:color w:val="282828"/>
          <w:sz w:val="22"/>
        </w:rPr>
      </w:r>
      <w:r>
        <w:rPr>
          <w:rFonts w:ascii="Calibri" w:hAnsi="Calibri"/>
          <w:b/>
          <w:color w:val="282828"/>
          <w:sz w:val="22"/>
        </w:rPr>
        <w:t>BEN, PENIEL</w:t>
      </w:r>
      <w:r>
        <w:rPr>
          <w:rFonts w:ascii="Calibri" w:hAnsi="Calibri"/>
          <w:color w:val="282828"/>
          <w:sz w:val="22"/>
        </w:rPr>
        <w:t xml:space="preserve">  </w:t>
      </w:r>
    </w:p>
    <w:p>
      <w:pPr>
        <w:spacing w:before="40" w:after="100" w:line="283" w:lineRule="auto"/>
      </w:pPr>
      <w:r>
        <w:rPr>
          <w:rFonts w:ascii="Calibri" w:hAnsi="Calibri"/>
          <w:color w:val="282828"/>
          <w:sz w:val="22"/>
        </w:rPr>
      </w:r>
      <w:r>
        <w:rPr>
          <w:rFonts w:ascii="Calibri" w:hAnsi="Calibri"/>
          <w:b/>
          <w:color w:val="282828"/>
          <w:sz w:val="22"/>
        </w:rPr>
        <w:t>REG NO:</w:t>
      </w:r>
      <w:r>
        <w:rPr>
          <w:rFonts w:ascii="Calibri" w:hAnsi="Calibri"/>
          <w:color w:val="282828"/>
          <w:sz w:val="22"/>
        </w:rPr>
        <w:t xml:space="preserve"> [MATRICULATION NUMBER: 21/SC/CO/XXXX]  </w:t>
      </w:r>
    </w:p>
    <w:p>
      <w:pPr>
        <w:spacing w:before="40" w:after="100" w:line="283" w:lineRule="auto"/>
      </w:pPr>
      <w:r>
        <w:rPr>
          <w:rFonts w:ascii="Calibri" w:hAnsi="Calibri"/>
          <w:color w:val="282828"/>
          <w:sz w:val="22"/>
        </w:rPr>
      </w:r>
      <w:r>
        <w:rPr>
          <w:rFonts w:ascii="Calibri" w:hAnsi="Calibri"/>
          <w:b/>
          <w:color w:val="282828"/>
          <w:sz w:val="22"/>
        </w:rPr>
        <w:t>DEPARTMENT OF COMPUTER SCIENCE</w:t>
      </w:r>
      <w:r>
        <w:rPr>
          <w:rFonts w:ascii="Calibri" w:hAnsi="Calibri"/>
          <w:color w:val="282828"/>
          <w:sz w:val="22"/>
        </w:rPr>
        <w:t xml:space="preserve">  </w:t>
      </w:r>
    </w:p>
    <w:p>
      <w:pPr>
        <w:spacing w:before="40" w:after="100" w:line="283" w:lineRule="auto"/>
      </w:pPr>
      <w:r>
        <w:rPr>
          <w:rFonts w:ascii="Calibri" w:hAnsi="Calibri"/>
          <w:color w:val="282828"/>
          <w:sz w:val="22"/>
        </w:rPr>
      </w:r>
      <w:r>
        <w:rPr>
          <w:rFonts w:ascii="Calibri" w:hAnsi="Calibri"/>
          <w:b/>
          <w:color w:val="282828"/>
          <w:sz w:val="22"/>
        </w:rPr>
        <w:t>FACULTY OF COMPUTING</w:t>
      </w:r>
      <w:r>
        <w:rPr>
          <w:rFonts w:ascii="Calibri" w:hAnsi="Calibri"/>
          <w:color w:val="282828"/>
          <w:sz w:val="22"/>
        </w:rPr>
        <w:t xml:space="preserve">  </w:t>
      </w:r>
    </w:p>
    <w:p>
      <w:pPr>
        <w:spacing w:before="40" w:after="100" w:line="283" w:lineRule="auto"/>
      </w:pPr>
      <w:r>
        <w:rPr>
          <w:rFonts w:ascii="Calibri" w:hAnsi="Calibri"/>
          <w:color w:val="282828"/>
          <w:sz w:val="22"/>
        </w:rPr>
      </w:r>
      <w:r>
        <w:rPr>
          <w:rFonts w:ascii="Calibri" w:hAnsi="Calibri"/>
          <w:b/>
          <w:color w:val="282828"/>
          <w:sz w:val="22"/>
        </w:rPr>
        <w:t>UNIVERSITY OF UYO, UYO, AKWA IBOM STATE</w:t>
      </w:r>
      <w:r>
        <w:rPr>
          <w:rFonts w:ascii="Calibri" w:hAnsi="Calibri"/>
          <w:color w:val="282828"/>
          <w:sz w:val="22"/>
        </w:rPr>
        <w:t xml:space="preserve">  </w:t>
      </w:r>
    </w:p>
    <w:p>
      <w:pPr>
        <w:spacing w:before="40" w:after="100" w:line="283" w:lineRule="auto"/>
      </w:pPr>
      <w:r>
        <w:rPr>
          <w:rFonts w:ascii="Calibri" w:hAnsi="Calibri"/>
          <w:color w:val="282828"/>
          <w:sz w:val="22"/>
        </w:rPr>
      </w:r>
      <w:r>
        <w:rPr>
          <w:rFonts w:ascii="Calibri" w:hAnsi="Calibri"/>
          <w:b/>
          <w:color w:val="282828"/>
          <w:sz w:val="22"/>
        </w:rPr>
        <w:t>COURSE CODE: CSC 329 (SIWES)</w:t>
      </w:r>
      <w:r>
        <w:rPr>
          <w:rFonts w:ascii="Calibri" w:hAnsi="Calibri"/>
          <w:color w:val="282828"/>
          <w:sz w:val="22"/>
        </w:rPr>
      </w:r>
    </w:p>
    <w:p>
      <w:pPr>
        <w:spacing w:before="200" w:after="60"/>
      </w:pPr>
      <w:r>
        <w:rPr>
          <w:rFonts w:ascii="Calibri" w:hAnsi="Calibri"/>
          <w:b/>
          <w:color w:val="2D3748"/>
          <w:sz w:val="25"/>
        </w:rPr>
        <w:t>SUBMITTED TO:</w:t>
      </w:r>
    </w:p>
    <w:p>
      <w:pPr>
        <w:spacing w:before="40" w:after="100" w:line="283" w:lineRule="auto"/>
      </w:pPr>
      <w:r>
        <w:rPr>
          <w:rFonts w:ascii="Calibri" w:hAnsi="Calibri"/>
          <w:color w:val="282828"/>
          <w:sz w:val="22"/>
        </w:rPr>
      </w:r>
      <w:r>
        <w:rPr>
          <w:rFonts w:ascii="Calibri" w:hAnsi="Calibri"/>
          <w:b/>
          <w:color w:val="282828"/>
          <w:sz w:val="22"/>
        </w:rPr>
        <w:t>DEPARTMENT OF COMPUTER SCIENCE</w:t>
      </w:r>
      <w:r>
        <w:rPr>
          <w:rFonts w:ascii="Calibri" w:hAnsi="Calibri"/>
          <w:color w:val="282828"/>
          <w:sz w:val="22"/>
        </w:rPr>
        <w:t xml:space="preserve">  </w:t>
      </w:r>
    </w:p>
    <w:p>
      <w:pPr>
        <w:spacing w:before="40" w:after="100" w:line="283" w:lineRule="auto"/>
      </w:pPr>
      <w:r>
        <w:rPr>
          <w:rFonts w:ascii="Calibri" w:hAnsi="Calibri"/>
          <w:color w:val="282828"/>
          <w:sz w:val="22"/>
        </w:rPr>
      </w:r>
      <w:r>
        <w:rPr>
          <w:rFonts w:ascii="Calibri" w:hAnsi="Calibri"/>
          <w:b/>
          <w:color w:val="282828"/>
          <w:sz w:val="22"/>
        </w:rPr>
        <w:t>FACULTY OF COMPUTING</w:t>
      </w:r>
      <w:r>
        <w:rPr>
          <w:rFonts w:ascii="Calibri" w:hAnsi="Calibri"/>
          <w:color w:val="282828"/>
          <w:sz w:val="22"/>
        </w:rPr>
        <w:t xml:space="preserve">  </w:t>
      </w:r>
    </w:p>
    <w:p>
      <w:pPr>
        <w:spacing w:before="40" w:after="100" w:line="283" w:lineRule="auto"/>
      </w:pPr>
      <w:r>
        <w:rPr>
          <w:rFonts w:ascii="Calibri" w:hAnsi="Calibri"/>
          <w:color w:val="282828"/>
          <w:sz w:val="22"/>
        </w:rPr>
      </w:r>
      <w:r>
        <w:rPr>
          <w:rFonts w:ascii="Calibri" w:hAnsi="Calibri"/>
          <w:b/>
          <w:color w:val="282828"/>
          <w:sz w:val="22"/>
        </w:rPr>
        <w:t>UNIVERSITY OF UYO, UYO, AKWA IBOM STATE</w:t>
      </w:r>
      <w:r>
        <w:rPr>
          <w:rFonts w:ascii="Calibri" w:hAnsi="Calibri"/>
          <w:color w:val="282828"/>
          <w:sz w:val="22"/>
        </w:rPr>
        <w:t xml:space="preserve">  </w:t>
      </w:r>
    </w:p>
    <w:p>
      <w:pPr>
        <w:spacing w:before="40" w:after="100" w:line="283" w:lineRule="auto"/>
      </w:pPr>
      <w:r>
        <w:rPr>
          <w:rFonts w:ascii="Calibri" w:hAnsi="Calibri"/>
          <w:color w:val="282828"/>
          <w:sz w:val="22"/>
        </w:rPr>
      </w:r>
      <w:r>
        <w:rPr>
          <w:rFonts w:ascii="Calibri" w:hAnsi="Calibri"/>
          <w:i/>
          <w:color w:val="282828"/>
          <w:sz w:val="22"/>
        </w:rPr>
        <w:t>IN PARTIAL FULFILLMENT OF THE REQUIREMENTS FOR THE AWARD OF THE DEGREE OF BACHELOR OF SCIENCE (B.SC.) IN COMPUTER SCIENCE</w:t>
      </w:r>
      <w:r>
        <w:rPr>
          <w:rFonts w:ascii="Calibri" w:hAnsi="Calibri"/>
          <w:color w:val="282828"/>
          <w:sz w:val="22"/>
        </w:rPr>
      </w:r>
    </w:p>
    <w:p>
      <w:pPr>
        <w:spacing w:before="40" w:after="100" w:line="283" w:lineRule="auto"/>
      </w:pPr>
      <w:r>
        <w:rPr>
          <w:rFonts w:ascii="Calibri" w:hAnsi="Calibri"/>
          <w:color w:val="282828"/>
          <w:sz w:val="22"/>
        </w:rPr>
      </w:r>
      <w:r>
        <w:rPr>
          <w:rFonts w:ascii="Calibri" w:hAnsi="Calibri"/>
          <w:b/>
          <w:color w:val="282828"/>
          <w:sz w:val="22"/>
        </w:rPr>
        <w:t>OCTOBER, 2026</w:t>
      </w:r>
      <w:r>
        <w:rPr>
          <w:rFonts w:ascii="Calibri" w:hAnsi="Calibri"/>
          <w:color w:val="282828"/>
          <w:sz w:val="22"/>
        </w:rPr>
      </w:r>
    </w:p>
    <w:p>
      <w:r>
        <w:br w:type="page"/>
      </w:r>
    </w:p>
    <w:p>
      <w:pPr>
        <w:spacing w:before="280" w:after="120"/>
      </w:pPr>
      <w:r>
        <w:rPr>
          <w:rFonts w:ascii="Calibri" w:hAnsi="Calibri"/>
          <w:b/>
          <w:color w:val="0F172A"/>
          <w:sz w:val="36"/>
        </w:rPr>
        <w:t>TABLE OF CONTENTS</w:t>
      </w:r>
    </w:p>
    <w:p>
      <w:pPr>
        <w:pStyle w:val="ListBullet"/>
        <w:spacing w:before="20" w:after="40" w:line="276" w:lineRule="auto"/>
      </w:pPr>
      <w:r>
        <w:rPr>
          <w:rFonts w:ascii="Calibri" w:hAnsi="Calibri"/>
          <w:color w:val="333333"/>
          <w:sz w:val="22"/>
        </w:rPr>
      </w:r>
      <w:r>
        <w:rPr>
          <w:rFonts w:ascii="Calibri" w:hAnsi="Calibri"/>
          <w:b/>
          <w:color w:val="333333"/>
          <w:sz w:val="22"/>
        </w:rPr>
        <w:t>Title Page</w:t>
      </w:r>
      <w:r>
        <w:rPr>
          <w:rFonts w:ascii="Calibri" w:hAnsi="Calibri"/>
          <w:color w:val="333333"/>
          <w:sz w:val="22"/>
        </w:rPr>
        <w:t xml:space="preserve"> .................................................................................................... i</w:t>
      </w:r>
    </w:p>
    <w:p>
      <w:pPr>
        <w:pStyle w:val="ListBullet"/>
        <w:spacing w:before="20" w:after="40" w:line="276" w:lineRule="auto"/>
      </w:pPr>
      <w:r>
        <w:rPr>
          <w:rFonts w:ascii="Calibri" w:hAnsi="Calibri"/>
          <w:color w:val="333333"/>
          <w:sz w:val="22"/>
        </w:rPr>
      </w:r>
      <w:r>
        <w:rPr>
          <w:rFonts w:ascii="Calibri" w:hAnsi="Calibri"/>
          <w:b/>
          <w:color w:val="333333"/>
          <w:sz w:val="22"/>
        </w:rPr>
        <w:t>Table of Contents</w:t>
      </w:r>
      <w:r>
        <w:rPr>
          <w:rFonts w:ascii="Calibri" w:hAnsi="Calibri"/>
          <w:color w:val="333333"/>
          <w:sz w:val="22"/>
        </w:rPr>
        <w:t xml:space="preserve"> ............................................................................................. ii</w:t>
      </w:r>
    </w:p>
    <w:p>
      <w:pPr>
        <w:spacing w:before="200" w:after="60"/>
      </w:pPr>
      <w:r>
        <w:rPr>
          <w:rFonts w:ascii="Calibri" w:hAnsi="Calibri"/>
          <w:b/>
          <w:color w:val="2D3748"/>
          <w:sz w:val="25"/>
        </w:rPr>
        <w:t>CHAPTER ONE (1): BRIEF HISTORY OF SIWES</w:t>
      </w:r>
    </w:p>
    <w:p>
      <w:pPr>
        <w:pStyle w:val="ListBullet"/>
        <w:spacing w:before="20" w:after="40" w:line="276" w:lineRule="auto"/>
      </w:pPr>
      <w:r>
        <w:rPr>
          <w:rFonts w:ascii="Calibri" w:hAnsi="Calibri"/>
          <w:color w:val="333333"/>
          <w:sz w:val="22"/>
        </w:rPr>
      </w:r>
      <w:r>
        <w:rPr>
          <w:rFonts w:ascii="Calibri" w:hAnsi="Calibri"/>
          <w:b/>
          <w:color w:val="333333"/>
          <w:sz w:val="22"/>
        </w:rPr>
        <w:t>1.0 Introduction</w:t>
      </w:r>
      <w:r>
        <w:rPr>
          <w:rFonts w:ascii="Calibri" w:hAnsi="Calibri"/>
          <w:color w:val="333333"/>
          <w:sz w:val="22"/>
        </w:rPr>
        <w:t xml:space="preserve"> .............................................................................................. 1</w:t>
      </w:r>
    </w:p>
    <w:p>
      <w:pPr>
        <w:pStyle w:val="ListBullet"/>
        <w:spacing w:before="20" w:after="40" w:line="276" w:lineRule="auto"/>
      </w:pPr>
      <w:r>
        <w:rPr>
          <w:rFonts w:ascii="Calibri" w:hAnsi="Calibri"/>
          <w:color w:val="333333"/>
          <w:sz w:val="22"/>
        </w:rPr>
      </w:r>
      <w:r>
        <w:rPr>
          <w:rFonts w:ascii="Calibri" w:hAnsi="Calibri"/>
          <w:b/>
          <w:color w:val="333333"/>
          <w:sz w:val="22"/>
        </w:rPr>
        <w:t>1.2 Brief History of SIWES in Nigeria</w:t>
      </w:r>
      <w:r>
        <w:rPr>
          <w:rFonts w:ascii="Calibri" w:hAnsi="Calibri"/>
          <w:color w:val="333333"/>
          <w:sz w:val="22"/>
        </w:rPr>
        <w:t xml:space="preserve"> ................................................................ 1</w:t>
      </w:r>
    </w:p>
    <w:p>
      <w:pPr>
        <w:pStyle w:val="ListBullet"/>
        <w:spacing w:before="20" w:after="40" w:line="276" w:lineRule="auto"/>
      </w:pPr>
      <w:r>
        <w:rPr>
          <w:rFonts w:ascii="Calibri" w:hAnsi="Calibri"/>
          <w:color w:val="333333"/>
          <w:sz w:val="22"/>
        </w:rPr>
      </w:r>
      <w:r>
        <w:rPr>
          <w:rFonts w:ascii="Calibri" w:hAnsi="Calibri"/>
          <w:b/>
          <w:color w:val="333333"/>
          <w:sz w:val="22"/>
        </w:rPr>
        <w:t>1.3 Vision Statement of SIWES</w:t>
      </w:r>
      <w:r>
        <w:rPr>
          <w:rFonts w:ascii="Calibri" w:hAnsi="Calibri"/>
          <w:color w:val="333333"/>
          <w:sz w:val="22"/>
        </w:rPr>
        <w:t xml:space="preserve"> ............................................................................ 2</w:t>
      </w:r>
    </w:p>
    <w:p>
      <w:pPr>
        <w:pStyle w:val="ListBullet"/>
        <w:spacing w:before="20" w:after="40" w:line="276" w:lineRule="auto"/>
      </w:pPr>
      <w:r>
        <w:rPr>
          <w:rFonts w:ascii="Calibri" w:hAnsi="Calibri"/>
          <w:color w:val="333333"/>
          <w:sz w:val="22"/>
        </w:rPr>
      </w:r>
      <w:r>
        <w:rPr>
          <w:rFonts w:ascii="Calibri" w:hAnsi="Calibri"/>
          <w:b/>
          <w:color w:val="333333"/>
          <w:sz w:val="22"/>
        </w:rPr>
        <w:t>1.4 Mission Statement of SIWES</w:t>
      </w:r>
      <w:r>
        <w:rPr>
          <w:rFonts w:ascii="Calibri" w:hAnsi="Calibri"/>
          <w:color w:val="333333"/>
          <w:sz w:val="22"/>
        </w:rPr>
        <w:t xml:space="preserve"> ......................................................................... 2</w:t>
      </w:r>
    </w:p>
    <w:p>
      <w:pPr>
        <w:pStyle w:val="ListBullet"/>
        <w:spacing w:before="20" w:after="40" w:line="276" w:lineRule="auto"/>
      </w:pPr>
      <w:r>
        <w:rPr>
          <w:rFonts w:ascii="Calibri" w:hAnsi="Calibri"/>
          <w:color w:val="333333"/>
          <w:sz w:val="22"/>
        </w:rPr>
      </w:r>
      <w:r>
        <w:rPr>
          <w:rFonts w:ascii="Calibri" w:hAnsi="Calibri"/>
          <w:b/>
          <w:color w:val="333333"/>
          <w:sz w:val="22"/>
        </w:rPr>
        <w:t>1.5 Aims of SIWES</w:t>
      </w:r>
      <w:r>
        <w:rPr>
          <w:rFonts w:ascii="Calibri" w:hAnsi="Calibri"/>
          <w:color w:val="333333"/>
          <w:sz w:val="22"/>
        </w:rPr>
        <w:t xml:space="preserve"> ........................................................................................... 3</w:t>
      </w:r>
    </w:p>
    <w:p>
      <w:pPr>
        <w:pStyle w:val="ListBullet"/>
        <w:spacing w:before="20" w:after="40" w:line="276" w:lineRule="auto"/>
      </w:pPr>
      <w:r>
        <w:rPr>
          <w:rFonts w:ascii="Calibri" w:hAnsi="Calibri"/>
          <w:color w:val="333333"/>
          <w:sz w:val="22"/>
        </w:rPr>
      </w:r>
      <w:r>
        <w:rPr>
          <w:rFonts w:ascii="Calibri" w:hAnsi="Calibri"/>
          <w:b/>
          <w:color w:val="333333"/>
          <w:sz w:val="22"/>
        </w:rPr>
        <w:t>1.6 Objectives of SIWES</w:t>
      </w:r>
      <w:r>
        <w:rPr>
          <w:rFonts w:ascii="Calibri" w:hAnsi="Calibri"/>
          <w:color w:val="333333"/>
          <w:sz w:val="22"/>
        </w:rPr>
        <w:t xml:space="preserve"> .................................................................................... 3</w:t>
      </w:r>
    </w:p>
    <w:p>
      <w:pPr>
        <w:spacing w:before="200" w:after="60"/>
      </w:pPr>
      <w:r>
        <w:rPr>
          <w:rFonts w:ascii="Calibri" w:hAnsi="Calibri"/>
          <w:b/>
          <w:color w:val="2D3748"/>
          <w:sz w:val="25"/>
        </w:rPr>
        <w:t>CHAPTER TWO (2): BRIEF HISTORY OF THE SIWES ORGANIZATION (AKIRS)</w:t>
      </w:r>
    </w:p>
    <w:p>
      <w:pPr>
        <w:pStyle w:val="ListBullet"/>
        <w:spacing w:before="20" w:after="40" w:line="276" w:lineRule="auto"/>
      </w:pPr>
      <w:r>
        <w:rPr>
          <w:rFonts w:ascii="Calibri" w:hAnsi="Calibri"/>
          <w:color w:val="333333"/>
          <w:sz w:val="22"/>
        </w:rPr>
      </w:r>
      <w:r>
        <w:rPr>
          <w:rFonts w:ascii="Calibri" w:hAnsi="Calibri"/>
          <w:b/>
          <w:color w:val="333333"/>
          <w:sz w:val="22"/>
        </w:rPr>
        <w:t>2.0 Introduction</w:t>
      </w:r>
      <w:r>
        <w:rPr>
          <w:rFonts w:ascii="Calibri" w:hAnsi="Calibri"/>
          <w:color w:val="333333"/>
          <w:sz w:val="22"/>
        </w:rPr>
        <w:t xml:space="preserve"> .............................................................................................. 4</w:t>
      </w:r>
    </w:p>
    <w:p>
      <w:pPr>
        <w:pStyle w:val="ListBullet"/>
        <w:spacing w:before="20" w:after="40" w:line="276" w:lineRule="auto"/>
      </w:pPr>
      <w:r>
        <w:rPr>
          <w:rFonts w:ascii="Calibri" w:hAnsi="Calibri"/>
          <w:color w:val="333333"/>
          <w:sz w:val="22"/>
        </w:rPr>
      </w:r>
      <w:r>
        <w:rPr>
          <w:rFonts w:ascii="Calibri" w:hAnsi="Calibri"/>
          <w:b/>
          <w:color w:val="333333"/>
          <w:sz w:val="22"/>
        </w:rPr>
        <w:t>2.1 About AKIRS</w:t>
      </w:r>
      <w:r>
        <w:rPr>
          <w:rFonts w:ascii="Calibri" w:hAnsi="Calibri"/>
          <w:color w:val="333333"/>
          <w:sz w:val="22"/>
        </w:rPr>
        <w:t xml:space="preserve"> ............................................................................................. 4</w:t>
      </w:r>
    </w:p>
    <w:p>
      <w:pPr>
        <w:pStyle w:val="ListBullet"/>
        <w:spacing w:before="20" w:after="40" w:line="276" w:lineRule="auto"/>
      </w:pPr>
      <w:r>
        <w:rPr>
          <w:rFonts w:ascii="Calibri" w:hAnsi="Calibri"/>
          <w:color w:val="333333"/>
          <w:sz w:val="22"/>
        </w:rPr>
      </w:r>
      <w:r>
        <w:rPr>
          <w:rFonts w:ascii="Calibri" w:hAnsi="Calibri"/>
          <w:b/>
          <w:color w:val="333333"/>
          <w:sz w:val="22"/>
        </w:rPr>
        <w:t>2.2 Current Modernization and Technology Programmes</w:t>
      </w:r>
      <w:r>
        <w:rPr>
          <w:rFonts w:ascii="Calibri" w:hAnsi="Calibri"/>
          <w:color w:val="333333"/>
          <w:sz w:val="22"/>
        </w:rPr>
        <w:t xml:space="preserve"> ........................................... 5</w:t>
      </w:r>
    </w:p>
    <w:p>
      <w:pPr>
        <w:pStyle w:val="ListBullet"/>
        <w:spacing w:before="20" w:after="40" w:line="276" w:lineRule="auto"/>
      </w:pPr>
      <w:r>
        <w:rPr>
          <w:rFonts w:ascii="Calibri" w:hAnsi="Calibri"/>
          <w:color w:val="333333"/>
          <w:sz w:val="22"/>
        </w:rPr>
        <w:t>2.2.1 Joint Revenue Board (JRB) Digital Infrastructure Programme ............................... 5</w:t>
      </w:r>
    </w:p>
    <w:p>
      <w:pPr>
        <w:pStyle w:val="ListBullet"/>
        <w:spacing w:before="20" w:after="40" w:line="276" w:lineRule="auto"/>
      </w:pPr>
      <w:r>
        <w:rPr>
          <w:rFonts w:ascii="Calibri" w:hAnsi="Calibri"/>
          <w:color w:val="333333"/>
          <w:sz w:val="22"/>
        </w:rPr>
        <w:t>2.2.2 Datacenter Infrastructure Node and Subnational Tax Modernization ...................... 5</w:t>
      </w:r>
    </w:p>
    <w:p>
      <w:pPr>
        <w:pStyle w:val="ListBullet"/>
        <w:spacing w:before="20" w:after="40" w:line="276" w:lineRule="auto"/>
      </w:pPr>
      <w:r>
        <w:rPr>
          <w:rFonts w:ascii="Calibri" w:hAnsi="Calibri"/>
          <w:color w:val="333333"/>
          <w:sz w:val="22"/>
        </w:rPr>
        <w:t>2.2.3 Electronic Tax Intelligence Gathering and Automated Compliance Systems ............. 6</w:t>
      </w:r>
    </w:p>
    <w:p>
      <w:pPr>
        <w:pStyle w:val="ListBullet"/>
        <w:spacing w:before="20" w:after="40" w:line="276" w:lineRule="auto"/>
      </w:pPr>
      <w:r>
        <w:rPr>
          <w:rFonts w:ascii="Calibri" w:hAnsi="Calibri"/>
          <w:color w:val="333333"/>
          <w:sz w:val="22"/>
        </w:rPr>
      </w:r>
      <w:r>
        <w:rPr>
          <w:rFonts w:ascii="Calibri" w:hAnsi="Calibri"/>
          <w:b/>
          <w:color w:val="333333"/>
          <w:sz w:val="22"/>
        </w:rPr>
        <w:t>2.3 Mandate of AKIRS</w:t>
      </w:r>
      <w:r>
        <w:rPr>
          <w:rFonts w:ascii="Calibri" w:hAnsi="Calibri"/>
          <w:color w:val="333333"/>
          <w:sz w:val="22"/>
        </w:rPr>
        <w:t xml:space="preserve"> ...................................................................................... 6</w:t>
      </w:r>
    </w:p>
    <w:p>
      <w:pPr>
        <w:pStyle w:val="ListBullet"/>
        <w:spacing w:before="20" w:after="40" w:line="276" w:lineRule="auto"/>
      </w:pPr>
      <w:r>
        <w:rPr>
          <w:rFonts w:ascii="Calibri" w:hAnsi="Calibri"/>
          <w:color w:val="333333"/>
          <w:sz w:val="22"/>
        </w:rPr>
      </w:r>
      <w:r>
        <w:rPr>
          <w:rFonts w:ascii="Calibri" w:hAnsi="Calibri"/>
          <w:b/>
          <w:color w:val="333333"/>
          <w:sz w:val="22"/>
        </w:rPr>
        <w:t>2.4 Vision of AKIRS</w:t>
      </w:r>
      <w:r>
        <w:rPr>
          <w:rFonts w:ascii="Calibri" w:hAnsi="Calibri"/>
          <w:color w:val="333333"/>
          <w:sz w:val="22"/>
        </w:rPr>
        <w:t xml:space="preserve"> ......................................................................................... 7</w:t>
      </w:r>
    </w:p>
    <w:p>
      <w:pPr>
        <w:pStyle w:val="ListBullet"/>
        <w:spacing w:before="20" w:after="40" w:line="276" w:lineRule="auto"/>
      </w:pPr>
      <w:r>
        <w:rPr>
          <w:rFonts w:ascii="Calibri" w:hAnsi="Calibri"/>
          <w:color w:val="333333"/>
          <w:sz w:val="22"/>
        </w:rPr>
      </w:r>
      <w:r>
        <w:rPr>
          <w:rFonts w:ascii="Calibri" w:hAnsi="Calibri"/>
          <w:b/>
          <w:color w:val="333333"/>
          <w:sz w:val="22"/>
        </w:rPr>
        <w:t>2.5 Mission of AKIRS</w:t>
      </w:r>
      <w:r>
        <w:rPr>
          <w:rFonts w:ascii="Calibri" w:hAnsi="Calibri"/>
          <w:color w:val="333333"/>
          <w:sz w:val="22"/>
        </w:rPr>
        <w:t xml:space="preserve"> ........................................................................................ 7</w:t>
      </w:r>
    </w:p>
    <w:p>
      <w:pPr>
        <w:pStyle w:val="ListBullet"/>
        <w:spacing w:before="20" w:after="40" w:line="276" w:lineRule="auto"/>
      </w:pPr>
      <w:r>
        <w:rPr>
          <w:rFonts w:ascii="Calibri" w:hAnsi="Calibri"/>
          <w:color w:val="333333"/>
          <w:sz w:val="22"/>
        </w:rPr>
      </w:r>
      <w:r>
        <w:rPr>
          <w:rFonts w:ascii="Calibri" w:hAnsi="Calibri"/>
          <w:b/>
          <w:color w:val="333333"/>
          <w:sz w:val="22"/>
        </w:rPr>
        <w:t>2.6 Core Values of AKIRS</w:t>
      </w:r>
      <w:r>
        <w:rPr>
          <w:rFonts w:ascii="Calibri" w:hAnsi="Calibri"/>
          <w:color w:val="333333"/>
          <w:sz w:val="22"/>
        </w:rPr>
        <w:t xml:space="preserve"> ................................................................................. 7</w:t>
      </w:r>
    </w:p>
    <w:p>
      <w:pPr>
        <w:pStyle w:val="ListBullet"/>
        <w:spacing w:before="20" w:after="40" w:line="276" w:lineRule="auto"/>
      </w:pPr>
      <w:r>
        <w:rPr>
          <w:rFonts w:ascii="Calibri" w:hAnsi="Calibri"/>
          <w:color w:val="333333"/>
          <w:sz w:val="22"/>
        </w:rPr>
      </w:r>
      <w:r>
        <w:rPr>
          <w:rFonts w:ascii="Calibri" w:hAnsi="Calibri"/>
          <w:b/>
          <w:color w:val="333333"/>
          <w:sz w:val="22"/>
        </w:rPr>
        <w:t>2.7 Organizational Structure and Directorate of ICT &amp; Tax Intelligence</w:t>
      </w:r>
      <w:r>
        <w:rPr>
          <w:rFonts w:ascii="Calibri" w:hAnsi="Calibri"/>
          <w:color w:val="333333"/>
          <w:sz w:val="22"/>
        </w:rPr>
        <w:t xml:space="preserve"> .......................... 7</w:t>
      </w:r>
    </w:p>
    <w:p>
      <w:pPr>
        <w:spacing w:before="200" w:after="60"/>
      </w:pPr>
      <w:r>
        <w:rPr>
          <w:rFonts w:ascii="Calibri" w:hAnsi="Calibri"/>
          <w:b/>
          <w:color w:val="2D3748"/>
          <w:sz w:val="25"/>
        </w:rPr>
        <w:t>CHAPTER THREE (3): EXPERIENCE GAINED AND WORK DONE</w:t>
      </w:r>
    </w:p>
    <w:p>
      <w:pPr>
        <w:pStyle w:val="ListBullet"/>
        <w:spacing w:before="20" w:after="40" w:line="276" w:lineRule="auto"/>
      </w:pPr>
      <w:r>
        <w:rPr>
          <w:rFonts w:ascii="Calibri" w:hAnsi="Calibri"/>
          <w:color w:val="333333"/>
          <w:sz w:val="22"/>
        </w:rPr>
      </w:r>
      <w:r>
        <w:rPr>
          <w:rFonts w:ascii="Calibri" w:hAnsi="Calibri"/>
          <w:b/>
          <w:color w:val="333333"/>
          <w:sz w:val="22"/>
        </w:rPr>
        <w:t>3.0 Introduction to AKIRS Environment and Engineering Units</w:t>
      </w:r>
      <w:r>
        <w:rPr>
          <w:rFonts w:ascii="Calibri" w:hAnsi="Calibri"/>
          <w:color w:val="333333"/>
          <w:sz w:val="22"/>
        </w:rPr>
        <w:t xml:space="preserve"> .................................. 9</w:t>
      </w:r>
    </w:p>
    <w:p>
      <w:pPr>
        <w:pStyle w:val="ListBullet"/>
        <w:spacing w:before="20" w:after="40" w:line="276" w:lineRule="auto"/>
      </w:pPr>
      <w:r>
        <w:rPr>
          <w:rFonts w:ascii="Calibri" w:hAnsi="Calibri"/>
          <w:color w:val="333333"/>
          <w:sz w:val="22"/>
        </w:rPr>
      </w:r>
      <w:r>
        <w:rPr>
          <w:rFonts w:ascii="Calibri" w:hAnsi="Calibri"/>
          <w:b/>
          <w:color w:val="333333"/>
          <w:sz w:val="22"/>
        </w:rPr>
        <w:t>3.1 Overview of Experiences Gained</w:t>
      </w:r>
      <w:r>
        <w:rPr>
          <w:rFonts w:ascii="Calibri" w:hAnsi="Calibri"/>
          <w:color w:val="333333"/>
          <w:sz w:val="22"/>
        </w:rPr>
        <w:t xml:space="preserve"> .................................................................... 9</w:t>
      </w:r>
    </w:p>
    <w:p>
      <w:pPr>
        <w:pStyle w:val="ListBullet"/>
        <w:spacing w:before="20" w:after="40" w:line="276" w:lineRule="auto"/>
      </w:pPr>
      <w:r>
        <w:rPr>
          <w:rFonts w:ascii="Calibri" w:hAnsi="Calibri"/>
          <w:color w:val="333333"/>
          <w:sz w:val="22"/>
        </w:rPr>
      </w:r>
      <w:r>
        <w:rPr>
          <w:rFonts w:ascii="Calibri" w:hAnsi="Calibri"/>
          <w:b/>
          <w:color w:val="333333"/>
          <w:sz w:val="22"/>
        </w:rPr>
        <w:t>3.2 Network Infrastructure &amp; Security Administration</w:t>
      </w:r>
      <w:r>
        <w:rPr>
          <w:rFonts w:ascii="Calibri" w:hAnsi="Calibri"/>
          <w:color w:val="333333"/>
          <w:sz w:val="22"/>
        </w:rPr>
        <w:t xml:space="preserve"> ............................................... 10</w:t>
      </w:r>
    </w:p>
    <w:p>
      <w:pPr>
        <w:pStyle w:val="ListBullet"/>
        <w:spacing w:before="20" w:after="40" w:line="276" w:lineRule="auto"/>
      </w:pPr>
      <w:r>
        <w:rPr>
          <w:rFonts w:ascii="Calibri" w:hAnsi="Calibri"/>
          <w:color w:val="333333"/>
          <w:sz w:val="22"/>
        </w:rPr>
        <w:t>3.2.1 Sophos XGS 138 Next-Generation Firewall Management ................................... 11</w:t>
      </w:r>
    </w:p>
    <w:p>
      <w:pPr>
        <w:pStyle w:val="ListBullet"/>
        <w:spacing w:before="20" w:after="40" w:line="276" w:lineRule="auto"/>
      </w:pPr>
      <w:r>
        <w:rPr>
          <w:rFonts w:ascii="Calibri" w:hAnsi="Calibri"/>
          <w:color w:val="333333"/>
          <w:sz w:val="22"/>
        </w:rPr>
        <w:t>3.2.2 Cisco Catalyst 1300 Switch Administration &amp; VLAN Segmentation ....................... 11</w:t>
      </w:r>
    </w:p>
    <w:p>
      <w:pPr>
        <w:pStyle w:val="ListBullet"/>
        <w:spacing w:before="20" w:after="40" w:line="276" w:lineRule="auto"/>
      </w:pPr>
      <w:r>
        <w:rPr>
          <w:rFonts w:ascii="Calibri" w:hAnsi="Calibri"/>
          <w:color w:val="333333"/>
          <w:sz w:val="22"/>
        </w:rPr>
        <w:t>3.2.3 High-Availability Internet Connectivity &amp; Starlink Satellite Link ........................... 12</w:t>
      </w:r>
    </w:p>
    <w:p>
      <w:pPr>
        <w:pStyle w:val="ListBullet"/>
        <w:spacing w:before="20" w:after="40" w:line="276" w:lineRule="auto"/>
      </w:pPr>
      <w:r>
        <w:rPr>
          <w:rFonts w:ascii="Calibri" w:hAnsi="Calibri"/>
          <w:color w:val="333333"/>
          <w:sz w:val="22"/>
        </w:rPr>
        <w:t>3.2.4 Tasks Completed in Network Administration .................................................. 12</w:t>
      </w:r>
    </w:p>
    <w:p>
      <w:pPr>
        <w:pStyle w:val="ListBullet"/>
        <w:spacing w:before="20" w:after="40" w:line="276" w:lineRule="auto"/>
      </w:pPr>
      <w:r>
        <w:rPr>
          <w:rFonts w:ascii="Calibri" w:hAnsi="Calibri"/>
          <w:color w:val="333333"/>
          <w:sz w:val="22"/>
        </w:rPr>
      </w:r>
      <w:r>
        <w:rPr>
          <w:rFonts w:ascii="Calibri" w:hAnsi="Calibri"/>
          <w:b/>
          <w:color w:val="333333"/>
          <w:sz w:val="22"/>
        </w:rPr>
        <w:t>3.3 Server &amp; Hypervisor Administration</w:t>
      </w:r>
      <w:r>
        <w:rPr>
          <w:rFonts w:ascii="Calibri" w:hAnsi="Calibri"/>
          <w:color w:val="333333"/>
          <w:sz w:val="22"/>
        </w:rPr>
        <w:t xml:space="preserve"> .............................................................. 12</w:t>
      </w:r>
    </w:p>
    <w:p>
      <w:pPr>
        <w:pStyle w:val="ListBullet"/>
        <w:spacing w:before="20" w:after="40" w:line="276" w:lineRule="auto"/>
      </w:pPr>
      <w:r>
        <w:rPr>
          <w:rFonts w:ascii="Calibri" w:hAnsi="Calibri"/>
          <w:color w:val="333333"/>
          <w:sz w:val="22"/>
        </w:rPr>
        <w:t>3.3.1 Dual HPE ProLiant DL380 Gen11 Compute Servers .......................................... 13</w:t>
      </w:r>
    </w:p>
    <w:p>
      <w:pPr>
        <w:pStyle w:val="ListBullet"/>
        <w:spacing w:before="20" w:after="40" w:line="276" w:lineRule="auto"/>
      </w:pPr>
      <w:r>
        <w:rPr>
          <w:rFonts w:ascii="Calibri" w:hAnsi="Calibri"/>
          <w:color w:val="333333"/>
          <w:sz w:val="22"/>
        </w:rPr>
        <w:t>3.3.2 VMware ESXi 8.0 Hypervisor Host Management ............................................... 13</w:t>
      </w:r>
    </w:p>
    <w:p>
      <w:pPr>
        <w:pStyle w:val="ListBullet"/>
        <w:spacing w:before="20" w:after="40" w:line="276" w:lineRule="auto"/>
      </w:pPr>
      <w:r>
        <w:rPr>
          <w:rFonts w:ascii="Calibri" w:hAnsi="Calibri"/>
          <w:color w:val="333333"/>
          <w:sz w:val="22"/>
        </w:rPr>
        <w:t>3.3.3 VMware vCenter Server Administration &amp; Resource Scheduling ............................ 13</w:t>
      </w:r>
    </w:p>
    <w:p>
      <w:pPr>
        <w:pStyle w:val="ListBullet"/>
        <w:spacing w:before="20" w:after="40" w:line="276" w:lineRule="auto"/>
      </w:pPr>
      <w:r>
        <w:rPr>
          <w:rFonts w:ascii="Calibri" w:hAnsi="Calibri"/>
          <w:color w:val="333333"/>
          <w:sz w:val="22"/>
        </w:rPr>
        <w:t>3.3.4 Virtual Machine Lifecycle &amp; Live Migration (vMotion) ........................................ 14</w:t>
      </w:r>
    </w:p>
    <w:p>
      <w:pPr>
        <w:pStyle w:val="ListBullet"/>
        <w:spacing w:before="20" w:after="40" w:line="276" w:lineRule="auto"/>
      </w:pPr>
      <w:r>
        <w:rPr>
          <w:rFonts w:ascii="Calibri" w:hAnsi="Calibri"/>
          <w:color w:val="333333"/>
          <w:sz w:val="22"/>
        </w:rPr>
        <w:t>3.3.5 Tasks Completed in Server &amp; Hypervisor Administration .................................... 14</w:t>
      </w:r>
    </w:p>
    <w:p>
      <w:pPr>
        <w:pStyle w:val="ListBullet"/>
        <w:spacing w:before="20" w:after="40" w:line="276" w:lineRule="auto"/>
      </w:pPr>
      <w:r>
        <w:rPr>
          <w:rFonts w:ascii="Calibri" w:hAnsi="Calibri"/>
          <w:color w:val="333333"/>
          <w:sz w:val="22"/>
        </w:rPr>
      </w:r>
      <w:r>
        <w:rPr>
          <w:rFonts w:ascii="Calibri" w:hAnsi="Calibri"/>
          <w:b/>
          <w:color w:val="333333"/>
          <w:sz w:val="22"/>
        </w:rPr>
        <w:t>3.4 Enterprise Storage, Backup &amp; Disaster Recovery</w:t>
      </w:r>
      <w:r>
        <w:rPr>
          <w:rFonts w:ascii="Calibri" w:hAnsi="Calibri"/>
          <w:color w:val="333333"/>
          <w:sz w:val="22"/>
        </w:rPr>
        <w:t xml:space="preserve"> ................................................. 15</w:t>
      </w:r>
    </w:p>
    <w:p>
      <w:pPr>
        <w:pStyle w:val="ListBullet"/>
        <w:spacing w:before="20" w:after="40" w:line="276" w:lineRule="auto"/>
      </w:pPr>
      <w:r>
        <w:rPr>
          <w:rFonts w:ascii="Calibri" w:hAnsi="Calibri"/>
          <w:color w:val="333333"/>
          <w:sz w:val="22"/>
        </w:rPr>
        <w:t>3.4.1 Synology DSM NAS Administration &amp; RAID 5 Storage Architecture ..................... 15</w:t>
      </w:r>
    </w:p>
    <w:p>
      <w:pPr>
        <w:pStyle w:val="ListBullet"/>
        <w:spacing w:before="20" w:after="40" w:line="276" w:lineRule="auto"/>
      </w:pPr>
      <w:r>
        <w:rPr>
          <w:rFonts w:ascii="Calibri" w:hAnsi="Calibri"/>
          <w:color w:val="333333"/>
          <w:sz w:val="22"/>
        </w:rPr>
        <w:t>3.4.2 Veeam Backup &amp; Replication Configuration for Mission-Critical Tax Systems ........... 16</w:t>
      </w:r>
    </w:p>
    <w:p>
      <w:pPr>
        <w:pStyle w:val="ListBullet"/>
        <w:spacing w:before="20" w:after="40" w:line="276" w:lineRule="auto"/>
      </w:pPr>
      <w:r>
        <w:rPr>
          <w:rFonts w:ascii="Calibri" w:hAnsi="Calibri"/>
          <w:color w:val="333333"/>
          <w:sz w:val="22"/>
        </w:rPr>
        <w:t>3.4.3 Tasks Completed in Storage &amp; Disaster Recovery .............................................. 16</w:t>
      </w:r>
    </w:p>
    <w:p>
      <w:pPr>
        <w:pStyle w:val="ListBullet"/>
        <w:spacing w:before="20" w:after="40" w:line="276" w:lineRule="auto"/>
      </w:pPr>
      <w:r>
        <w:rPr>
          <w:rFonts w:ascii="Calibri" w:hAnsi="Calibri"/>
          <w:color w:val="333333"/>
          <w:sz w:val="22"/>
        </w:rPr>
      </w:r>
      <w:r>
        <w:rPr>
          <w:rFonts w:ascii="Calibri" w:hAnsi="Calibri"/>
          <w:b/>
          <w:color w:val="333333"/>
          <w:sz w:val="22"/>
        </w:rPr>
        <w:t>3.5 Automated Taxpayer Discovery &amp; OSINT Reconnaissance (akirs-auto)</w:t>
      </w:r>
      <w:r>
        <w:rPr>
          <w:rFonts w:ascii="Calibri" w:hAnsi="Calibri"/>
          <w:color w:val="333333"/>
          <w:sz w:val="22"/>
        </w:rPr>
        <w:t xml:space="preserve"> ....................... 16</w:t>
      </w:r>
    </w:p>
    <w:p>
      <w:pPr>
        <w:pStyle w:val="ListBullet"/>
        <w:spacing w:before="20" w:after="40" w:line="276" w:lineRule="auto"/>
      </w:pPr>
      <w:r>
        <w:rPr>
          <w:rFonts w:ascii="Calibri" w:hAnsi="Calibri"/>
          <w:color w:val="333333"/>
          <w:sz w:val="22"/>
        </w:rPr>
        <w:t>3.5.1 Background and Objectives in Akwa Ibom State Commercial Mapping .................... 17</w:t>
      </w:r>
    </w:p>
    <w:p>
      <w:pPr>
        <w:pStyle w:val="ListBullet"/>
        <w:spacing w:before="20" w:after="40" w:line="276" w:lineRule="auto"/>
      </w:pPr>
      <w:r>
        <w:rPr>
          <w:rFonts w:ascii="Calibri" w:hAnsi="Calibri"/>
          <w:color w:val="333333"/>
          <w:sz w:val="22"/>
        </w:rPr>
        <w:t>3.5.2 Playwright Scraping of Facebook Ads Library for Commercial Dialects &amp; Geo-targets 17</w:t>
      </w:r>
    </w:p>
    <w:p>
      <w:pPr>
        <w:pStyle w:val="ListBullet"/>
        <w:spacing w:before="20" w:after="40" w:line="276" w:lineRule="auto"/>
      </w:pPr>
      <w:r>
        <w:rPr>
          <w:rFonts w:ascii="Calibri" w:hAnsi="Calibri"/>
          <w:color w:val="333333"/>
          <w:sz w:val="22"/>
        </w:rPr>
        <w:t>3.5.3 Multi-Tier Reconnaissance Pipeline (OSM Nominatim, Hunter.io, TomTom Places) .... 18</w:t>
      </w:r>
    </w:p>
    <w:p>
      <w:pPr>
        <w:pStyle w:val="ListBullet"/>
        <w:spacing w:before="20" w:after="40" w:line="276" w:lineRule="auto"/>
      </w:pPr>
      <w:r>
        <w:rPr>
          <w:rFonts w:ascii="Calibri" w:hAnsi="Calibri"/>
          <w:color w:val="333333"/>
          <w:sz w:val="22"/>
        </w:rPr>
        <w:t>3.5.4 Tasks Completed in Tax Intelligence Automation ............................................. 18</w:t>
      </w:r>
    </w:p>
    <w:p>
      <w:pPr>
        <w:pStyle w:val="ListBullet"/>
        <w:spacing w:before="20" w:after="40" w:line="276" w:lineRule="auto"/>
      </w:pPr>
      <w:r>
        <w:rPr>
          <w:rFonts w:ascii="Calibri" w:hAnsi="Calibri"/>
          <w:color w:val="333333"/>
          <w:sz w:val="22"/>
        </w:rPr>
      </w:r>
      <w:r>
        <w:rPr>
          <w:rFonts w:ascii="Calibri" w:hAnsi="Calibri"/>
          <w:b/>
          <w:color w:val="333333"/>
          <w:sz w:val="22"/>
        </w:rPr>
        <w:t>3.6 Taxpayer Data Cleaning, Deduplication &amp; Batch ETL Pipelines (akirs-data-cleaner)</w:t>
      </w:r>
      <w:r>
        <w:rPr>
          <w:rFonts w:ascii="Calibri" w:hAnsi="Calibri"/>
          <w:color w:val="333333"/>
          <w:sz w:val="22"/>
        </w:rPr>
        <w:t xml:space="preserve"> .... 18</w:t>
      </w:r>
    </w:p>
    <w:p>
      <w:pPr>
        <w:pStyle w:val="ListBullet"/>
        <w:spacing w:before="20" w:after="40" w:line="276" w:lineRule="auto"/>
      </w:pPr>
      <w:r>
        <w:rPr>
          <w:rFonts w:ascii="Calibri" w:hAnsi="Calibri"/>
          <w:color w:val="333333"/>
          <w:sz w:val="22"/>
        </w:rPr>
        <w:t>3.6.1 Batch Processing of Commercial Bank New Account Feeds .................................. 19</w:t>
      </w:r>
    </w:p>
    <w:p>
      <w:pPr>
        <w:pStyle w:val="ListBullet"/>
        <w:spacing w:before="20" w:after="40" w:line="276" w:lineRule="auto"/>
      </w:pPr>
      <w:r>
        <w:rPr>
          <w:rFonts w:ascii="Calibri" w:hAnsi="Calibri"/>
          <w:color w:val="333333"/>
          <w:sz w:val="22"/>
        </w:rPr>
        <w:t>3.6.2 FastAPI-Powered Ingestion Portal &amp; OpenPyXL Parsing Engine ............................ 19</w:t>
      </w:r>
    </w:p>
    <w:p>
      <w:pPr>
        <w:pStyle w:val="ListBullet"/>
        <w:spacing w:before="20" w:after="40" w:line="276" w:lineRule="auto"/>
      </w:pPr>
      <w:r>
        <w:rPr>
          <w:rFonts w:ascii="Calibri" w:hAnsi="Calibri"/>
          <w:color w:val="333333"/>
          <w:sz w:val="22"/>
        </w:rPr>
        <w:t>3.6.3 Algorithmic NUBAN &amp; TIN Validation, Duplicate Resolution, and Branch Filtering ... 20</w:t>
      </w:r>
    </w:p>
    <w:p>
      <w:pPr>
        <w:pStyle w:val="ListBullet"/>
        <w:spacing w:before="20" w:after="40" w:line="276" w:lineRule="auto"/>
      </w:pPr>
      <w:r>
        <w:rPr>
          <w:rFonts w:ascii="Calibri" w:hAnsi="Calibri"/>
          <w:color w:val="333333"/>
          <w:sz w:val="22"/>
        </w:rPr>
        <w:t>3.6.4 Tasks Completed in Data Cleaning &amp; Normalization .......................................... 20</w:t>
      </w:r>
    </w:p>
    <w:p>
      <w:pPr>
        <w:pStyle w:val="ListBullet"/>
        <w:spacing w:before="20" w:after="40" w:line="276" w:lineRule="auto"/>
      </w:pPr>
      <w:r>
        <w:rPr>
          <w:rFonts w:ascii="Calibri" w:hAnsi="Calibri"/>
          <w:color w:val="333333"/>
          <w:sz w:val="22"/>
        </w:rPr>
      </w:r>
      <w:r>
        <w:rPr>
          <w:rFonts w:ascii="Calibri" w:hAnsi="Calibri"/>
          <w:b/>
          <w:color w:val="333333"/>
          <w:sz w:val="22"/>
        </w:rPr>
        <w:t>3.7 Monitoring, Alerting &amp; Hardware Fleet Maintenance</w:t>
      </w:r>
      <w:r>
        <w:rPr>
          <w:rFonts w:ascii="Calibri" w:hAnsi="Calibri"/>
          <w:color w:val="333333"/>
          <w:sz w:val="22"/>
        </w:rPr>
        <w:t xml:space="preserve"> ........................................... 20</w:t>
      </w:r>
    </w:p>
    <w:p>
      <w:pPr>
        <w:pStyle w:val="ListBullet"/>
        <w:spacing w:before="20" w:after="40" w:line="276" w:lineRule="auto"/>
      </w:pPr>
      <w:r>
        <w:rPr>
          <w:rFonts w:ascii="Calibri" w:hAnsi="Calibri"/>
          <w:color w:val="333333"/>
          <w:sz w:val="22"/>
        </w:rPr>
        <w:t>3.7.1 Hardware Health Audits &amp; Proactive Alerting .................................................. 20</w:t>
      </w:r>
    </w:p>
    <w:p>
      <w:pPr>
        <w:pStyle w:val="ListBullet"/>
        <w:spacing w:before="20" w:after="40" w:line="276" w:lineRule="auto"/>
      </w:pPr>
      <w:r>
        <w:rPr>
          <w:rFonts w:ascii="Calibri" w:hAnsi="Calibri"/>
          <w:color w:val="333333"/>
          <w:sz w:val="22"/>
        </w:rPr>
        <w:t>3.7.2 HP ProBook Engineering Fleet Provisioning &amp; Endpoint Security .......................... 21</w:t>
      </w:r>
    </w:p>
    <w:p>
      <w:pPr>
        <w:pStyle w:val="ListBullet"/>
        <w:spacing w:before="20" w:after="40" w:line="276" w:lineRule="auto"/>
      </w:pPr>
      <w:r>
        <w:rPr>
          <w:rFonts w:ascii="Calibri" w:hAnsi="Calibri"/>
          <w:color w:val="333333"/>
          <w:sz w:val="22"/>
        </w:rPr>
      </w:r>
      <w:r>
        <w:rPr>
          <w:rFonts w:ascii="Calibri" w:hAnsi="Calibri"/>
          <w:b/>
          <w:color w:val="333333"/>
          <w:sz w:val="22"/>
        </w:rPr>
        <w:t>3.8 Version Control, DevOps &amp; Containerization</w:t>
      </w:r>
      <w:r>
        <w:rPr>
          <w:rFonts w:ascii="Calibri" w:hAnsi="Calibri"/>
          <w:color w:val="333333"/>
          <w:sz w:val="22"/>
        </w:rPr>
        <w:t xml:space="preserve"> ...................................................... 21</w:t>
      </w:r>
    </w:p>
    <w:p>
      <w:pPr>
        <w:pStyle w:val="ListBullet"/>
        <w:spacing w:before="20" w:after="40" w:line="276" w:lineRule="auto"/>
      </w:pPr>
      <w:r>
        <w:rPr>
          <w:rFonts w:ascii="Calibri" w:hAnsi="Calibri"/>
          <w:color w:val="333333"/>
          <w:sz w:val="22"/>
        </w:rPr>
        <w:t>3.8.1 Git, GitHub &amp; Distributed Code Collaboration .................................................. 21</w:t>
      </w:r>
    </w:p>
    <w:p>
      <w:pPr>
        <w:pStyle w:val="ListBullet"/>
        <w:spacing w:before="20" w:after="40" w:line="276" w:lineRule="auto"/>
      </w:pPr>
      <w:r>
        <w:rPr>
          <w:rFonts w:ascii="Calibri" w:hAnsi="Calibri"/>
          <w:color w:val="333333"/>
          <w:sz w:val="22"/>
        </w:rPr>
        <w:t>3.8.2 Docker Containerization &amp; Microservice Environments ....................................... 21</w:t>
      </w:r>
    </w:p>
    <w:p>
      <w:pPr>
        <w:pStyle w:val="ListBullet"/>
        <w:spacing w:before="20" w:after="40" w:line="276" w:lineRule="auto"/>
      </w:pPr>
      <w:r>
        <w:rPr>
          <w:rFonts w:ascii="Calibri" w:hAnsi="Calibri"/>
          <w:color w:val="333333"/>
          <w:sz w:val="22"/>
        </w:rPr>
      </w:r>
      <w:r>
        <w:rPr>
          <w:rFonts w:ascii="Calibri" w:hAnsi="Calibri"/>
          <w:b/>
          <w:color w:val="333333"/>
          <w:sz w:val="22"/>
        </w:rPr>
        <w:t>3.9 Soft Skills, Cross-Disciplinary Collaboration &amp; Technical Communication</w:t>
      </w:r>
      <w:r>
        <w:rPr>
          <w:rFonts w:ascii="Calibri" w:hAnsi="Calibri"/>
          <w:color w:val="333333"/>
          <w:sz w:val="22"/>
        </w:rPr>
        <w:t xml:space="preserve"> ................ 21</w:t>
      </w:r>
    </w:p>
    <w:p>
      <w:pPr>
        <w:pStyle w:val="ListBullet"/>
        <w:spacing w:before="20" w:after="40" w:line="276" w:lineRule="auto"/>
      </w:pPr>
      <w:r>
        <w:rPr>
          <w:rFonts w:ascii="Calibri" w:hAnsi="Calibri"/>
          <w:color w:val="333333"/>
          <w:sz w:val="22"/>
        </w:rPr>
      </w:r>
      <w:r>
        <w:rPr>
          <w:rFonts w:ascii="Calibri" w:hAnsi="Calibri"/>
          <w:b/>
          <w:color w:val="333333"/>
          <w:sz w:val="22"/>
        </w:rPr>
        <w:t>3.10 Chapter Three Conclusion</w:t>
      </w:r>
      <w:r>
        <w:rPr>
          <w:rFonts w:ascii="Calibri" w:hAnsi="Calibri"/>
          <w:color w:val="333333"/>
          <w:sz w:val="22"/>
        </w:rPr>
        <w:t xml:space="preserve"> .......................................................................... 22</w:t>
      </w:r>
    </w:p>
    <w:p>
      <w:pPr>
        <w:spacing w:before="200" w:after="60"/>
      </w:pPr>
      <w:r>
        <w:rPr>
          <w:rFonts w:ascii="Calibri" w:hAnsi="Calibri"/>
          <w:b/>
          <w:color w:val="2D3748"/>
          <w:sz w:val="25"/>
        </w:rPr>
        <w:t>CHAPTER FOUR (4): TECHNICAL PROJECT — BRIDGE (FAULT-TOLERANT DISTRIBUTED INGRESS ROUTING MESH &amp; MULTI-VM GOSSIP NETWORK)</w:t>
      </w:r>
    </w:p>
    <w:p>
      <w:pPr>
        <w:pStyle w:val="ListBullet"/>
        <w:spacing w:before="20" w:after="40" w:line="276" w:lineRule="auto"/>
      </w:pPr>
      <w:r>
        <w:rPr>
          <w:rFonts w:ascii="Calibri" w:hAnsi="Calibri"/>
          <w:color w:val="333333"/>
          <w:sz w:val="22"/>
        </w:rPr>
      </w:r>
      <w:r>
        <w:rPr>
          <w:rFonts w:ascii="Calibri" w:hAnsi="Calibri"/>
          <w:b/>
          <w:color w:val="333333"/>
          <w:sz w:val="22"/>
        </w:rPr>
        <w:t>4.0 Introduction</w:t>
      </w:r>
      <w:r>
        <w:rPr>
          <w:rFonts w:ascii="Calibri" w:hAnsi="Calibri"/>
          <w:color w:val="333333"/>
          <w:sz w:val="22"/>
        </w:rPr>
        <w:t xml:space="preserve"> .............................................................................................. 23</w:t>
      </w:r>
    </w:p>
    <w:p>
      <w:pPr>
        <w:pStyle w:val="ListBullet"/>
        <w:spacing w:before="20" w:after="40" w:line="276" w:lineRule="auto"/>
      </w:pPr>
      <w:r>
        <w:rPr>
          <w:rFonts w:ascii="Calibri" w:hAnsi="Calibri"/>
          <w:color w:val="333333"/>
          <w:sz w:val="22"/>
        </w:rPr>
      </w:r>
      <w:r>
        <w:rPr>
          <w:rFonts w:ascii="Calibri" w:hAnsi="Calibri"/>
          <w:b/>
          <w:color w:val="333333"/>
          <w:sz w:val="22"/>
        </w:rPr>
        <w:t>4.1 Background</w:t>
      </w:r>
      <w:r>
        <w:rPr>
          <w:rFonts w:ascii="Calibri" w:hAnsi="Calibri"/>
          <w:color w:val="333333"/>
          <w:sz w:val="22"/>
        </w:rPr>
        <w:t xml:space="preserve"> ............................................................................................... 23</w:t>
      </w:r>
    </w:p>
    <w:p>
      <w:pPr>
        <w:pStyle w:val="ListBullet"/>
        <w:spacing w:before="20" w:after="40" w:line="276" w:lineRule="auto"/>
      </w:pPr>
      <w:r>
        <w:rPr>
          <w:rFonts w:ascii="Calibri" w:hAnsi="Calibri"/>
          <w:color w:val="333333"/>
          <w:sz w:val="22"/>
        </w:rPr>
      </w:r>
      <w:r>
        <w:rPr>
          <w:rFonts w:ascii="Calibri" w:hAnsi="Calibri"/>
          <w:b/>
          <w:color w:val="333333"/>
          <w:sz w:val="22"/>
        </w:rPr>
        <w:t>4.2 Problem Statement</w:t>
      </w:r>
      <w:r>
        <w:rPr>
          <w:rFonts w:ascii="Calibri" w:hAnsi="Calibri"/>
          <w:color w:val="333333"/>
          <w:sz w:val="22"/>
        </w:rPr>
        <w:t xml:space="preserve"> ..................................................................................... 24</w:t>
      </w:r>
    </w:p>
    <w:p>
      <w:pPr>
        <w:pStyle w:val="ListBullet"/>
        <w:spacing w:before="20" w:after="40" w:line="276" w:lineRule="auto"/>
      </w:pPr>
      <w:r>
        <w:rPr>
          <w:rFonts w:ascii="Calibri" w:hAnsi="Calibri"/>
          <w:color w:val="333333"/>
          <w:sz w:val="22"/>
        </w:rPr>
      </w:r>
      <w:r>
        <w:rPr>
          <w:rFonts w:ascii="Calibri" w:hAnsi="Calibri"/>
          <w:b/>
          <w:color w:val="333333"/>
          <w:sz w:val="22"/>
        </w:rPr>
        <w:t>4.3 Integrated Development Environment (IDE) &amp; Systems Tooling</w:t>
      </w:r>
      <w:r>
        <w:rPr>
          <w:rFonts w:ascii="Calibri" w:hAnsi="Calibri"/>
          <w:color w:val="333333"/>
          <w:sz w:val="22"/>
        </w:rPr>
        <w:t xml:space="preserve"> ............................. 25</w:t>
      </w:r>
    </w:p>
    <w:p>
      <w:pPr>
        <w:pStyle w:val="ListBullet"/>
        <w:spacing w:before="20" w:after="40" w:line="276" w:lineRule="auto"/>
      </w:pPr>
      <w:r>
        <w:rPr>
          <w:rFonts w:ascii="Calibri" w:hAnsi="Calibri"/>
          <w:color w:val="333333"/>
          <w:sz w:val="22"/>
        </w:rPr>
        <w:t>4.3.1 Systems Programming with Rust .................................................................. 26</w:t>
      </w:r>
    </w:p>
    <w:p>
      <w:pPr>
        <w:pStyle w:val="ListBullet"/>
        <w:spacing w:before="20" w:after="40" w:line="276" w:lineRule="auto"/>
      </w:pPr>
      <w:r>
        <w:rPr>
          <w:rFonts w:ascii="Calibri" w:hAnsi="Calibri"/>
          <w:color w:val="333333"/>
          <w:sz w:val="22"/>
        </w:rPr>
        <w:t>4.3.2 Tokio Asynchronous Event-Driven Runtime ..................................................... 26</w:t>
      </w:r>
    </w:p>
    <w:p>
      <w:pPr>
        <w:pStyle w:val="ListBullet"/>
        <w:spacing w:before="20" w:after="40" w:line="276" w:lineRule="auto"/>
      </w:pPr>
      <w:r>
        <w:rPr>
          <w:rFonts w:ascii="Calibri" w:hAnsi="Calibri"/>
          <w:color w:val="333333"/>
          <w:sz w:val="22"/>
        </w:rPr>
        <w:t>4.3.3 Development Toolchain: Cargo, Linux Namespaces, Wireshark, VS Code ................. 26</w:t>
      </w:r>
    </w:p>
    <w:p>
      <w:pPr>
        <w:pStyle w:val="ListBullet"/>
        <w:spacing w:before="20" w:after="40" w:line="276" w:lineRule="auto"/>
      </w:pPr>
      <w:r>
        <w:rPr>
          <w:rFonts w:ascii="Calibri" w:hAnsi="Calibri"/>
          <w:color w:val="333333"/>
          <w:sz w:val="22"/>
        </w:rPr>
      </w:r>
      <w:r>
        <w:rPr>
          <w:rFonts w:ascii="Calibri" w:hAnsi="Calibri"/>
          <w:b/>
          <w:color w:val="333333"/>
          <w:sz w:val="22"/>
        </w:rPr>
        <w:t>4.4 Methodology &amp; Architectural Design</w:t>
      </w:r>
      <w:r>
        <w:rPr>
          <w:rFonts w:ascii="Calibri" w:hAnsi="Calibri"/>
          <w:color w:val="333333"/>
          <w:sz w:val="22"/>
        </w:rPr>
        <w:t xml:space="preserve"> .............................................................. 26</w:t>
      </w:r>
    </w:p>
    <w:p>
      <w:pPr>
        <w:pStyle w:val="ListBullet"/>
        <w:spacing w:before="20" w:after="40" w:line="276" w:lineRule="auto"/>
      </w:pPr>
      <w:r>
        <w:rPr>
          <w:rFonts w:ascii="Calibri" w:hAnsi="Calibri"/>
          <w:color w:val="333333"/>
          <w:sz w:val="22"/>
        </w:rPr>
        <w:t>4.4.1 High-Level Distributed Ingress Routing Mesh Architecture ................................. 27</w:t>
      </w:r>
    </w:p>
    <w:p>
      <w:pPr>
        <w:pStyle w:val="ListBullet"/>
        <w:spacing w:before="20" w:after="40" w:line="276" w:lineRule="auto"/>
      </w:pPr>
      <w:r>
        <w:rPr>
          <w:rFonts w:ascii="Calibri" w:hAnsi="Calibri"/>
          <w:color w:val="333333"/>
          <w:sz w:val="22"/>
        </w:rPr>
        <w:t>4.4.2 Mode 1: Direct Mode (L7 Reverse Proxy with Automated ACME TLS Termination) .... 27</w:t>
      </w:r>
    </w:p>
    <w:p>
      <w:pPr>
        <w:pStyle w:val="ListBullet"/>
        <w:spacing w:before="20" w:after="40" w:line="276" w:lineRule="auto"/>
      </w:pPr>
      <w:r>
        <w:rPr>
          <w:rFonts w:ascii="Calibri" w:hAnsi="Calibri"/>
          <w:color w:val="333333"/>
          <w:sz w:val="22"/>
        </w:rPr>
        <w:t>4.4.3 Mode 2: Handoff Mode (L4 SNI-Based Zero-TLS-Termination TCP Stream Splicing) ... 28</w:t>
      </w:r>
    </w:p>
    <w:p>
      <w:pPr>
        <w:pStyle w:val="ListBullet"/>
        <w:spacing w:before="20" w:after="40" w:line="276" w:lineRule="auto"/>
      </w:pPr>
      <w:r>
        <w:rPr>
          <w:rFonts w:ascii="Calibri" w:hAnsi="Calibri"/>
          <w:color w:val="333333"/>
          <w:sz w:val="22"/>
        </w:rPr>
        <w:t>4.4.4 Mode 3: Managed Mode (Control-Plane Orchestration for Node-Level Proxies) ......... 29</w:t>
      </w:r>
    </w:p>
    <w:p>
      <w:pPr>
        <w:pStyle w:val="ListBullet"/>
        <w:spacing w:before="20" w:after="40" w:line="276" w:lineRule="auto"/>
      </w:pPr>
      <w:r>
        <w:rPr>
          <w:rFonts w:ascii="Calibri" w:hAnsi="Calibri"/>
          <w:color w:val="333333"/>
          <w:sz w:val="22"/>
        </w:rPr>
        <w:t>4.4.5 Lock-Free In-Memory Domain Registry &amp; Route Resolution ................................. 30</w:t>
      </w:r>
    </w:p>
    <w:p>
      <w:pPr>
        <w:pStyle w:val="ListBullet"/>
        <w:spacing w:before="20" w:after="40" w:line="276" w:lineRule="auto"/>
      </w:pPr>
      <w:r>
        <w:rPr>
          <w:rFonts w:ascii="Calibri" w:hAnsi="Calibri"/>
          <w:color w:val="333333"/>
          <w:sz w:val="22"/>
        </w:rPr>
      </w:r>
      <w:r>
        <w:rPr>
          <w:rFonts w:ascii="Calibri" w:hAnsi="Calibri"/>
          <w:b/>
          <w:color w:val="333333"/>
          <w:sz w:val="22"/>
        </w:rPr>
        <w:t>4.5 Cluster Coordination &amp; Fault Tolerance</w:t>
      </w:r>
      <w:r>
        <w:rPr>
          <w:rFonts w:ascii="Calibri" w:hAnsi="Calibri"/>
          <w:color w:val="333333"/>
          <w:sz w:val="22"/>
        </w:rPr>
        <w:t xml:space="preserve"> .......................................................... 30</w:t>
      </w:r>
    </w:p>
    <w:p>
      <w:pPr>
        <w:pStyle w:val="ListBullet"/>
        <w:spacing w:before="20" w:after="40" w:line="276" w:lineRule="auto"/>
      </w:pPr>
      <w:r>
        <w:rPr>
          <w:rFonts w:ascii="Calibri" w:hAnsi="Calibri"/>
          <w:color w:val="333333"/>
          <w:sz w:val="22"/>
        </w:rPr>
        <w:t>4.5.1 UDP-based Peer Gossip Protocol &amp; Heartbeat Topology .................................... 30</w:t>
      </w:r>
    </w:p>
    <w:p>
      <w:pPr>
        <w:pStyle w:val="ListBullet"/>
        <w:spacing w:before="20" w:after="40" w:line="276" w:lineRule="auto"/>
      </w:pPr>
      <w:r>
        <w:rPr>
          <w:rFonts w:ascii="Calibri" w:hAnsi="Calibri"/>
          <w:color w:val="333333"/>
          <w:sz w:val="22"/>
        </w:rPr>
        <w:t>4.5.2 Dynamic Failure Detection, Node Eviction &amp; Self-Healing ................................... 30</w:t>
      </w:r>
    </w:p>
    <w:p>
      <w:pPr>
        <w:pStyle w:val="ListBullet"/>
        <w:spacing w:before="20" w:after="40" w:line="276" w:lineRule="auto"/>
      </w:pPr>
      <w:r>
        <w:rPr>
          <w:rFonts w:ascii="Calibri" w:hAnsi="Calibri"/>
          <w:color w:val="333333"/>
          <w:sz w:val="22"/>
        </w:rPr>
        <w:t>4.5.3 Graceful Shutdown Protocol and Zero-Downtime Session Handoff .......................... 31</w:t>
      </w:r>
    </w:p>
    <w:p>
      <w:pPr>
        <w:pStyle w:val="ListBullet"/>
        <w:spacing w:before="20" w:after="40" w:line="276" w:lineRule="auto"/>
      </w:pPr>
      <w:r>
        <w:rPr>
          <w:rFonts w:ascii="Calibri" w:hAnsi="Calibri"/>
          <w:color w:val="333333"/>
          <w:sz w:val="22"/>
        </w:rPr>
      </w:r>
      <w:r>
        <w:rPr>
          <w:rFonts w:ascii="Calibri" w:hAnsi="Calibri"/>
          <w:b/>
          <w:color w:val="333333"/>
          <w:sz w:val="22"/>
        </w:rPr>
        <w:t>4.6 Verification, Testing &amp; Performance Evaluation</w:t>
      </w:r>
      <w:r>
        <w:rPr>
          <w:rFonts w:ascii="Calibri" w:hAnsi="Calibri"/>
          <w:color w:val="333333"/>
          <w:sz w:val="22"/>
        </w:rPr>
        <w:t xml:space="preserve"> ................................................. 31</w:t>
      </w:r>
    </w:p>
    <w:p>
      <w:pPr>
        <w:pStyle w:val="ListBullet"/>
        <w:spacing w:before="20" w:after="40" w:line="276" w:lineRule="auto"/>
      </w:pPr>
      <w:r>
        <w:rPr>
          <w:rFonts w:ascii="Calibri" w:hAnsi="Calibri"/>
          <w:color w:val="333333"/>
          <w:sz w:val="22"/>
        </w:rPr>
        <w:t>4.6.1 Comprehensive Integration &amp; Concurrency Test Suite ....................................... 31</w:t>
      </w:r>
    </w:p>
    <w:p>
      <w:pPr>
        <w:pStyle w:val="ListBullet"/>
        <w:spacing w:before="20" w:after="40" w:line="276" w:lineRule="auto"/>
      </w:pPr>
      <w:r>
        <w:rPr>
          <w:rFonts w:ascii="Calibri" w:hAnsi="Calibri"/>
          <w:color w:val="333333"/>
          <w:sz w:val="22"/>
        </w:rPr>
        <w:t>4.6.2 L4 Handoff vs L7 Direct Latency &amp; Throughput Benchmark Analysis ..................... 32</w:t>
      </w:r>
    </w:p>
    <w:p>
      <w:pPr>
        <w:pStyle w:val="ListBullet"/>
        <w:spacing w:before="20" w:after="40" w:line="276" w:lineRule="auto"/>
      </w:pPr>
      <w:r>
        <w:rPr>
          <w:rFonts w:ascii="Calibri" w:hAnsi="Calibri"/>
          <w:color w:val="333333"/>
          <w:sz w:val="22"/>
        </w:rPr>
        <w:t>4.6.3 Fault-Injection, Node Failure &amp; Dynamic Failover Simulation .............................. 33</w:t>
      </w:r>
    </w:p>
    <w:p>
      <w:pPr>
        <w:pStyle w:val="ListBullet"/>
        <w:spacing w:before="20" w:after="40" w:line="276" w:lineRule="auto"/>
      </w:pPr>
      <w:r>
        <w:rPr>
          <w:rFonts w:ascii="Calibri" w:hAnsi="Calibri"/>
          <w:color w:val="333333"/>
          <w:sz w:val="22"/>
        </w:rPr>
      </w:r>
      <w:r>
        <w:rPr>
          <w:rFonts w:ascii="Calibri" w:hAnsi="Calibri"/>
          <w:b/>
          <w:color w:val="333333"/>
          <w:sz w:val="22"/>
        </w:rPr>
        <w:t>4.7 Key Results and Architectural Insights</w:t>
      </w:r>
      <w:r>
        <w:rPr>
          <w:rFonts w:ascii="Calibri" w:hAnsi="Calibri"/>
          <w:color w:val="333333"/>
          <w:sz w:val="22"/>
        </w:rPr>
        <w:t xml:space="preserve"> ........................................................... 33</w:t>
      </w:r>
    </w:p>
    <w:p>
      <w:pPr>
        <w:pStyle w:val="ListBullet"/>
        <w:spacing w:before="20" w:after="40" w:line="276" w:lineRule="auto"/>
      </w:pPr>
      <w:r>
        <w:rPr>
          <w:rFonts w:ascii="Calibri" w:hAnsi="Calibri"/>
          <w:color w:val="333333"/>
          <w:sz w:val="22"/>
        </w:rPr>
      </w:r>
      <w:r>
        <w:rPr>
          <w:rFonts w:ascii="Calibri" w:hAnsi="Calibri"/>
          <w:b/>
          <w:color w:val="333333"/>
          <w:sz w:val="22"/>
        </w:rPr>
        <w:t>4.8 Conclusion</w:t>
      </w:r>
      <w:r>
        <w:rPr>
          <w:rFonts w:ascii="Calibri" w:hAnsi="Calibri"/>
          <w:color w:val="333333"/>
          <w:sz w:val="22"/>
        </w:rPr>
        <w:t xml:space="preserve"> ................................................................................................ 33</w:t>
      </w:r>
    </w:p>
    <w:p>
      <w:pPr>
        <w:pStyle w:val="ListBullet"/>
        <w:spacing w:before="20" w:after="40" w:line="276" w:lineRule="auto"/>
      </w:pPr>
      <w:r>
        <w:rPr>
          <w:rFonts w:ascii="Calibri" w:hAnsi="Calibri"/>
          <w:color w:val="333333"/>
          <w:sz w:val="22"/>
        </w:rPr>
      </w:r>
      <w:r>
        <w:rPr>
          <w:rFonts w:ascii="Calibri" w:hAnsi="Calibri"/>
          <w:b/>
          <w:color w:val="333333"/>
          <w:sz w:val="22"/>
        </w:rPr>
        <w:t>4.9 References</w:t>
      </w:r>
      <w:r>
        <w:rPr>
          <w:rFonts w:ascii="Calibri" w:hAnsi="Calibri"/>
          <w:color w:val="333333"/>
          <w:sz w:val="22"/>
        </w:rPr>
        <w:t xml:space="preserve"> ................................................................................................. 34</w:t>
      </w:r>
    </w:p>
    <w:p>
      <w:r>
        <w:br w:type="page"/>
      </w:r>
    </w:p>
    <w:p>
      <w:pPr>
        <w:spacing w:before="280" w:after="120"/>
      </w:pPr>
      <w:r>
        <w:rPr>
          <w:rFonts w:ascii="Calibri" w:hAnsi="Calibri"/>
          <w:b/>
          <w:color w:val="0F172A"/>
          <w:sz w:val="36"/>
        </w:rPr>
        <w:t>CHAPTER ONE (1)</w:t>
      </w:r>
    </w:p>
    <w:p>
      <w:pPr>
        <w:spacing w:before="240" w:after="80"/>
      </w:pPr>
      <w:r>
        <w:rPr>
          <w:rFonts w:ascii="Calibri" w:hAnsi="Calibri"/>
          <w:b/>
          <w:color w:val="1F4E79"/>
          <w:sz w:val="30"/>
        </w:rPr>
        <w:t>BRIEF HISTORY OF SIWES</w:t>
      </w:r>
    </w:p>
    <w:p>
      <w:pPr>
        <w:spacing w:before="200" w:after="60"/>
      </w:pPr>
      <w:r>
        <w:rPr>
          <w:rFonts w:ascii="Calibri" w:hAnsi="Calibri"/>
          <w:b/>
          <w:color w:val="2D3748"/>
          <w:sz w:val="25"/>
        </w:rPr>
        <w:t>1.0 INTRODUCTION</w:t>
      </w:r>
    </w:p>
    <w:p>
      <w:pPr>
        <w:spacing w:before="40" w:after="100" w:line="283" w:lineRule="auto"/>
      </w:pPr>
      <w:r>
        <w:rPr>
          <w:rFonts w:ascii="Calibri" w:hAnsi="Calibri"/>
          <w:color w:val="282828"/>
          <w:sz w:val="22"/>
        </w:rPr>
        <w:t>The Student Industrial Work Experience Scheme (SIWES) is an indispensable, structured human capital development and skill acquisition programme designed as an integral component of the approved Minimum Academic Standards (BMAS/CCMAS) for specialized degree programmes in Nigerian tertiary institutions. Particularly in disciplines such as Computer Science, Software Engineering, Systems Architecture, Information Technology, and related applied computational sciences, theoretical classroom pedagogy alone cannot bridge the gap between abstract algorithmic principles and industrial enterprise deployments.</w:t>
      </w:r>
    </w:p>
    <w:p>
      <w:pPr>
        <w:spacing w:before="40" w:after="100" w:line="283" w:lineRule="auto"/>
      </w:pPr>
      <w:r>
        <w:rPr>
          <w:rFonts w:ascii="Calibri" w:hAnsi="Calibri"/>
          <w:color w:val="282828"/>
          <w:sz w:val="22"/>
        </w:rPr>
        <w:t>The fundamental premise of SIWES is to immerse undergraduate students in authentic, production-grade work environments where they are confronted with real-world technical problems, modern infrastructure architectures, strict uptime mandates, corporate operational workflows, and industrial compliance benchmarks. The typical training cycle spans a minimum of twenty-four (24) weeks (six months) during the penultimate year of undergraduate study, operating as a tripartite institutional partnership connecting the student, the tertiary institution, and reputable industrial organizations.</w:t>
      </w:r>
    </w:p>
    <w:p>
      <w:pPr>
        <w:spacing w:before="40" w:after="100" w:line="283" w:lineRule="auto"/>
      </w:pPr>
      <w:r>
        <w:rPr>
          <w:rFonts w:ascii="Calibri" w:hAnsi="Calibri"/>
          <w:color w:val="282828"/>
          <w:sz w:val="22"/>
        </w:rPr>
        <w:t>Coordinated nationally by the Industrial Training Fund (ITF) in direct collaboration with statutory regulatory agencies including the National Universities Commission (NUC), National Board for Technical Education (NBTE), and the National Commission for Colleges of Education (NCCE), SIWES enforces quality assurance, standardized technical curricula, structured mentorship, and rigorous supervisory monitoring across public and private sectors in the Federal Republic of Nigeria.</w:t>
      </w:r>
    </w:p>
    <w:p>
      <w:pPr>
        <w:spacing w:before="200" w:after="60"/>
      </w:pPr>
      <w:r>
        <w:rPr>
          <w:rFonts w:ascii="Calibri" w:hAnsi="Calibri"/>
          <w:b/>
          <w:color w:val="2D3748"/>
          <w:sz w:val="25"/>
        </w:rPr>
        <w:t>1.2 BRIEF HISTORY OF SIWES IN NIGERIA</w:t>
      </w:r>
    </w:p>
    <w:p>
      <w:pPr>
        <w:spacing w:before="40" w:after="100" w:line="283" w:lineRule="auto"/>
      </w:pPr>
      <w:r>
        <w:rPr>
          <w:rFonts w:ascii="Calibri" w:hAnsi="Calibri"/>
          <w:color w:val="282828"/>
          <w:sz w:val="22"/>
        </w:rPr>
        <w:t>The genesis of SIWES can be traced back to the post-civil war industrial reconstruction era of the early 1970s. During this period, the Federal Military Government of Nigeria promulgated Decree No. 47 on October 8, 1971, which established the Industrial Training Fund (ITF) as a parastatal under the Federal Ministry of Industry, Trade and Investment. The explicit legislative mandate of the ITF was to stimulate, promote, and encourage the acquisition of practical skills in industry and commerce, generating an indigenous pool of skilled technicians, engineers, and scientists capable of driving national industrial self-reliance.</w:t>
      </w:r>
    </w:p>
    <w:p>
      <w:pPr>
        <w:spacing w:before="40" w:after="100" w:line="283" w:lineRule="auto"/>
      </w:pPr>
      <w:r>
        <w:rPr>
          <w:rFonts w:ascii="Calibri" w:hAnsi="Calibri"/>
          <w:color w:val="282828"/>
          <w:sz w:val="22"/>
        </w:rPr>
        <w:t>By 1973, empirical baseline assessments conducted by the ITF across manufacturing, telecommunications, and engineering enterprises revealed a distressing systemic pathology: graduates emerging from Nigerian universities and colleges were exceptionally well-versed in theoretical formulations but possessed negligible practical competencies. Employers expressed acute frustration over having to spend prohibitive capital and training time retraining fresh graduates on basic machinery, networking topologies, industrial programming, and enterprise procedures.</w:t>
      </w:r>
    </w:p>
    <w:p>
      <w:pPr>
        <w:spacing w:before="40" w:after="100" w:line="283" w:lineRule="auto"/>
      </w:pPr>
      <w:r>
        <w:rPr>
          <w:rFonts w:ascii="Calibri" w:hAnsi="Calibri"/>
          <w:color w:val="282828"/>
          <w:sz w:val="22"/>
        </w:rPr>
        <w:t>Recognizing that this industrial competency deficit posed an existential threat to national economic modernization, the ITF established the Student Industrial Work Experience Scheme (SIWES) in 1973 with an initial cohort of 748 students drawn from 11 polytechnics and colleges of technology across disciplines in civil, mechanical, and electrical engineering.</w:t>
      </w:r>
    </w:p>
    <w:p>
      <w:pPr>
        <w:spacing w:before="40" w:after="100" w:line="283" w:lineRule="auto"/>
      </w:pPr>
      <w:r>
        <w:rPr>
          <w:rFonts w:ascii="Calibri" w:hAnsi="Calibri"/>
          <w:color w:val="282828"/>
          <w:sz w:val="22"/>
        </w:rPr>
        <w:t>As Nigerian universities expanded their curricula into computer sciences, applied physical sciences, and digital communications, the demand for industrial attachments escalated rapidly. In 1979, overwhelmed by the exponential surge in student enrollment and escalating logistical expenditures, the ITF withdrew from managing the financial bursary component, transferring operational custody to the National Universities Commission (NUC) and NBTE. However, recognizing the administrative friction of fractured coordination, the Federal Government in 1984 restored central coordinating and funding authority back to the ITF under Decree No. 37, while cementing an institutionalized collaborative framework comprising:</w:t>
      </w:r>
    </w:p>
    <w:p>
      <w:pPr>
        <w:pStyle w:val="ListNumber"/>
        <w:spacing w:before="20" w:after="40" w:line="276" w:lineRule="auto"/>
      </w:pPr>
      <w:r>
        <w:rPr>
          <w:rFonts w:ascii="Calibri" w:hAnsi="Calibri"/>
          <w:color w:val="333333"/>
          <w:sz w:val="22"/>
        </w:rPr>
      </w:r>
      <w:r>
        <w:rPr>
          <w:rFonts w:ascii="Calibri" w:hAnsi="Calibri"/>
          <w:b/>
          <w:color w:val="333333"/>
          <w:sz w:val="22"/>
        </w:rPr>
        <w:t>The Industrial Training Fund (ITF):</w:t>
      </w:r>
      <w:r>
        <w:rPr>
          <w:rFonts w:ascii="Calibri" w:hAnsi="Calibri"/>
          <w:color w:val="333333"/>
          <w:sz w:val="22"/>
        </w:rPr>
        <w:t xml:space="preserve"> Retains overall operational coordination, funding administration, establishment of zonal area offices, supervisory on-site audits, and payment of student allowances.</w:t>
      </w:r>
    </w:p>
    <w:p>
      <w:pPr>
        <w:pStyle w:val="ListNumber"/>
        <w:spacing w:before="20" w:after="40" w:line="276" w:lineRule="auto"/>
      </w:pPr>
      <w:r>
        <w:rPr>
          <w:rFonts w:ascii="Calibri" w:hAnsi="Calibri"/>
          <w:color w:val="333333"/>
          <w:sz w:val="22"/>
        </w:rPr>
      </w:r>
      <w:r>
        <w:rPr>
          <w:rFonts w:ascii="Calibri" w:hAnsi="Calibri"/>
          <w:b/>
          <w:color w:val="333333"/>
          <w:sz w:val="22"/>
        </w:rPr>
        <w:t>Regulatory Coordinating Agencies (NUC, NBTE, NCCE):</w:t>
      </w:r>
      <w:r>
        <w:rPr>
          <w:rFonts w:ascii="Calibri" w:hAnsi="Calibri"/>
          <w:color w:val="333333"/>
          <w:sz w:val="22"/>
        </w:rPr>
        <w:t xml:space="preserve"> Formulate academic accreditation standards, ensure participating departments embed practical attachments into credit unit allocations, and harmonize university academic calendars with industrial training windows.</w:t>
      </w:r>
    </w:p>
    <w:p>
      <w:pPr>
        <w:pStyle w:val="ListNumber"/>
        <w:spacing w:before="20" w:after="40" w:line="276" w:lineRule="auto"/>
      </w:pPr>
      <w:r>
        <w:rPr>
          <w:rFonts w:ascii="Calibri" w:hAnsi="Calibri"/>
          <w:color w:val="333333"/>
          <w:sz w:val="22"/>
        </w:rPr>
      </w:r>
      <w:r>
        <w:rPr>
          <w:rFonts w:ascii="Calibri" w:hAnsi="Calibri"/>
          <w:b/>
          <w:color w:val="333333"/>
          <w:sz w:val="22"/>
        </w:rPr>
        <w:t>Tertiary Educational Institutions (Universities, Polytechnics):</w:t>
      </w:r>
      <w:r>
        <w:rPr>
          <w:rFonts w:ascii="Calibri" w:hAnsi="Calibri"/>
          <w:color w:val="333333"/>
          <w:sz w:val="22"/>
        </w:rPr>
        <w:t xml:space="preserve"> Establish dedicated Institutional SIWES Directorates/Coordinating Units, appoint institutional academic supervisors, facilitate placement verification, conduct grading assessments, and liaise with industry.</w:t>
      </w:r>
    </w:p>
    <w:p>
      <w:pPr>
        <w:pStyle w:val="ListNumber"/>
        <w:spacing w:before="20" w:after="40" w:line="276" w:lineRule="auto"/>
      </w:pPr>
      <w:r>
        <w:rPr>
          <w:rFonts w:ascii="Calibri" w:hAnsi="Calibri"/>
          <w:color w:val="333333"/>
          <w:sz w:val="22"/>
        </w:rPr>
      </w:r>
      <w:r>
        <w:rPr>
          <w:rFonts w:ascii="Calibri" w:hAnsi="Calibri"/>
          <w:b/>
          <w:color w:val="333333"/>
          <w:sz w:val="22"/>
        </w:rPr>
        <w:t>Industrial Employers &amp; Corporate Organizations:</w:t>
      </w:r>
      <w:r>
        <w:rPr>
          <w:rFonts w:ascii="Calibri" w:hAnsi="Calibri"/>
          <w:color w:val="333333"/>
          <w:sz w:val="22"/>
        </w:rPr>
        <w:t xml:space="preserve"> Provide production-grade physical facilities, server rooms, software development environments, enterprise networks, assign qualified industry-based supervisors, and mentor students through real engineering assignments.</w:t>
      </w:r>
    </w:p>
    <w:p>
      <w:pPr>
        <w:spacing w:before="40" w:after="100" w:line="283" w:lineRule="auto"/>
      </w:pPr>
      <w:r>
        <w:rPr>
          <w:rFonts w:ascii="Calibri" w:hAnsi="Calibri"/>
          <w:color w:val="282828"/>
          <w:sz w:val="22"/>
        </w:rPr>
        <w:t>Today, SIWES stands as one of the most resilient, impactful national human capital initiatives in sub-Saharan Africa, transitioning from a modest vocational experiment into an enterprise-wide bridge connecting computational theory with scalable industrial execution.</w:t>
      </w:r>
    </w:p>
    <w:p>
      <w:pPr>
        <w:spacing w:before="200" w:after="60"/>
      </w:pPr>
      <w:r>
        <w:rPr>
          <w:rFonts w:ascii="Calibri" w:hAnsi="Calibri"/>
          <w:b/>
          <w:color w:val="2D3748"/>
          <w:sz w:val="25"/>
        </w:rPr>
        <w:t>1.3 VISION STATEMENT OF SIWES</w:t>
      </w:r>
    </w:p>
    <w:p>
      <w:pPr>
        <w:spacing w:before="40" w:after="100" w:line="283" w:lineRule="auto"/>
      </w:pPr>
      <w:r>
        <w:rPr>
          <w:rFonts w:ascii="Calibri" w:hAnsi="Calibri"/>
          <w:color w:val="282828"/>
          <w:sz w:val="22"/>
        </w:rPr>
        <w:t>To be the foremost collaborative institutional framework in Nigeria for bridging the divide between theoretical academic instruction and practical industrial application, producing an agile, highly innovative, and industry-ready graduate workforce capable of catalyzing sustainable national technological and industrial development.</w:t>
      </w:r>
    </w:p>
    <w:p>
      <w:pPr>
        <w:spacing w:before="200" w:after="60"/>
      </w:pPr>
      <w:r>
        <w:rPr>
          <w:rFonts w:ascii="Calibri" w:hAnsi="Calibri"/>
          <w:b/>
          <w:color w:val="2D3748"/>
          <w:sz w:val="25"/>
        </w:rPr>
        <w:t>1.4 MISSION STATEMENT OF SIWES</w:t>
      </w:r>
    </w:p>
    <w:p>
      <w:pPr>
        <w:spacing w:before="40" w:after="100" w:line="283" w:lineRule="auto"/>
      </w:pPr>
      <w:r>
        <w:rPr>
          <w:rFonts w:ascii="Calibri" w:hAnsi="Calibri"/>
          <w:color w:val="282828"/>
          <w:sz w:val="22"/>
        </w:rPr>
        <w:t>To systematically expose and equip undergraduate students of Nigerian tertiary institutions with practical technical competencies, engineering discipline, modern industrial workflows, and professional work ethics through structured, monitored attachments in leading enterprise and public sector organizations, thereby enhancing their immediate employability, entrepreneurial capability, and professional excellence.</w:t>
      </w:r>
    </w:p>
    <w:p>
      <w:pPr>
        <w:spacing w:before="200" w:after="60"/>
      </w:pPr>
      <w:r>
        <w:rPr>
          <w:rFonts w:ascii="Calibri" w:hAnsi="Calibri"/>
          <w:b/>
          <w:color w:val="2D3748"/>
          <w:sz w:val="25"/>
        </w:rPr>
        <w:t>1.5 AIMS OF SIWES</w:t>
      </w:r>
    </w:p>
    <w:p>
      <w:pPr>
        <w:spacing w:before="40" w:after="100" w:line="283" w:lineRule="auto"/>
      </w:pPr>
      <w:r>
        <w:rPr>
          <w:rFonts w:ascii="Calibri" w:hAnsi="Calibri"/>
          <w:color w:val="282828"/>
          <w:sz w:val="22"/>
        </w:rPr>
        <w:t>The primary aims undergirding the establishment and continuous operation of SIWES include:</w:t>
      </w:r>
    </w:p>
    <w:p>
      <w:pPr>
        <w:pStyle w:val="ListBullet"/>
        <w:spacing w:before="20" w:after="40" w:line="276" w:lineRule="auto"/>
      </w:pPr>
      <w:r>
        <w:rPr>
          <w:rFonts w:ascii="Calibri" w:hAnsi="Calibri"/>
          <w:color w:val="333333"/>
          <w:sz w:val="22"/>
        </w:rPr>
      </w:r>
      <w:r>
        <w:rPr>
          <w:rFonts w:ascii="Calibri" w:hAnsi="Calibri"/>
          <w:b/>
          <w:color w:val="333333"/>
          <w:sz w:val="22"/>
        </w:rPr>
        <w:t>Industrial Reality Immersion:</w:t>
      </w:r>
      <w:r>
        <w:rPr>
          <w:rFonts w:ascii="Calibri" w:hAnsi="Calibri"/>
          <w:color w:val="333333"/>
          <w:sz w:val="22"/>
        </w:rPr>
        <w:t xml:space="preserve"> Exposing students directly to the physical machines, complex network topologies, high-availability server racks, and enterprise software ecosystems that cannot be replicated within university instructional laboratories.</w:t>
      </w:r>
    </w:p>
    <w:p>
      <w:pPr>
        <w:pStyle w:val="ListBullet"/>
        <w:spacing w:before="20" w:after="40" w:line="276" w:lineRule="auto"/>
      </w:pPr>
      <w:r>
        <w:rPr>
          <w:rFonts w:ascii="Calibri" w:hAnsi="Calibri"/>
          <w:color w:val="333333"/>
          <w:sz w:val="22"/>
        </w:rPr>
      </w:r>
      <w:r>
        <w:rPr>
          <w:rFonts w:ascii="Calibri" w:hAnsi="Calibri"/>
          <w:b/>
          <w:color w:val="333333"/>
          <w:sz w:val="22"/>
        </w:rPr>
        <w:t>Technological Competency Enhancement:</w:t>
      </w:r>
      <w:r>
        <w:rPr>
          <w:rFonts w:ascii="Calibri" w:hAnsi="Calibri"/>
          <w:color w:val="333333"/>
          <w:sz w:val="22"/>
        </w:rPr>
        <w:t xml:space="preserve"> Accelerating the acquisition of production-level engineering and programming competencies prior to undergraduate graduation.</w:t>
      </w:r>
    </w:p>
    <w:p>
      <w:pPr>
        <w:pStyle w:val="ListBullet"/>
        <w:spacing w:before="20" w:after="40" w:line="276" w:lineRule="auto"/>
      </w:pPr>
      <w:r>
        <w:rPr>
          <w:rFonts w:ascii="Calibri" w:hAnsi="Calibri"/>
          <w:color w:val="333333"/>
          <w:sz w:val="22"/>
        </w:rPr>
      </w:r>
      <w:r>
        <w:rPr>
          <w:rFonts w:ascii="Calibri" w:hAnsi="Calibri"/>
          <w:b/>
          <w:color w:val="333333"/>
          <w:sz w:val="22"/>
        </w:rPr>
        <w:t>Workplace Acculturation:</w:t>
      </w:r>
      <w:r>
        <w:rPr>
          <w:rFonts w:ascii="Calibri" w:hAnsi="Calibri"/>
          <w:color w:val="333333"/>
          <w:sz w:val="22"/>
        </w:rPr>
        <w:t xml:space="preserve"> Imparting corporate culture, operational discipline, risk management protocols, and accountability standards necessary for high-stakes enterprise environments.</w:t>
      </w:r>
    </w:p>
    <w:p>
      <w:pPr>
        <w:pStyle w:val="ListBullet"/>
        <w:spacing w:before="20" w:after="40" w:line="276" w:lineRule="auto"/>
      </w:pPr>
      <w:r>
        <w:rPr>
          <w:rFonts w:ascii="Calibri" w:hAnsi="Calibri"/>
          <w:color w:val="333333"/>
          <w:sz w:val="22"/>
        </w:rPr>
      </w:r>
      <w:r>
        <w:rPr>
          <w:rFonts w:ascii="Calibri" w:hAnsi="Calibri"/>
          <w:b/>
          <w:color w:val="333333"/>
          <w:sz w:val="22"/>
        </w:rPr>
        <w:t>Employability Optimization:</w:t>
      </w:r>
      <w:r>
        <w:rPr>
          <w:rFonts w:ascii="Calibri" w:hAnsi="Calibri"/>
          <w:color w:val="333333"/>
          <w:sz w:val="22"/>
        </w:rPr>
        <w:t xml:space="preserve"> Mitigating graduate unemployment by fostering direct talent discovery pipelines between leading employers and exceptionally competent students during their training.</w:t>
      </w:r>
    </w:p>
    <w:p>
      <w:pPr>
        <w:pStyle w:val="ListBullet"/>
        <w:spacing w:before="20" w:after="40" w:line="276" w:lineRule="auto"/>
      </w:pPr>
      <w:r>
        <w:rPr>
          <w:rFonts w:ascii="Calibri" w:hAnsi="Calibri"/>
          <w:color w:val="333333"/>
          <w:sz w:val="22"/>
        </w:rPr>
      </w:r>
      <w:r>
        <w:rPr>
          <w:rFonts w:ascii="Calibri" w:hAnsi="Calibri"/>
          <w:b/>
          <w:color w:val="333333"/>
          <w:sz w:val="22"/>
        </w:rPr>
        <w:t>Academia-Industry Convergence:</w:t>
      </w:r>
      <w:r>
        <w:rPr>
          <w:rFonts w:ascii="Calibri" w:hAnsi="Calibri"/>
          <w:color w:val="333333"/>
          <w:sz w:val="22"/>
        </w:rPr>
        <w:t xml:space="preserve"> Strengthening feedback loops between industrial practitioners and university curriculum planners, ensuring academic syllabi continuously reflect emerging market technologies such as distributed cloud computing, asynchronous network programming, and cybersecurity.</w:t>
      </w:r>
    </w:p>
    <w:p>
      <w:pPr>
        <w:spacing w:before="200" w:after="60"/>
      </w:pPr>
      <w:r>
        <w:rPr>
          <w:rFonts w:ascii="Calibri" w:hAnsi="Calibri"/>
          <w:b/>
          <w:color w:val="2D3748"/>
          <w:sz w:val="25"/>
        </w:rPr>
        <w:t>1.6 OBJECTIVES OF SIWES</w:t>
      </w:r>
    </w:p>
    <w:p>
      <w:pPr>
        <w:spacing w:before="40" w:after="100" w:line="283" w:lineRule="auto"/>
      </w:pPr>
      <w:r>
        <w:rPr>
          <w:rFonts w:ascii="Calibri" w:hAnsi="Calibri"/>
          <w:color w:val="282828"/>
          <w:sz w:val="22"/>
        </w:rPr>
        <w:t>Specifically, the Student Industrial Work Experience Scheme is structured to accomplish the following measurable learning objectives:</w:t>
      </w:r>
    </w:p>
    <w:p>
      <w:pPr>
        <w:pStyle w:val="ListNumber"/>
        <w:spacing w:before="20" w:after="40" w:line="276" w:lineRule="auto"/>
      </w:pPr>
      <w:r>
        <w:rPr>
          <w:rFonts w:ascii="Calibri" w:hAnsi="Calibri"/>
          <w:color w:val="333333"/>
          <w:sz w:val="22"/>
        </w:rPr>
        <w:t>Provide students with direct avenues to apply theoretical paradigms learned in computational theory, computer networks, database systems, and algorithms to real-world industrial systems.</w:t>
      </w:r>
    </w:p>
    <w:p>
      <w:pPr>
        <w:pStyle w:val="ListNumber"/>
        <w:spacing w:before="20" w:after="40" w:line="276" w:lineRule="auto"/>
      </w:pPr>
      <w:r>
        <w:rPr>
          <w:rFonts w:ascii="Calibri" w:hAnsi="Calibri"/>
          <w:color w:val="333333"/>
          <w:sz w:val="22"/>
        </w:rPr>
        <w:t>Cultivate mastery over industrial-grade development stacks, command-line interfaces, network operating systems, enterprise firewalls, and server hypervisors.</w:t>
      </w:r>
    </w:p>
    <w:p>
      <w:pPr>
        <w:pStyle w:val="ListNumber"/>
        <w:spacing w:before="20" w:after="40" w:line="276" w:lineRule="auto"/>
      </w:pPr>
      <w:r>
        <w:rPr>
          <w:rFonts w:ascii="Calibri" w:hAnsi="Calibri"/>
          <w:color w:val="333333"/>
          <w:sz w:val="22"/>
        </w:rPr>
        <w:t>Familiarize students with the organizational hierarchy, administrative procedures, data governance policies, and statutory compliance regulations governing public and private corporate bodies.</w:t>
      </w:r>
    </w:p>
    <w:p>
      <w:pPr>
        <w:pStyle w:val="ListNumber"/>
        <w:spacing w:before="20" w:after="40" w:line="276" w:lineRule="auto"/>
      </w:pPr>
      <w:r>
        <w:rPr>
          <w:rFonts w:ascii="Calibri" w:hAnsi="Calibri"/>
          <w:color w:val="333333"/>
          <w:sz w:val="22"/>
        </w:rPr>
        <w:t>Instill a deep sense of engineering ethics, intellectual rigor, security consciousness, and operational safety within corporate datacenters and software production environments.</w:t>
      </w:r>
    </w:p>
    <w:p>
      <w:pPr>
        <w:pStyle w:val="ListNumber"/>
        <w:spacing w:before="20" w:after="40" w:line="276" w:lineRule="auto"/>
      </w:pPr>
      <w:r>
        <w:rPr>
          <w:rFonts w:ascii="Calibri" w:hAnsi="Calibri"/>
          <w:color w:val="333333"/>
          <w:sz w:val="22"/>
        </w:rPr>
        <w:t>Enhance cross-functional communication, technical documentation, public presentation, and collaborative problem-solving skills within multi-disciplinary engineering and auditing teams.</w:t>
      </w:r>
    </w:p>
    <w:p>
      <w:pPr>
        <w:pStyle w:val="ListNumber"/>
        <w:spacing w:before="20" w:after="40" w:line="276" w:lineRule="auto"/>
      </w:pPr>
      <w:r>
        <w:rPr>
          <w:rFonts w:ascii="Calibri" w:hAnsi="Calibri"/>
          <w:color w:val="333333"/>
          <w:sz w:val="22"/>
        </w:rPr>
        <w:t>Provide students with practical insights into specialized career pathways—including Systems Programming, Cloud Infrastructure Engineering, DevSecOps, and Distributed Systems Architecture—enabling strategic career positioning ahead of graduation.</w:t>
      </w:r>
    </w:p>
    <w:p>
      <w:r>
        <w:br w:type="page"/>
      </w:r>
    </w:p>
    <w:p>
      <w:pPr>
        <w:spacing w:before="280" w:after="120"/>
      </w:pPr>
      <w:r>
        <w:rPr>
          <w:rFonts w:ascii="Calibri" w:hAnsi="Calibri"/>
          <w:b/>
          <w:color w:val="0F172A"/>
          <w:sz w:val="36"/>
        </w:rPr>
        <w:t>CHAPTER TWO (2)</w:t>
      </w:r>
    </w:p>
    <w:p>
      <w:pPr>
        <w:spacing w:before="240" w:after="80"/>
      </w:pPr>
      <w:r>
        <w:rPr>
          <w:rFonts w:ascii="Calibri" w:hAnsi="Calibri"/>
          <w:b/>
          <w:color w:val="1F4E79"/>
          <w:sz w:val="30"/>
        </w:rPr>
        <w:t>BRIEF HISTORY OF THE SIWES ORGANIZATION</w:t>
      </w:r>
    </w:p>
    <w:p>
      <w:pPr>
        <w:spacing w:before="200" w:after="60"/>
      </w:pPr>
      <w:r>
        <w:rPr>
          <w:rFonts w:ascii="Calibri" w:hAnsi="Calibri"/>
          <w:b/>
          <w:color w:val="2D3748"/>
          <w:sz w:val="25"/>
        </w:rPr>
        <w:t>(AKWA IBOM STATE INTERNAL REVENUE SERVICE — AKIRS)</w:t>
      </w:r>
    </w:p>
    <w:p>
      <w:pPr>
        <w:spacing w:before="200" w:after="60"/>
      </w:pPr>
      <w:r>
        <w:rPr>
          <w:rFonts w:ascii="Calibri" w:hAnsi="Calibri"/>
          <w:b/>
          <w:color w:val="2D3748"/>
          <w:sz w:val="25"/>
        </w:rPr>
        <w:t>2.0 INTRODUCTION</w:t>
      </w:r>
    </w:p>
    <w:p>
      <w:pPr>
        <w:spacing w:before="40" w:after="100" w:line="283" w:lineRule="auto"/>
      </w:pPr>
      <w:r>
        <w:rPr>
          <w:rFonts w:ascii="Calibri" w:hAnsi="Calibri"/>
          <w:color w:val="282828"/>
          <w:sz w:val="22"/>
        </w:rPr>
        <w:t>The Akwa Ibom State Internal Revenue Service (AKIRS) is the apex subnational statutory agency responsible for the assessment, collection, accounting, and enforcement of all Internally Generated Revenue (IGR) across Akwa Ibom State, Nigeria. Headquartered at the landmark Revenue House, Banking District, Uyo, AKIRS operates as the financial lifeblood of the Akwa Ibom State Government, mobilizing domestic non-oil financial resources essential for executing public capital projects, health services, industrial infrastructure, and social welfare programmes.</w:t>
      </w:r>
    </w:p>
    <w:p>
      <w:pPr>
        <w:spacing w:before="40" w:after="100" w:line="283" w:lineRule="auto"/>
      </w:pPr>
      <w:r>
        <w:rPr>
          <w:rFonts w:ascii="Calibri" w:hAnsi="Calibri"/>
          <w:color w:val="282828"/>
          <w:sz w:val="22"/>
        </w:rPr>
        <w:t xml:space="preserve">In contemporary public finance administration, revenue generation has shifted decisively from manual ledger bookkeeping, ad-hoc physical tax raids, and paper-based receipting toward high-availability digital datacenters, automated banking data reconciliations, real-time taxpayer identification networks, and distributed software systems. To meet these demands, AKIRS serves as a flagship subnational participant in the nationwide </w:t>
      </w:r>
      <w:r>
        <w:rPr>
          <w:rFonts w:ascii="Calibri" w:hAnsi="Calibri"/>
          <w:b/>
          <w:color w:val="282828"/>
          <w:sz w:val="22"/>
        </w:rPr>
        <w:t>Joint Revenue Board (JRB) Digital Infrastructure Programme</w:t>
      </w:r>
      <w:r>
        <w:rPr>
          <w:rFonts w:ascii="Calibri" w:hAnsi="Calibri"/>
          <w:color w:val="282828"/>
          <w:sz w:val="22"/>
        </w:rPr>
        <w:t>, establishing enterprise-grade on-premise datacenter capabilities and advanced tax intelligence pipelines.</w:t>
      </w:r>
    </w:p>
    <w:p>
      <w:pPr>
        <w:spacing w:before="40" w:after="100" w:line="283" w:lineRule="auto"/>
      </w:pPr>
      <w:r>
        <w:rPr>
          <w:rFonts w:ascii="Calibri" w:hAnsi="Calibri"/>
          <w:color w:val="282828"/>
          <w:sz w:val="22"/>
        </w:rPr>
        <w:t xml:space="preserve">During the six-month industrial attachment, technical duties were performed within the </w:t>
      </w:r>
      <w:r>
        <w:rPr>
          <w:rFonts w:ascii="Calibri" w:hAnsi="Calibri"/>
          <w:b/>
          <w:color w:val="282828"/>
          <w:sz w:val="22"/>
        </w:rPr>
        <w:t>Directorate of Information and Communication Technology (ICT) and Tax Intelligence Unit</w:t>
      </w:r>
      <w:r>
        <w:rPr>
          <w:rFonts w:ascii="Calibri" w:hAnsi="Calibri"/>
          <w:color w:val="282828"/>
          <w:sz w:val="22"/>
        </w:rPr>
        <w:t xml:space="preserve"> at the AKIRS Headquarters, interfacing directly with enterprise hardware, virtualization fabrics, network security appliances, and internal software automation pipelines.</w:t>
      </w:r>
    </w:p>
    <w:p>
      <w:pPr>
        <w:spacing w:before="200" w:after="60"/>
      </w:pPr>
      <w:r>
        <w:rPr>
          <w:rFonts w:ascii="Calibri" w:hAnsi="Calibri"/>
          <w:b/>
          <w:color w:val="2D3748"/>
          <w:sz w:val="25"/>
        </w:rPr>
        <w:t>2.1 ABOUT AKIRS</w:t>
      </w:r>
    </w:p>
    <w:p>
      <w:pPr>
        <w:spacing w:before="40" w:after="100" w:line="283" w:lineRule="auto"/>
      </w:pPr>
      <w:r>
        <w:rPr>
          <w:rFonts w:ascii="Calibri" w:hAnsi="Calibri"/>
          <w:color w:val="282828"/>
          <w:sz w:val="22"/>
        </w:rPr>
        <w:t>The Akwa Ibom State Internal Revenue Service was formally established pursuant to the statutory provisions of the Akwa Ibom State Revenue Administration Law (as amended). Prior to its statutory modernization as an autonomous executive agency, revenue collection in the state was conducted under the administrative framework of a civil service board within the Ministry of Finance. However, in alignment with national tax policy reforms advocated by the Joint Tax Board (JTB) and international developmental benchmarks, the State Legislature enacted legislation conferring administrative and operational autonomy upon AKIRS.</w:t>
      </w:r>
    </w:p>
    <w:p>
      <w:pPr>
        <w:spacing w:before="40" w:after="100" w:line="283" w:lineRule="auto"/>
      </w:pPr>
      <w:r>
        <w:rPr>
          <w:rFonts w:ascii="Calibri" w:hAnsi="Calibri"/>
          <w:color w:val="282828"/>
          <w:sz w:val="22"/>
        </w:rPr>
        <w:t>Under this legal framework, AKIRS is governed by an Executive Chairman and an Executive Board of Directors appointed by the State Governor, supported by seasoned tax administrators, forensic accountants, software engineers, systems architects, and legal practitioners.</w:t>
      </w:r>
    </w:p>
    <w:p>
      <w:pPr>
        <w:spacing w:before="40" w:after="100" w:line="283" w:lineRule="auto"/>
      </w:pPr>
      <w:r>
        <w:rPr>
          <w:rFonts w:ascii="Calibri" w:hAnsi="Calibri"/>
          <w:color w:val="282828"/>
          <w:sz w:val="22"/>
        </w:rPr>
        <w:t xml:space="preserve">Operationally, AKIRS spans the entire geographic expanse of Akwa Ibom State, administering revenue collection across thirty-one (31) Local Government Areas (LGAs) through a network of decentralized Area Tax Offices, Motor Licensing Authorities (MLAs), and specialized assessment centers located in major economic hubs including Uyo, Eket, Ikot Ekpene, Oron, and Ikot Abasi. </w:t>
      </w:r>
    </w:p>
    <w:p>
      <w:pPr>
        <w:spacing w:before="40" w:after="100" w:line="283" w:lineRule="auto"/>
      </w:pPr>
      <w:r>
        <w:rPr>
          <w:rFonts w:ascii="Calibri" w:hAnsi="Calibri"/>
          <w:color w:val="282828"/>
          <w:sz w:val="22"/>
        </w:rPr>
        <w:t>Key revenue streams administered by the Service include:</w:t>
      </w:r>
    </w:p>
    <w:p>
      <w:pPr>
        <w:pStyle w:val="ListBullet"/>
        <w:spacing w:before="20" w:after="40" w:line="276" w:lineRule="auto"/>
      </w:pPr>
      <w:r>
        <w:rPr>
          <w:rFonts w:ascii="Calibri" w:hAnsi="Calibri"/>
          <w:color w:val="333333"/>
          <w:sz w:val="22"/>
        </w:rPr>
      </w:r>
      <w:r>
        <w:rPr>
          <w:rFonts w:ascii="Calibri" w:hAnsi="Calibri"/>
          <w:b/>
          <w:color w:val="333333"/>
          <w:sz w:val="22"/>
        </w:rPr>
        <w:t>Personal Income Tax (PIT):</w:t>
      </w:r>
      <w:r>
        <w:rPr>
          <w:rFonts w:ascii="Calibri" w:hAnsi="Calibri"/>
          <w:color w:val="333333"/>
          <w:sz w:val="22"/>
        </w:rPr>
        <w:t xml:space="preserve"> Encompassing the Pay-As-You-Earn (PAYE) deductions from formal public and private sector employees, as well as direct assessments levied on self-employed individuals, sole proprietorships, and informal commercial operators.</w:t>
      </w:r>
    </w:p>
    <w:p>
      <w:pPr>
        <w:pStyle w:val="ListBullet"/>
        <w:spacing w:before="20" w:after="40" w:line="276" w:lineRule="auto"/>
      </w:pPr>
      <w:r>
        <w:rPr>
          <w:rFonts w:ascii="Calibri" w:hAnsi="Calibri"/>
          <w:color w:val="333333"/>
          <w:sz w:val="22"/>
        </w:rPr>
      </w:r>
      <w:r>
        <w:rPr>
          <w:rFonts w:ascii="Calibri" w:hAnsi="Calibri"/>
          <w:b/>
          <w:color w:val="333333"/>
          <w:sz w:val="22"/>
        </w:rPr>
        <w:t>Withholding Tax (WHT):</w:t>
      </w:r>
      <w:r>
        <w:rPr>
          <w:rFonts w:ascii="Calibri" w:hAnsi="Calibri"/>
          <w:color w:val="333333"/>
          <w:sz w:val="22"/>
        </w:rPr>
        <w:t xml:space="preserve"> Statutory advance deductions on investment income, contracts, dividends, consultancies, and commercial transactions.</w:t>
      </w:r>
    </w:p>
    <w:p>
      <w:pPr>
        <w:pStyle w:val="ListBullet"/>
        <w:spacing w:before="20" w:after="40" w:line="276" w:lineRule="auto"/>
      </w:pPr>
      <w:r>
        <w:rPr>
          <w:rFonts w:ascii="Calibri" w:hAnsi="Calibri"/>
          <w:color w:val="333333"/>
          <w:sz w:val="22"/>
        </w:rPr>
      </w:r>
      <w:r>
        <w:rPr>
          <w:rFonts w:ascii="Calibri" w:hAnsi="Calibri"/>
          <w:b/>
          <w:color w:val="333333"/>
          <w:sz w:val="22"/>
        </w:rPr>
        <w:t>Capital Gains Tax (CGT):</w:t>
      </w:r>
      <w:r>
        <w:rPr>
          <w:rFonts w:ascii="Calibri" w:hAnsi="Calibri"/>
          <w:color w:val="333333"/>
          <w:sz w:val="22"/>
        </w:rPr>
        <w:t xml:space="preserve"> Assessments on capital profits realized from the disposal of commercial and landed assets.</w:t>
      </w:r>
    </w:p>
    <w:p>
      <w:pPr>
        <w:pStyle w:val="ListBullet"/>
        <w:spacing w:before="20" w:after="40" w:line="276" w:lineRule="auto"/>
      </w:pPr>
      <w:r>
        <w:rPr>
          <w:rFonts w:ascii="Calibri" w:hAnsi="Calibri"/>
          <w:color w:val="333333"/>
          <w:sz w:val="22"/>
        </w:rPr>
      </w:r>
      <w:r>
        <w:rPr>
          <w:rFonts w:ascii="Calibri" w:hAnsi="Calibri"/>
          <w:b/>
          <w:color w:val="333333"/>
          <w:sz w:val="22"/>
        </w:rPr>
        <w:t>Stamp Duties:</w:t>
      </w:r>
      <w:r>
        <w:rPr>
          <w:rFonts w:ascii="Calibri" w:hAnsi="Calibri"/>
          <w:color w:val="333333"/>
          <w:sz w:val="22"/>
        </w:rPr>
        <w:t xml:space="preserve"> Legal adjudication, stamping, and registration of formal legal deeds, agreements, and corporate documentation.</w:t>
      </w:r>
    </w:p>
    <w:p>
      <w:pPr>
        <w:pStyle w:val="ListBullet"/>
        <w:spacing w:before="20" w:after="40" w:line="276" w:lineRule="auto"/>
      </w:pPr>
      <w:r>
        <w:rPr>
          <w:rFonts w:ascii="Calibri" w:hAnsi="Calibri"/>
          <w:color w:val="333333"/>
          <w:sz w:val="22"/>
        </w:rPr>
      </w:r>
      <w:r>
        <w:rPr>
          <w:rFonts w:ascii="Calibri" w:hAnsi="Calibri"/>
          <w:b/>
          <w:color w:val="333333"/>
          <w:sz w:val="22"/>
        </w:rPr>
        <w:t>Road Taxes &amp; Licensing Fees:</w:t>
      </w:r>
      <w:r>
        <w:rPr>
          <w:rFonts w:ascii="Calibri" w:hAnsi="Calibri"/>
          <w:color w:val="333333"/>
          <w:sz w:val="22"/>
        </w:rPr>
        <w:t xml:space="preserve"> Vehicle registrations, driver licensing validation, road haulage permits, and maritime transport levies.</w:t>
      </w:r>
    </w:p>
    <w:p>
      <w:pPr>
        <w:pStyle w:val="ListBullet"/>
        <w:spacing w:before="20" w:after="40" w:line="276" w:lineRule="auto"/>
      </w:pPr>
      <w:r>
        <w:rPr>
          <w:rFonts w:ascii="Calibri" w:hAnsi="Calibri"/>
          <w:color w:val="333333"/>
          <w:sz w:val="22"/>
        </w:rPr>
      </w:r>
      <w:r>
        <w:rPr>
          <w:rFonts w:ascii="Calibri" w:hAnsi="Calibri"/>
          <w:b/>
          <w:color w:val="333333"/>
          <w:sz w:val="22"/>
        </w:rPr>
        <w:t>Land &amp; Property Use Charges:</w:t>
      </w:r>
      <w:r>
        <w:rPr>
          <w:rFonts w:ascii="Calibri" w:hAnsi="Calibri"/>
          <w:color w:val="333333"/>
          <w:sz w:val="22"/>
        </w:rPr>
        <w:t xml:space="preserve"> Ground rents, development levies, and commercial property occupancy assessments.</w:t>
      </w:r>
    </w:p>
    <w:p>
      <w:pPr>
        <w:spacing w:before="200" w:after="60"/>
      </w:pPr>
      <w:r>
        <w:rPr>
          <w:rFonts w:ascii="Calibri" w:hAnsi="Calibri"/>
          <w:b/>
          <w:color w:val="2D3748"/>
          <w:sz w:val="25"/>
        </w:rPr>
        <w:t>2.2 CURRENT MODERNIZATION AND TECHNOLOGY PROGRAMMES</w:t>
      </w:r>
    </w:p>
    <w:p>
      <w:pPr>
        <w:spacing w:before="40" w:after="100" w:line="283" w:lineRule="auto"/>
      </w:pPr>
      <w:r>
        <w:rPr>
          <w:rFonts w:ascii="Calibri" w:hAnsi="Calibri"/>
          <w:color w:val="282828"/>
          <w:sz w:val="22"/>
        </w:rPr>
        <w:t>In response to escalating public expenditure requirements and fluctuating federal statutory revenue allocations, AKIRS has embarked on an ambitious institutional transformation grounded in computational automation, high-performance computing, and distributed data systems.</w:t>
      </w:r>
    </w:p>
    <w:p>
      <w:pPr>
        <w:spacing w:before="160" w:after="40"/>
      </w:pPr>
      <w:r>
        <w:rPr>
          <w:rFonts w:ascii="Calibri" w:hAnsi="Calibri"/>
          <w:b/>
          <w:color w:val="475569"/>
          <w:sz w:val="23"/>
        </w:rPr>
        <w:t>2.2.1 Joint Revenue Board (JRB) Digital Infrastructure Programme</w:t>
      </w:r>
    </w:p>
    <w:p>
      <w:pPr>
        <w:spacing w:before="40" w:after="100" w:line="283" w:lineRule="auto"/>
      </w:pPr>
      <w:r>
        <w:rPr>
          <w:rFonts w:ascii="Calibri" w:hAnsi="Calibri"/>
          <w:color w:val="282828"/>
          <w:sz w:val="22"/>
        </w:rPr>
        <w:t>The Joint Revenue Board (JRB) Digital Infrastructure Programme is a federal-subnational collaborative tax reform initiative aimed at unifying and modernizing the digital infrastructure of subnational revenue authorities across Nigeria. By deploying standardized, enterprise-grade physical and virtualized infrastructure across state nodes, the JRB programme eliminates fragmented legacy systems and connects state revenue services to a synchronized national tax data highway.</w:t>
      </w:r>
    </w:p>
    <w:p>
      <w:pPr>
        <w:spacing w:before="40" w:after="100" w:line="283" w:lineRule="auto"/>
      </w:pPr>
      <w:r>
        <w:rPr>
          <w:rFonts w:ascii="Calibri" w:hAnsi="Calibri"/>
          <w:color w:val="282828"/>
          <w:sz w:val="22"/>
        </w:rPr>
        <w:t>Under this initiative, AKIRS received an enterprise-grade hardware and software deployment configured to replicate the architectural rigor of national tier-3 datacenters (such as the Equinix Colocation Datacenter node in Lagos). This deployment ensures that state tax data is protected by enterprise perimeter security, automated replication, offsite failover, and continuous auditing.</w:t>
      </w:r>
    </w:p>
    <w:p>
      <w:pPr>
        <w:spacing w:before="160" w:after="40"/>
      </w:pPr>
      <w:r>
        <w:rPr>
          <w:rFonts w:ascii="Calibri" w:hAnsi="Calibri"/>
          <w:b/>
          <w:color w:val="475569"/>
          <w:sz w:val="23"/>
        </w:rPr>
        <w:t>2.2.2 Datacenter Infrastructure Node and Subnational Tax Modernization</w:t>
      </w:r>
    </w:p>
    <w:p>
      <w:pPr>
        <w:spacing w:before="40" w:after="100" w:line="283" w:lineRule="auto"/>
      </w:pPr>
      <w:r>
        <w:rPr>
          <w:rFonts w:ascii="Calibri" w:hAnsi="Calibri"/>
          <w:color w:val="282828"/>
          <w:sz w:val="22"/>
        </w:rPr>
        <w:t>As part of the JRB Digital Infrastructure Programme, AKIRS commissioned a dedicated, high-availability local datacenter node at its headquarters. The infrastructure deployed is designed for 99.99% operational uptime and comprises:</w:t>
      </w:r>
    </w:p>
    <w:p>
      <w:pPr>
        <w:pStyle w:val="ListBullet"/>
        <w:spacing w:before="20" w:after="40" w:line="276" w:lineRule="auto"/>
      </w:pPr>
      <w:r>
        <w:rPr>
          <w:rFonts w:ascii="Calibri" w:hAnsi="Calibri"/>
          <w:color w:val="333333"/>
          <w:sz w:val="22"/>
        </w:rPr>
      </w:r>
      <w:r>
        <w:rPr>
          <w:rFonts w:ascii="Calibri" w:hAnsi="Calibri"/>
          <w:b/>
          <w:color w:val="333333"/>
          <w:sz w:val="22"/>
        </w:rPr>
        <w:t>Enterprise Compute Cluster:</w:t>
      </w:r>
      <w:r>
        <w:rPr>
          <w:rFonts w:ascii="Calibri" w:hAnsi="Calibri"/>
          <w:color w:val="333333"/>
          <w:sz w:val="22"/>
        </w:rPr>
        <w:t xml:space="preserve"> Two (2) HPE ProLiant DL380 Gen11 rack servers powered by dual Intel Xeon Scalable processors, providing high-density virtualization compute.</w:t>
      </w:r>
    </w:p>
    <w:p>
      <w:pPr>
        <w:pStyle w:val="ListBullet"/>
        <w:spacing w:before="20" w:after="40" w:line="276" w:lineRule="auto"/>
      </w:pPr>
      <w:r>
        <w:rPr>
          <w:rFonts w:ascii="Calibri" w:hAnsi="Calibri"/>
          <w:color w:val="333333"/>
          <w:sz w:val="22"/>
        </w:rPr>
      </w:r>
      <w:r>
        <w:rPr>
          <w:rFonts w:ascii="Calibri" w:hAnsi="Calibri"/>
          <w:b/>
          <w:color w:val="333333"/>
          <w:sz w:val="22"/>
        </w:rPr>
        <w:t>Virtualization Fabric:</w:t>
      </w:r>
      <w:r>
        <w:rPr>
          <w:rFonts w:ascii="Calibri" w:hAnsi="Calibri"/>
          <w:color w:val="333333"/>
          <w:sz w:val="22"/>
        </w:rPr>
        <w:t xml:space="preserve"> VMware vSphere Hypervisor (ESXi 8.0) managed via VMware vCenter Server Appliance (VCSA), orchestrating resource clusters, dynamic load balancing, and high availability (HA).</w:t>
      </w:r>
    </w:p>
    <w:p>
      <w:pPr>
        <w:pStyle w:val="ListBullet"/>
        <w:spacing w:before="20" w:after="40" w:line="276" w:lineRule="auto"/>
      </w:pPr>
      <w:r>
        <w:rPr>
          <w:rFonts w:ascii="Calibri" w:hAnsi="Calibri"/>
          <w:color w:val="333333"/>
          <w:sz w:val="22"/>
        </w:rPr>
      </w:r>
      <w:r>
        <w:rPr>
          <w:rFonts w:ascii="Calibri" w:hAnsi="Calibri"/>
          <w:b/>
          <w:color w:val="333333"/>
          <w:sz w:val="22"/>
        </w:rPr>
        <w:t>Perimeter Defense &amp; Routing:</w:t>
      </w:r>
      <w:r>
        <w:rPr>
          <w:rFonts w:ascii="Calibri" w:hAnsi="Calibri"/>
          <w:color w:val="333333"/>
          <w:sz w:val="22"/>
        </w:rPr>
        <w:t xml:space="preserve"> Sophos XGS 138 Next-Generation Firewall (NGFW) executing deep packet inspection (DPI), stateful policy enforcement, intrusion prevention (IPS), and redundant WAN routing.</w:t>
      </w:r>
    </w:p>
    <w:p>
      <w:pPr>
        <w:pStyle w:val="ListBullet"/>
        <w:spacing w:before="20" w:after="40" w:line="276" w:lineRule="auto"/>
      </w:pPr>
      <w:r>
        <w:rPr>
          <w:rFonts w:ascii="Calibri" w:hAnsi="Calibri"/>
          <w:color w:val="333333"/>
          <w:sz w:val="22"/>
        </w:rPr>
      </w:r>
      <w:r>
        <w:rPr>
          <w:rFonts w:ascii="Calibri" w:hAnsi="Calibri"/>
          <w:b/>
          <w:color w:val="333333"/>
          <w:sz w:val="22"/>
        </w:rPr>
        <w:t>Core &amp; Distribution Switching:</w:t>
      </w:r>
      <w:r>
        <w:rPr>
          <w:rFonts w:ascii="Calibri" w:hAnsi="Calibri"/>
          <w:color w:val="333333"/>
          <w:sz w:val="22"/>
        </w:rPr>
        <w:t xml:space="preserve"> Cisco Catalyst 1300 enterprise managed switches implementing IEEE 802.1Q VLAN segmentation, port security, and gigabit wire-speed backplane switching.</w:t>
      </w:r>
    </w:p>
    <w:p>
      <w:pPr>
        <w:pStyle w:val="ListBullet"/>
        <w:spacing w:before="20" w:after="40" w:line="276" w:lineRule="auto"/>
      </w:pPr>
      <w:r>
        <w:rPr>
          <w:rFonts w:ascii="Calibri" w:hAnsi="Calibri"/>
          <w:color w:val="333333"/>
          <w:sz w:val="22"/>
        </w:rPr>
      </w:r>
      <w:r>
        <w:rPr>
          <w:rFonts w:ascii="Calibri" w:hAnsi="Calibri"/>
          <w:b/>
          <w:color w:val="333333"/>
          <w:sz w:val="22"/>
        </w:rPr>
        <w:t>Unified Network Attached Storage (NAS):</w:t>
      </w:r>
      <w:r>
        <w:rPr>
          <w:rFonts w:ascii="Calibri" w:hAnsi="Calibri"/>
          <w:color w:val="333333"/>
          <w:sz w:val="22"/>
        </w:rPr>
        <w:t xml:space="preserve"> Synology DSM Enterprise NAS operating a hardware RAID 5 array with NVMe SSD read/write acceleration, housing multi-terabyte virtual disk datastores and database backups.</w:t>
      </w:r>
    </w:p>
    <w:p>
      <w:pPr>
        <w:pStyle w:val="ListBullet"/>
        <w:spacing w:before="20" w:after="40" w:line="276" w:lineRule="auto"/>
      </w:pPr>
      <w:r>
        <w:rPr>
          <w:rFonts w:ascii="Calibri" w:hAnsi="Calibri"/>
          <w:color w:val="333333"/>
          <w:sz w:val="22"/>
        </w:rPr>
      </w:r>
      <w:r>
        <w:rPr>
          <w:rFonts w:ascii="Calibri" w:hAnsi="Calibri"/>
          <w:b/>
          <w:color w:val="333333"/>
          <w:sz w:val="22"/>
        </w:rPr>
        <w:t>Disaster Recovery &amp; Business Continuity:</w:t>
      </w:r>
      <w:r>
        <w:rPr>
          <w:rFonts w:ascii="Calibri" w:hAnsi="Calibri"/>
          <w:color w:val="333333"/>
          <w:sz w:val="22"/>
        </w:rPr>
        <w:t xml:space="preserve"> Veeam Backup &amp; Replication enterprise platform executing automated, application-aware image backups of all production virtual machines with encrypted offsite replication.</w:t>
      </w:r>
    </w:p>
    <w:p>
      <w:pPr>
        <w:pStyle w:val="ListBullet"/>
        <w:spacing w:before="20" w:after="40" w:line="276" w:lineRule="auto"/>
      </w:pPr>
      <w:r>
        <w:rPr>
          <w:rFonts w:ascii="Calibri" w:hAnsi="Calibri"/>
          <w:color w:val="333333"/>
          <w:sz w:val="22"/>
        </w:rPr>
      </w:r>
      <w:r>
        <w:rPr>
          <w:rFonts w:ascii="Calibri" w:hAnsi="Calibri"/>
          <w:b/>
          <w:color w:val="333333"/>
          <w:sz w:val="22"/>
        </w:rPr>
        <w:t>Resilient Internet Redundancy:</w:t>
      </w:r>
      <w:r>
        <w:rPr>
          <w:rFonts w:ascii="Calibri" w:hAnsi="Calibri"/>
          <w:color w:val="333333"/>
          <w:sz w:val="22"/>
        </w:rPr>
        <w:t xml:space="preserve"> Hybrid WAN architecture combining high-speed terrestrial fiber with low-latency Starlink Low-Earth Orbit (LEO) satellite communications, guaranteeing uninterrupted tax processing during terrestrial fiber severance.</w:t>
      </w:r>
    </w:p>
    <w:p>
      <w:pPr>
        <w:spacing w:before="160" w:after="40"/>
      </w:pPr>
      <w:r>
        <w:rPr>
          <w:rFonts w:ascii="Calibri" w:hAnsi="Calibri"/>
          <w:b/>
          <w:color w:val="475569"/>
          <w:sz w:val="23"/>
        </w:rPr>
        <w:t>2.2.3 Electronic Tax Intelligence Gathering and Automated Compliance Systems</w:t>
      </w:r>
    </w:p>
    <w:p>
      <w:pPr>
        <w:spacing w:before="40" w:after="100" w:line="283" w:lineRule="auto"/>
      </w:pPr>
      <w:r>
        <w:rPr>
          <w:rFonts w:ascii="Calibri" w:hAnsi="Calibri"/>
          <w:color w:val="282828"/>
          <w:sz w:val="22"/>
        </w:rPr>
        <w:t>To counteract widespread tax evasion in the informal commercial sector and online digital economy, the ICT and Tax Intelligence Directorate developed custom software systems:</w:t>
      </w:r>
    </w:p>
    <w:p>
      <w:pPr>
        <w:pStyle w:val="ListBullet"/>
        <w:spacing w:before="20" w:after="40" w:line="276" w:lineRule="auto"/>
      </w:pPr>
      <w:r>
        <w:rPr>
          <w:rFonts w:ascii="Calibri" w:hAnsi="Calibri"/>
          <w:color w:val="333333"/>
          <w:sz w:val="22"/>
        </w:rPr>
      </w:r>
      <w:r>
        <w:rPr>
          <w:rFonts w:ascii="Calibri" w:hAnsi="Calibri"/>
          <w:b/>
          <w:color w:val="333333"/>
          <w:sz w:val="22"/>
        </w:rPr>
        <w:t>The AKIRS Automated Reconnaissance Engine (`akirs-auto`):</w:t>
      </w:r>
      <w:r>
        <w:rPr>
          <w:rFonts w:ascii="Calibri" w:hAnsi="Calibri"/>
          <w:color w:val="333333"/>
          <w:sz w:val="22"/>
        </w:rPr>
        <w:t xml:space="preserve"> An asynchronous web intelligence and OSINT (Open Source Intelligence) pipeline built in Python and Playwright. The system autonomously monitors digital commerce by scraping commercial advertisements from the Meta/Facebook Ads Library geo-targeted across Akwa Ibom State, extracting business identifiers, and performing multi-tiered enrichment (phone numbers, physical addresses, corporate registry filings) to identify unregistered commercial enterprises.</w:t>
      </w:r>
    </w:p>
    <w:p>
      <w:pPr>
        <w:pStyle w:val="ListBullet"/>
        <w:spacing w:before="20" w:after="40" w:line="276" w:lineRule="auto"/>
      </w:pPr>
      <w:r>
        <w:rPr>
          <w:rFonts w:ascii="Calibri" w:hAnsi="Calibri"/>
          <w:color w:val="333333"/>
          <w:sz w:val="22"/>
        </w:rPr>
      </w:r>
      <w:r>
        <w:rPr>
          <w:rFonts w:ascii="Calibri" w:hAnsi="Calibri"/>
          <w:b/>
          <w:color w:val="333333"/>
          <w:sz w:val="22"/>
        </w:rPr>
        <w:t>The Batch Bank Data Normalization &amp; Ingestion Platform (`akirs-data-cleaner`):</w:t>
      </w:r>
      <w:r>
        <w:rPr>
          <w:rFonts w:ascii="Calibri" w:hAnsi="Calibri"/>
          <w:color w:val="333333"/>
          <w:sz w:val="22"/>
        </w:rPr>
        <w:t xml:space="preserve"> A high-throughput FastAPI and OpenPyXL data migration pipeline engineered to ingest heterogeneous, non-standardized monthly banking spreadsheets from commercial financial institutions. The system programmatically validates 10-digit NUBAN checksums, verifies State Taxpayer Identification Numbers (TIN), resolves customer duplicate records, and filters accounts belonging strictly to Akwa Ibom State tax jurisdictions.</w:t>
      </w:r>
    </w:p>
    <w:p>
      <w:pPr>
        <w:spacing w:before="200" w:after="60"/>
      </w:pPr>
      <w:r>
        <w:rPr>
          <w:rFonts w:ascii="Calibri" w:hAnsi="Calibri"/>
          <w:b/>
          <w:color w:val="2D3748"/>
          <w:sz w:val="25"/>
        </w:rPr>
        <w:t>2.3 MANDATE OF AKIRS</w:t>
      </w:r>
    </w:p>
    <w:p>
      <w:pPr>
        <w:spacing w:before="40" w:after="100" w:line="283" w:lineRule="auto"/>
      </w:pPr>
      <w:r>
        <w:rPr>
          <w:rFonts w:ascii="Calibri" w:hAnsi="Calibri"/>
          <w:color w:val="282828"/>
          <w:sz w:val="22"/>
        </w:rPr>
        <w:t>Pursuant to the Akwa Ibom State Revenue Administration Law, the statutory mandate of AKIRS is:</w:t>
      </w:r>
    </w:p>
    <w:p>
      <w:pPr>
        <w:pStyle w:val="ListNumber"/>
        <w:spacing w:before="20" w:after="40" w:line="276" w:lineRule="auto"/>
      </w:pPr>
      <w:r>
        <w:rPr>
          <w:rFonts w:ascii="Calibri" w:hAnsi="Calibri"/>
          <w:color w:val="333333"/>
          <w:sz w:val="22"/>
        </w:rPr>
        <w:t>To assess all eligible corporate entities, enterprises, partnerships, and individual citizens resident within Akwa Ibom State to their fair, equitable, and lawful tax obligations.</w:t>
      </w:r>
    </w:p>
    <w:p>
      <w:pPr>
        <w:pStyle w:val="ListNumber"/>
        <w:spacing w:before="20" w:after="40" w:line="276" w:lineRule="auto"/>
      </w:pPr>
      <w:r>
        <w:rPr>
          <w:rFonts w:ascii="Calibri" w:hAnsi="Calibri"/>
          <w:color w:val="333333"/>
          <w:sz w:val="22"/>
        </w:rPr>
        <w:t>To collect and account for all taxes, rates, levies, fees, and penalties due to the Akwa Ibom State Government in a secure, transparent, and audited manner.</w:t>
      </w:r>
    </w:p>
    <w:p>
      <w:pPr>
        <w:pStyle w:val="ListNumber"/>
        <w:spacing w:before="20" w:after="40" w:line="276" w:lineRule="auto"/>
      </w:pPr>
      <w:r>
        <w:rPr>
          <w:rFonts w:ascii="Calibri" w:hAnsi="Calibri"/>
          <w:color w:val="333333"/>
          <w:sz w:val="22"/>
        </w:rPr>
        <w:t>To supervise, inspect, and enforce strict compliance with federal and state revenue enactments, prosecuting evasion, fraudulent under-declaration, and unlawful deductions.</w:t>
      </w:r>
    </w:p>
    <w:p>
      <w:pPr>
        <w:pStyle w:val="ListNumber"/>
        <w:spacing w:before="20" w:after="40" w:line="276" w:lineRule="auto"/>
      </w:pPr>
      <w:r>
        <w:rPr>
          <w:rFonts w:ascii="Calibri" w:hAnsi="Calibri"/>
          <w:color w:val="333333"/>
          <w:sz w:val="22"/>
        </w:rPr>
        <w:t>To establish, maintain, and modernize electronic databases containing comprehensive demographic and financial profiles of all taxable persons and businesses within the state.</w:t>
      </w:r>
    </w:p>
    <w:p>
      <w:pPr>
        <w:pStyle w:val="ListNumber"/>
        <w:spacing w:before="20" w:after="40" w:line="276" w:lineRule="auto"/>
      </w:pPr>
      <w:r>
        <w:rPr>
          <w:rFonts w:ascii="Calibri" w:hAnsi="Calibri"/>
          <w:color w:val="333333"/>
          <w:sz w:val="22"/>
        </w:rPr>
        <w:t>To continuously recommend policy, administrative, and technological interventions to the State Executive Council to optimize tax efficiency and widen the domestic revenue base without imposing onerous burdens on citizens.</w:t>
      </w:r>
    </w:p>
    <w:p>
      <w:pPr>
        <w:spacing w:before="200" w:after="60"/>
      </w:pPr>
      <w:r>
        <w:rPr>
          <w:rFonts w:ascii="Calibri" w:hAnsi="Calibri"/>
          <w:b/>
          <w:color w:val="2D3748"/>
          <w:sz w:val="25"/>
        </w:rPr>
        <w:t>2.4 VISION OF AKIRS</w:t>
      </w:r>
    </w:p>
    <w:p>
      <w:pPr>
        <w:spacing w:before="40" w:after="100" w:line="283" w:lineRule="auto"/>
      </w:pPr>
      <w:r>
        <w:rPr>
          <w:rFonts w:ascii="Calibri" w:hAnsi="Calibri"/>
          <w:color w:val="282828"/>
          <w:sz w:val="22"/>
        </w:rPr>
        <w:t>To be the most efficient, transparent, technologically driven, and taxpayer-centric subnational revenue authority in Nigeria, mobilizing sustainable domestic revenue to accelerate the industrialization and socio-economic transformation of Akwa Ibom State.</w:t>
      </w:r>
    </w:p>
    <w:p>
      <w:pPr>
        <w:spacing w:before="200" w:after="60"/>
      </w:pPr>
      <w:r>
        <w:rPr>
          <w:rFonts w:ascii="Calibri" w:hAnsi="Calibri"/>
          <w:b/>
          <w:color w:val="2D3748"/>
          <w:sz w:val="25"/>
        </w:rPr>
        <w:t>2.5 MISSION OF AKIRS</w:t>
      </w:r>
    </w:p>
    <w:p>
      <w:pPr>
        <w:spacing w:before="40" w:after="100" w:line="283" w:lineRule="auto"/>
      </w:pPr>
      <w:r>
        <w:rPr>
          <w:rFonts w:ascii="Calibri" w:hAnsi="Calibri"/>
          <w:color w:val="282828"/>
          <w:sz w:val="22"/>
        </w:rPr>
        <w:t>To administer tax laws professionally, equitably, and transparently through modern digital infrastructure, competent and motivated personnel, innovative tax intelligence methodologies, and exceptional customer service, thereby cultivating a voluntary tax compliance culture that maximizes state revenue.</w:t>
      </w:r>
    </w:p>
    <w:p>
      <w:pPr>
        <w:spacing w:before="200" w:after="60"/>
      </w:pPr>
      <w:r>
        <w:rPr>
          <w:rFonts w:ascii="Calibri" w:hAnsi="Calibri"/>
          <w:b/>
          <w:color w:val="2D3748"/>
          <w:sz w:val="25"/>
        </w:rPr>
        <w:t>2.6 CORE VALUES OF AKIRS</w:t>
      </w:r>
    </w:p>
    <w:p>
      <w:pPr>
        <w:spacing w:before="40" w:after="100" w:line="283" w:lineRule="auto"/>
      </w:pPr>
      <w:r>
        <w:rPr>
          <w:rFonts w:ascii="Calibri" w:hAnsi="Calibri"/>
          <w:color w:val="282828"/>
          <w:sz w:val="22"/>
        </w:rPr>
        <w:t>The corporate and operational ethos of AKIRS is encapsulated in seven core institutional values:</w:t>
      </w:r>
    </w:p>
    <w:p>
      <w:pPr>
        <w:pStyle w:val="ListBullet"/>
        <w:spacing w:before="20" w:after="40" w:line="276" w:lineRule="auto"/>
      </w:pPr>
      <w:r>
        <w:rPr>
          <w:rFonts w:ascii="Calibri" w:hAnsi="Calibri"/>
          <w:color w:val="333333"/>
          <w:sz w:val="22"/>
        </w:rPr>
      </w:r>
      <w:r>
        <w:rPr>
          <w:rFonts w:ascii="Calibri" w:hAnsi="Calibri"/>
          <w:b/>
          <w:color w:val="333333"/>
          <w:sz w:val="22"/>
        </w:rPr>
        <w:t>Integrity:</w:t>
      </w:r>
      <w:r>
        <w:rPr>
          <w:rFonts w:ascii="Calibri" w:hAnsi="Calibri"/>
          <w:color w:val="333333"/>
          <w:sz w:val="22"/>
        </w:rPr>
        <w:t xml:space="preserve"> Conducting all revenue assessments, fiscal audits, and enforcement actions with total honesty, moral rectitude, and strict adherence to the rule of law.</w:t>
      </w:r>
    </w:p>
    <w:p>
      <w:pPr>
        <w:pStyle w:val="ListBullet"/>
        <w:spacing w:before="20" w:after="40" w:line="276" w:lineRule="auto"/>
      </w:pPr>
      <w:r>
        <w:rPr>
          <w:rFonts w:ascii="Calibri" w:hAnsi="Calibri"/>
          <w:color w:val="333333"/>
          <w:sz w:val="22"/>
        </w:rPr>
      </w:r>
      <w:r>
        <w:rPr>
          <w:rFonts w:ascii="Calibri" w:hAnsi="Calibri"/>
          <w:b/>
          <w:color w:val="333333"/>
          <w:sz w:val="22"/>
        </w:rPr>
        <w:t>Transparency:</w:t>
      </w:r>
      <w:r>
        <w:rPr>
          <w:rFonts w:ascii="Calibri" w:hAnsi="Calibri"/>
          <w:color w:val="333333"/>
          <w:sz w:val="22"/>
        </w:rPr>
        <w:t xml:space="preserve"> Maintaining absolute openness in tax computations, revenue accounting, and operational reporting, fostering unwavering public trust between taxpayers and the state.</w:t>
      </w:r>
    </w:p>
    <w:p>
      <w:pPr>
        <w:pStyle w:val="ListBullet"/>
        <w:spacing w:before="20" w:after="40" w:line="276" w:lineRule="auto"/>
      </w:pPr>
      <w:r>
        <w:rPr>
          <w:rFonts w:ascii="Calibri" w:hAnsi="Calibri"/>
          <w:color w:val="333333"/>
          <w:sz w:val="22"/>
        </w:rPr>
      </w:r>
      <w:r>
        <w:rPr>
          <w:rFonts w:ascii="Calibri" w:hAnsi="Calibri"/>
          <w:b/>
          <w:color w:val="333333"/>
          <w:sz w:val="22"/>
        </w:rPr>
        <w:t>Accountability:</w:t>
      </w:r>
      <w:r>
        <w:rPr>
          <w:rFonts w:ascii="Calibri" w:hAnsi="Calibri"/>
          <w:color w:val="333333"/>
          <w:sz w:val="22"/>
        </w:rPr>
        <w:t xml:space="preserve"> Holding all personnel and administrative directorates strictly responsible for financial fidelity, data confidentiality, and asset stewardship.</w:t>
      </w:r>
    </w:p>
    <w:p>
      <w:pPr>
        <w:pStyle w:val="ListBullet"/>
        <w:spacing w:before="20" w:after="40" w:line="276" w:lineRule="auto"/>
      </w:pPr>
      <w:r>
        <w:rPr>
          <w:rFonts w:ascii="Calibri" w:hAnsi="Calibri"/>
          <w:color w:val="333333"/>
          <w:sz w:val="22"/>
        </w:rPr>
      </w:r>
      <w:r>
        <w:rPr>
          <w:rFonts w:ascii="Calibri" w:hAnsi="Calibri"/>
          <w:b/>
          <w:color w:val="333333"/>
          <w:sz w:val="22"/>
        </w:rPr>
        <w:t>Excellence:</w:t>
      </w:r>
      <w:r>
        <w:rPr>
          <w:rFonts w:ascii="Calibri" w:hAnsi="Calibri"/>
          <w:color w:val="333333"/>
          <w:sz w:val="22"/>
        </w:rPr>
        <w:t xml:space="preserve"> Upholding world-class professional standards in public service, systems engineering, datacenter reliability, and administrative execution.</w:t>
      </w:r>
    </w:p>
    <w:p>
      <w:pPr>
        <w:pStyle w:val="ListBullet"/>
        <w:spacing w:before="20" w:after="40" w:line="276" w:lineRule="auto"/>
      </w:pPr>
      <w:r>
        <w:rPr>
          <w:rFonts w:ascii="Calibri" w:hAnsi="Calibri"/>
          <w:color w:val="333333"/>
          <w:sz w:val="22"/>
        </w:rPr>
      </w:r>
      <w:r>
        <w:rPr>
          <w:rFonts w:ascii="Calibri" w:hAnsi="Calibri"/>
          <w:b/>
          <w:color w:val="333333"/>
          <w:sz w:val="22"/>
        </w:rPr>
        <w:t>Innovation:</w:t>
      </w:r>
      <w:r>
        <w:rPr>
          <w:rFonts w:ascii="Calibri" w:hAnsi="Calibri"/>
          <w:color w:val="333333"/>
          <w:sz w:val="22"/>
        </w:rPr>
        <w:t xml:space="preserve"> Actively pioneering cutting-edge digital solutions, automation tools, distributed networks, and artificial intelligence to resolve fiscal complexities.</w:t>
      </w:r>
    </w:p>
    <w:p>
      <w:pPr>
        <w:pStyle w:val="ListBullet"/>
        <w:spacing w:before="20" w:after="40" w:line="276" w:lineRule="auto"/>
      </w:pPr>
      <w:r>
        <w:rPr>
          <w:rFonts w:ascii="Calibri" w:hAnsi="Calibri"/>
          <w:color w:val="333333"/>
          <w:sz w:val="22"/>
        </w:rPr>
      </w:r>
      <w:r>
        <w:rPr>
          <w:rFonts w:ascii="Calibri" w:hAnsi="Calibri"/>
          <w:b/>
          <w:color w:val="333333"/>
          <w:sz w:val="22"/>
        </w:rPr>
        <w:t>Customer Centricity:</w:t>
      </w:r>
      <w:r>
        <w:rPr>
          <w:rFonts w:ascii="Calibri" w:hAnsi="Calibri"/>
          <w:color w:val="333333"/>
          <w:sz w:val="22"/>
        </w:rPr>
        <w:t xml:space="preserve"> Treating taxpayers as valued civic partners, simplifying payment gateways, providing clear tax education, and resolving disputes expeditiously.</w:t>
      </w:r>
    </w:p>
    <w:p>
      <w:pPr>
        <w:pStyle w:val="ListBullet"/>
        <w:spacing w:before="20" w:after="40" w:line="276" w:lineRule="auto"/>
      </w:pPr>
      <w:r>
        <w:rPr>
          <w:rFonts w:ascii="Calibri" w:hAnsi="Calibri"/>
          <w:color w:val="333333"/>
          <w:sz w:val="22"/>
        </w:rPr>
      </w:r>
      <w:r>
        <w:rPr>
          <w:rFonts w:ascii="Calibri" w:hAnsi="Calibri"/>
          <w:b/>
          <w:color w:val="333333"/>
          <w:sz w:val="22"/>
        </w:rPr>
        <w:t>Teamwork:</w:t>
      </w:r>
      <w:r>
        <w:rPr>
          <w:rFonts w:ascii="Calibri" w:hAnsi="Calibri"/>
          <w:color w:val="333333"/>
          <w:sz w:val="22"/>
        </w:rPr>
        <w:t xml:space="preserve"> Fostering interdisciplinary synergy between software engineers, system administrators, forensic accountants, field auditors, and legal officers.</w:t>
      </w:r>
    </w:p>
    <w:p>
      <w:pPr>
        <w:spacing w:before="200" w:after="60"/>
      </w:pPr>
      <w:r>
        <w:rPr>
          <w:rFonts w:ascii="Calibri" w:hAnsi="Calibri"/>
          <w:b/>
          <w:color w:val="2D3748"/>
          <w:sz w:val="25"/>
        </w:rPr>
        <w:t>2.7 ORGANIZATIONAL STRUCTURE AND DIRECTORATE OF ICT &amp; TAX INTELLIGENCE</w:t>
      </w:r>
    </w:p>
    <w:p>
      <w:pPr>
        <w:spacing w:before="40" w:after="100" w:line="283" w:lineRule="auto"/>
      </w:pPr>
      <w:r>
        <w:rPr>
          <w:rFonts w:ascii="Calibri" w:hAnsi="Calibri"/>
          <w:color w:val="282828"/>
          <w:sz w:val="22"/>
        </w:rPr>
        <w:t>The operational structure of AKIRS is headed by the Executive Chairman, who presides over an integrated management structure consisting of core operational and support directorates:</w:t>
      </w:r>
    </w:p>
    <w:tbl>
      <w:tblPr>
        <w:tblW w:type="auto" w:w="0"/>
        <w:jc w:val="center"/>
        <w:tblLayout w:type="fixed"/>
        <w:tblLook w:firstColumn="1" w:firstRow="1" w:lastColumn="0" w:lastRow="0" w:noHBand="0" w:noVBand="1" w:val="04A0"/>
      </w:tblPr>
      <w:tblGrid>
        <w:gridCol w:w="8928"/>
      </w:tblGrid>
      <w:tr>
        <w:tc>
          <w:tcPr>
            <w:tcW w:type="dxa" w:w="9000"/>
            <w:shd w:fill="F4F5F7"/>
            <w:tcMar>
              <w:top w:w="140" w:type="dxa"/>
              <w:bottom w:w="140" w:type="dxa"/>
              <w:left w:w="200" w:type="dxa"/>
              <w:right w:w="200" w:type="dxa"/>
            </w:tcMar>
            <w:tcBorders>
              <w:top w:val="single" w:sz="4" w:space="0" w:color="D0D5DD"/>
              <w:bottom w:val="single" w:sz="4" w:space="0" w:color="D0D5DD"/>
              <w:left w:val="single" w:sz="18" w:space="0" w:color="1F4E79"/>
              <w:right w:val="single" w:sz="4" w:space="0" w:color="D0D5DD"/>
            </w:tcBorders>
          </w:tcPr>
          <w:p>
            <w:pPr>
              <w:spacing w:before="0" w:after="20" w:line="252" w:lineRule="auto"/>
            </w:pPr>
            <w:r/>
            <w:r>
              <w:rPr>
                <w:rFonts w:ascii="Consolas" w:hAnsi="Consolas"/>
                <w:color w:val="1E293B"/>
                <w:sz w:val="17"/>
              </w:rPr>
              <w:t xml:space="preserve">                               ┌─────────────────────────────────────────┐</w:t>
            </w:r>
          </w:p>
          <w:p>
            <w:pPr>
              <w:spacing w:before="0" w:after="20" w:line="252" w:lineRule="auto"/>
            </w:pPr>
            <w:r>
              <w:rPr>
                <w:rFonts w:ascii="Consolas" w:hAnsi="Consolas"/>
                <w:color w:val="1E293B"/>
                <w:sz w:val="17"/>
              </w:rPr>
              <w:t xml:space="preserve">                               │           EXECUTIVE CHAIRMAN            │</w:t>
            </w:r>
          </w:p>
          <w:p>
            <w:pPr>
              <w:spacing w:before="0" w:after="20" w:line="252" w:lineRule="auto"/>
            </w:pPr>
            <w:r>
              <w:rPr>
                <w:rFonts w:ascii="Consolas" w:hAnsi="Consolas"/>
                <w:color w:val="1E293B"/>
                <w:sz w:val="17"/>
              </w:rPr>
              <w:t xml:space="preserve">                               │  Akwa Ibom State Internal Revenue Serv.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                      │                      │                   │</w:t>
            </w:r>
          </w:p>
          <w:p>
            <w:pPr>
              <w:spacing w:before="0" w:after="20" w:line="252" w:lineRule="auto"/>
            </w:pPr>
            <w:r>
              <w:rPr>
                <w:rFonts w:ascii="Consolas" w:hAnsi="Consolas"/>
                <w:color w:val="1E293B"/>
                <w:sz w:val="17"/>
              </w:rPr>
              <w:t>┌────────┴────────┐ ┌────────┴────────┐    ┌────────┴────────┐    ┌────────┴────────┐ ┌────────┴────────┐</w:t>
            </w:r>
          </w:p>
          <w:p>
            <w:pPr>
              <w:spacing w:before="0" w:after="20" w:line="252" w:lineRule="auto"/>
            </w:pPr>
            <w:r>
              <w:rPr>
                <w:rFonts w:ascii="Consolas" w:hAnsi="Consolas"/>
                <w:color w:val="1E293B"/>
                <w:sz w:val="17"/>
              </w:rPr>
              <w:t>│  DIRECTORATE OF │ │  DIRECTORATE OF │    │  DIRECTORATE OF │    │  DIRECTORATE OF │ │  DIRECTORATE OF │</w:t>
            </w:r>
          </w:p>
          <w:p>
            <w:pPr>
              <w:spacing w:before="0" w:after="20" w:line="252" w:lineRule="auto"/>
            </w:pPr>
            <w:r>
              <w:rPr>
                <w:rFonts w:ascii="Consolas" w:hAnsi="Consolas"/>
                <w:color w:val="1E293B"/>
                <w:sz w:val="17"/>
              </w:rPr>
              <w:t>│ TAX OPERATIONS  │ │ AUDIT &amp; ENFORCE │    │    ICT &amp; TAX    │    │ FINANCE, ADMIN  │ │ LEGAL SERVICES  │</w:t>
            </w:r>
          </w:p>
          <w:p>
            <w:pPr>
              <w:spacing w:before="0" w:after="20" w:line="252" w:lineRule="auto"/>
            </w:pPr>
            <w:r>
              <w:rPr>
                <w:rFonts w:ascii="Consolas" w:hAnsi="Consolas"/>
                <w:color w:val="1E293B"/>
                <w:sz w:val="17"/>
              </w:rPr>
              <w:t>│  &amp; ASSESSMENTS  │ │                 │    │  INTELLIGENCE   │    │  &amp; HUMAN RES.   │ │  &amp; COMPLIANCE   │</w:t>
            </w:r>
          </w:p>
          <w:p>
            <w:pPr>
              <w:spacing w:before="0" w:after="20" w:line="252" w:lineRule="auto"/>
            </w:pPr>
            <w:r>
              <w:rPr>
                <w:rFonts w:ascii="Consolas" w:hAnsi="Consolas"/>
                <w:color w:val="1E293B"/>
                <w:sz w:val="17"/>
              </w:rPr>
              <w:t>└─────────────────┘ └─────────────────┘    └────────┬────────┘    └─────────────────┘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DATACENTER &amp; CLOUD  │                               │ DATA SYSTEMS &amp; TAX  │</w:t>
            </w:r>
          </w:p>
          <w:p>
            <w:pPr>
              <w:spacing w:before="0" w:after="20" w:line="252" w:lineRule="auto"/>
            </w:pPr>
            <w:r>
              <w:rPr>
                <w:rFonts w:ascii="Consolas" w:hAnsi="Consolas"/>
                <w:color w:val="1E293B"/>
                <w:sz w:val="17"/>
              </w:rPr>
              <w:t xml:space="preserve">              │ INFRASTRUCTURE UNIT │                               │  INTELLIGENCE UNIT  │</w:t>
            </w:r>
          </w:p>
          <w:p>
            <w:pPr>
              <w:spacing w:before="0" w:after="20" w:line="252" w:lineRule="auto"/>
            </w:pPr>
            <w:r>
              <w:rPr>
                <w:rFonts w:ascii="Consolas" w:hAnsi="Consolas"/>
                <w:color w:val="1E293B"/>
                <w:sz w:val="17"/>
              </w:rPr>
              <w:t xml:space="preserve">              │ - HPE Servers       │                               │ - akirs-auto (OSINT)│</w:t>
            </w:r>
          </w:p>
          <w:p>
            <w:pPr>
              <w:spacing w:before="0" w:after="20" w:line="252" w:lineRule="auto"/>
            </w:pPr>
            <w:r>
              <w:rPr>
                <w:rFonts w:ascii="Consolas" w:hAnsi="Consolas"/>
                <w:color w:val="1E293B"/>
                <w:sz w:val="17"/>
              </w:rPr>
              <w:t xml:space="preserve">              │ - VMware ESXi / VCSA│                               │ - akirs-data-cleaner│</w:t>
            </w:r>
          </w:p>
          <w:p>
            <w:pPr>
              <w:spacing w:before="0" w:after="20" w:line="252" w:lineRule="auto"/>
            </w:pPr>
            <w:r>
              <w:rPr>
                <w:rFonts w:ascii="Consolas" w:hAnsi="Consolas"/>
                <w:color w:val="1E293B"/>
                <w:sz w:val="17"/>
              </w:rPr>
              <w:t xml:space="preserve">              │ - Sophos XGS / Cisco│                               │ - ETL Pipelines     │</w:t>
            </w:r>
          </w:p>
          <w:p>
            <w:pPr>
              <w:spacing w:before="0" w:after="20" w:line="252" w:lineRule="auto"/>
            </w:pPr>
            <w:r>
              <w:rPr>
                <w:rFonts w:ascii="Consolas" w:hAnsi="Consolas"/>
                <w:color w:val="1E293B"/>
                <w:sz w:val="17"/>
              </w:rPr>
              <w:t xml:space="preserve">              │ - Veeam DR / Synol. │                               │ - Database Admin    │</w:t>
            </w:r>
          </w:p>
          <w:p>
            <w:pPr>
              <w:spacing w:before="0" w:after="20" w:line="252" w:lineRule="auto"/>
            </w:pPr>
            <w:r>
              <w:rPr>
                <w:rFonts w:ascii="Consolas" w:hAnsi="Consolas"/>
                <w:color w:val="1E293B"/>
                <w:sz w:val="17"/>
              </w:rPr>
              <w:t xml:space="preserve">              └─────────────────────┘                               └─────────────────────┘</w:t>
            </w:r>
          </w:p>
        </w:tc>
      </w:tr>
    </w:tbl>
    <w:p>
      <w:pPr>
        <w:spacing w:after="120"/>
      </w:pPr>
    </w:p>
    <w:p>
      <w:pPr>
        <w:spacing w:before="40" w:after="100" w:line="283" w:lineRule="auto"/>
      </w:pPr>
      <w:r>
        <w:rPr>
          <w:rFonts w:ascii="Calibri" w:hAnsi="Calibri"/>
          <w:color w:val="282828"/>
          <w:sz w:val="22"/>
        </w:rPr>
        <w:t xml:space="preserve">The </w:t>
      </w:r>
      <w:r>
        <w:rPr>
          <w:rFonts w:ascii="Calibri" w:hAnsi="Calibri"/>
          <w:b/>
          <w:color w:val="282828"/>
          <w:sz w:val="22"/>
        </w:rPr>
        <w:t>Directorate of ICT &amp; Tax Intelligence</w:t>
      </w:r>
      <w:r>
        <w:rPr>
          <w:rFonts w:ascii="Calibri" w:hAnsi="Calibri"/>
          <w:color w:val="282828"/>
          <w:sz w:val="22"/>
        </w:rPr>
        <w:t xml:space="preserve"> plays a foundational role in enabling all other operational units. Without the high-availability server clusters, network security perimeters, automated data normalization scripts, and tax intelligence tools managed by this directorate, tax assessment and modern revenue mobilization would grind to a halt.</w:t>
      </w:r>
    </w:p>
    <w:p>
      <w:r>
        <w:br w:type="page"/>
      </w:r>
    </w:p>
    <w:p>
      <w:pPr>
        <w:spacing w:before="280" w:after="120"/>
      </w:pPr>
      <w:r>
        <w:rPr>
          <w:rFonts w:ascii="Calibri" w:hAnsi="Calibri"/>
          <w:b/>
          <w:color w:val="0F172A"/>
          <w:sz w:val="36"/>
        </w:rPr>
        <w:t>CHAPTER THREE (3)</w:t>
      </w:r>
    </w:p>
    <w:p>
      <w:pPr>
        <w:spacing w:before="240" w:after="80"/>
      </w:pPr>
      <w:r>
        <w:rPr>
          <w:rFonts w:ascii="Calibri" w:hAnsi="Calibri"/>
          <w:b/>
          <w:color w:val="1F4E79"/>
          <w:sz w:val="30"/>
        </w:rPr>
        <w:t>EXPERIENCE GAINED AND WORK DONE</w:t>
      </w:r>
    </w:p>
    <w:p>
      <w:pPr>
        <w:spacing w:before="200" w:after="60"/>
      </w:pPr>
      <w:r>
        <w:rPr>
          <w:rFonts w:ascii="Calibri" w:hAnsi="Calibri"/>
          <w:b/>
          <w:color w:val="2D3748"/>
          <w:sz w:val="25"/>
        </w:rPr>
        <w:t>3.0 INTRODUCTION TO AKIRS ENVIRONMENT AND ENGINEERING UNITS</w:t>
      </w:r>
    </w:p>
    <w:p>
      <w:pPr>
        <w:spacing w:before="40" w:after="100" w:line="283" w:lineRule="auto"/>
      </w:pPr>
      <w:r>
        <w:rPr>
          <w:rFonts w:ascii="Calibri" w:hAnsi="Calibri"/>
          <w:color w:val="282828"/>
          <w:sz w:val="22"/>
        </w:rPr>
        <w:t xml:space="preserve">At the commencement of the six-month Student Industrial Work Experience Scheme (SIWES) at the Akwa Ibom State Internal Revenue Service (AKIRS), I was integrated into the </w:t>
      </w:r>
      <w:r>
        <w:rPr>
          <w:rFonts w:ascii="Calibri" w:hAnsi="Calibri"/>
          <w:b/>
          <w:color w:val="282828"/>
          <w:sz w:val="22"/>
        </w:rPr>
        <w:t>Directorate of Information and Communication Technology (ICT) and Tax Intelligence</w:t>
      </w:r>
      <w:r>
        <w:rPr>
          <w:rFonts w:ascii="Calibri" w:hAnsi="Calibri"/>
          <w:color w:val="282828"/>
          <w:sz w:val="22"/>
        </w:rPr>
        <w:t>. This directorate functions as the technical backbone of the state's revenue mobilization architecture, responsible for maintaining continuous service uptime, securing sensitive financial data against cyber threats, managing enterprise datacenter systems, and developing software automation solutions to resolve operational bottlenecks.</w:t>
      </w:r>
    </w:p>
    <w:p>
      <w:pPr>
        <w:spacing w:before="40" w:after="100" w:line="283" w:lineRule="auto"/>
      </w:pPr>
      <w:r>
        <w:rPr>
          <w:rFonts w:ascii="Calibri" w:hAnsi="Calibri"/>
          <w:color w:val="282828"/>
          <w:sz w:val="22"/>
        </w:rPr>
        <w:t>The engineering operations of the directorate are organized into specialized yet deeply interconnected functional units:</w:t>
      </w:r>
    </w:p>
    <w:p>
      <w:pPr>
        <w:pStyle w:val="ListNumber"/>
        <w:spacing w:before="20" w:after="40" w:line="276" w:lineRule="auto"/>
      </w:pPr>
      <w:r>
        <w:rPr>
          <w:rFonts w:ascii="Calibri" w:hAnsi="Calibri"/>
          <w:color w:val="333333"/>
          <w:sz w:val="22"/>
        </w:rPr>
      </w:r>
      <w:r>
        <w:rPr>
          <w:rFonts w:ascii="Calibri" w:hAnsi="Calibri"/>
          <w:b/>
          <w:color w:val="333333"/>
          <w:sz w:val="22"/>
        </w:rPr>
        <w:t>Datacenter &amp; Virtualization Operations Unit:</w:t>
      </w:r>
      <w:r>
        <w:rPr>
          <w:rFonts w:ascii="Calibri" w:hAnsi="Calibri"/>
          <w:color w:val="333333"/>
          <w:sz w:val="22"/>
        </w:rPr>
        <w:t xml:space="preserve"> Custodian of the on-premise physical infrastructure deployed under the Joint Revenue Board (JRB) Digital Infrastructure Programme, including dual HPE ProLiant Gen11 server blades, VMware vSphere/ESXi hypervisors, and vCenter management clusters.</w:t>
      </w:r>
    </w:p>
    <w:p>
      <w:pPr>
        <w:pStyle w:val="ListNumber"/>
        <w:spacing w:before="20" w:after="40" w:line="276" w:lineRule="auto"/>
      </w:pPr>
      <w:r>
        <w:rPr>
          <w:rFonts w:ascii="Calibri" w:hAnsi="Calibri"/>
          <w:color w:val="333333"/>
          <w:sz w:val="22"/>
        </w:rPr>
      </w:r>
      <w:r>
        <w:rPr>
          <w:rFonts w:ascii="Calibri" w:hAnsi="Calibri"/>
          <w:b/>
          <w:color w:val="333333"/>
          <w:sz w:val="22"/>
        </w:rPr>
        <w:t>Network Engineering &amp; Perimeter Security Unit:</w:t>
      </w:r>
      <w:r>
        <w:rPr>
          <w:rFonts w:ascii="Calibri" w:hAnsi="Calibri"/>
          <w:color w:val="333333"/>
          <w:sz w:val="22"/>
        </w:rPr>
        <w:t xml:space="preserve"> Responsible for enterprise connectivity, firewall rule configurations on Sophos XGS 138 appliances, Cisco Catalyst layer-2/3 switching fabrics, IEEE 802.1Q VLAN segmentation, and redundant WAN gateways (Starlink LEO satellite and terrestrial fiber).</w:t>
      </w:r>
    </w:p>
    <w:p>
      <w:pPr>
        <w:pStyle w:val="ListNumber"/>
        <w:spacing w:before="20" w:after="40" w:line="276" w:lineRule="auto"/>
      </w:pPr>
      <w:r>
        <w:rPr>
          <w:rFonts w:ascii="Calibri" w:hAnsi="Calibri"/>
          <w:color w:val="333333"/>
          <w:sz w:val="22"/>
        </w:rPr>
      </w:r>
      <w:r>
        <w:rPr>
          <w:rFonts w:ascii="Calibri" w:hAnsi="Calibri"/>
          <w:b/>
          <w:color w:val="333333"/>
          <w:sz w:val="22"/>
        </w:rPr>
        <w:t>Storage &amp; Disaster Recovery Unit:</w:t>
      </w:r>
      <w:r>
        <w:rPr>
          <w:rFonts w:ascii="Calibri" w:hAnsi="Calibri"/>
          <w:color w:val="333333"/>
          <w:sz w:val="22"/>
        </w:rPr>
        <w:t xml:space="preserve"> Oversees the enterprise Synology Network Attached Storage (NAS) fabrics configured in RAID 5, NVMe SSD cache layers, and the enterprise Veeam Backup &amp; Replication platform protecting production virtual machines.</w:t>
      </w:r>
    </w:p>
    <w:p>
      <w:pPr>
        <w:pStyle w:val="ListNumber"/>
        <w:spacing w:before="20" w:after="40" w:line="276" w:lineRule="auto"/>
      </w:pPr>
      <w:r>
        <w:rPr>
          <w:rFonts w:ascii="Calibri" w:hAnsi="Calibri"/>
          <w:color w:val="333333"/>
          <w:sz w:val="22"/>
        </w:rPr>
      </w:r>
      <w:r>
        <w:rPr>
          <w:rFonts w:ascii="Calibri" w:hAnsi="Calibri"/>
          <w:b/>
          <w:color w:val="333333"/>
          <w:sz w:val="22"/>
        </w:rPr>
        <w:t>Data Systems &amp; Software Automation Unit:</w:t>
      </w:r>
      <w:r>
        <w:rPr>
          <w:rFonts w:ascii="Calibri" w:hAnsi="Calibri"/>
          <w:color w:val="333333"/>
          <w:sz w:val="22"/>
        </w:rPr>
        <w:t xml:space="preserve"> Develops custom software automation scripts, data cleaning pipelines, and intelligence-gathering tools to convert unstructured commercial data into structured, actionable tax intelligence.</w:t>
      </w:r>
    </w:p>
    <w:p>
      <w:pPr>
        <w:spacing w:before="40" w:after="100" w:line="283" w:lineRule="auto"/>
      </w:pPr>
      <w:r>
        <w:rPr>
          <w:rFonts w:ascii="Calibri" w:hAnsi="Calibri"/>
          <w:color w:val="282828"/>
          <w:sz w:val="22"/>
        </w:rPr>
        <w:t>Understanding the structural interplay of these units provided a holistic foundation for my internship, bridging theoretical knowledge of operating systems, networking, database architecture, and software design with high-stakes production execution.</w:t>
      </w:r>
    </w:p>
    <w:p>
      <w:pPr>
        <w:spacing w:before="200" w:after="60"/>
      </w:pPr>
      <w:r>
        <w:rPr>
          <w:rFonts w:ascii="Calibri" w:hAnsi="Calibri"/>
          <w:b/>
          <w:color w:val="2D3748"/>
          <w:sz w:val="25"/>
        </w:rPr>
        <w:t>3.1 OVERVIEW OF EXPERIENCES GAINED</w:t>
      </w:r>
    </w:p>
    <w:p>
      <w:pPr>
        <w:spacing w:before="40" w:after="100" w:line="283" w:lineRule="auto"/>
      </w:pPr>
      <w:r>
        <w:rPr>
          <w:rFonts w:ascii="Calibri" w:hAnsi="Calibri"/>
          <w:color w:val="282828"/>
          <w:sz w:val="22"/>
        </w:rPr>
        <w:t>The industrial attachment at AKIRS proved to be an intensely transformative and technically expansive phase in my academic career. Moving from isolated laboratory exercises and theoretical classroom lectures into a live enterprise datacenter managing sensitive financial records for an entire state presented a steep but immensely rewarding learning curve.</w:t>
      </w:r>
    </w:p>
    <w:p>
      <w:pPr>
        <w:spacing w:before="40" w:after="100" w:line="283" w:lineRule="auto"/>
      </w:pPr>
      <w:r>
        <w:rPr>
          <w:rFonts w:ascii="Calibri" w:hAnsi="Calibri"/>
          <w:color w:val="282828"/>
          <w:sz w:val="22"/>
        </w:rPr>
        <w:t>Key areas of hands-on technical competencies acquired during the period include:</w:t>
      </w:r>
    </w:p>
    <w:p>
      <w:pPr>
        <w:pStyle w:val="ListBullet"/>
        <w:spacing w:before="20" w:after="40" w:line="276" w:lineRule="auto"/>
      </w:pPr>
      <w:r>
        <w:rPr>
          <w:rFonts w:ascii="Calibri" w:hAnsi="Calibri"/>
          <w:color w:val="333333"/>
          <w:sz w:val="22"/>
        </w:rPr>
      </w:r>
      <w:r>
        <w:rPr>
          <w:rFonts w:ascii="Calibri" w:hAnsi="Calibri"/>
          <w:b/>
          <w:color w:val="333333"/>
          <w:sz w:val="22"/>
        </w:rPr>
        <w:t>Enterprise Infrastructure &amp; Virtualization:</w:t>
      </w:r>
      <w:r>
        <w:rPr>
          <w:rFonts w:ascii="Calibri" w:hAnsi="Calibri"/>
          <w:color w:val="333333"/>
          <w:sz w:val="22"/>
        </w:rPr>
        <w:t xml:space="preserve"> Gained deep operational proficiency in provisioning, configuring, and monitoring type-1 bare-metal hypervisors (VMware ESXi 8.0) managed through VMware vCenter Server Appliance (VCSA). Mastered virtual machine lifecycle management, dynamic resource allocation (vCPU/RAM scheduling), virtual network switches (vSwitches), and zero-downtime live migrations (vMotion).</w:t>
      </w:r>
    </w:p>
    <w:p>
      <w:pPr>
        <w:pStyle w:val="ListBullet"/>
        <w:spacing w:before="20" w:after="40" w:line="276" w:lineRule="auto"/>
      </w:pPr>
      <w:r>
        <w:rPr>
          <w:rFonts w:ascii="Calibri" w:hAnsi="Calibri"/>
          <w:color w:val="333333"/>
          <w:sz w:val="22"/>
        </w:rPr>
      </w:r>
      <w:r>
        <w:rPr>
          <w:rFonts w:ascii="Calibri" w:hAnsi="Calibri"/>
          <w:b/>
          <w:color w:val="333333"/>
          <w:sz w:val="22"/>
        </w:rPr>
        <w:t>Next-Generation Network Security &amp; Routing:</w:t>
      </w:r>
      <w:r>
        <w:rPr>
          <w:rFonts w:ascii="Calibri" w:hAnsi="Calibri"/>
          <w:color w:val="333333"/>
          <w:sz w:val="22"/>
        </w:rPr>
        <w:t xml:space="preserve"> Developed hands-on competence in configuring Sophos XGS 138 firewalls, implementing granular firewall rules, Network Address Translation (NAT), Intrusion Prevention System (IPS) policies, deep packet inspection (DPI), SSL/TLS inspection, and site-to-site IPsec/SSL VPN tunnels. Administered Cisco Catalyst 1300 enterprise managed switches, configuring VLAN segregation, port security, and 802.1Q trunking.</w:t>
      </w:r>
    </w:p>
    <w:p>
      <w:pPr>
        <w:pStyle w:val="ListBullet"/>
        <w:spacing w:before="20" w:after="40" w:line="276" w:lineRule="auto"/>
      </w:pPr>
      <w:r>
        <w:rPr>
          <w:rFonts w:ascii="Calibri" w:hAnsi="Calibri"/>
          <w:color w:val="333333"/>
          <w:sz w:val="22"/>
        </w:rPr>
      </w:r>
      <w:r>
        <w:rPr>
          <w:rFonts w:ascii="Calibri" w:hAnsi="Calibri"/>
          <w:b/>
          <w:color w:val="333333"/>
          <w:sz w:val="22"/>
        </w:rPr>
        <w:t>Storage Engineering &amp; Disaster Recovery:</w:t>
      </w:r>
      <w:r>
        <w:rPr>
          <w:rFonts w:ascii="Calibri" w:hAnsi="Calibri"/>
          <w:color w:val="333333"/>
          <w:sz w:val="22"/>
        </w:rPr>
        <w:t xml:space="preserve"> Mastered the management of Synology DSM NAS appliances operating under RAID 5 architecture with NVMe SSD caching. Implemented enterprise-grade disaster recovery workflows using Veeam Backup &amp; Replication, executing automated incremental VM backups, synthetic full backups, retention policy scheduling, and simulated instant VM recovery drills.</w:t>
      </w:r>
    </w:p>
    <w:p>
      <w:pPr>
        <w:pStyle w:val="ListBullet"/>
        <w:spacing w:before="20" w:after="40" w:line="276" w:lineRule="auto"/>
      </w:pPr>
      <w:r>
        <w:rPr>
          <w:rFonts w:ascii="Calibri" w:hAnsi="Calibri"/>
          <w:color w:val="333333"/>
          <w:sz w:val="22"/>
        </w:rPr>
      </w:r>
      <w:r>
        <w:rPr>
          <w:rFonts w:ascii="Calibri" w:hAnsi="Calibri"/>
          <w:b/>
          <w:color w:val="333333"/>
          <w:sz w:val="22"/>
        </w:rPr>
        <w:t>Asynchronous Web Scraping &amp; Tax Intelligence Automation:</w:t>
      </w:r>
      <w:r>
        <w:rPr>
          <w:rFonts w:ascii="Calibri" w:hAnsi="Calibri"/>
          <w:color w:val="333333"/>
          <w:sz w:val="22"/>
        </w:rPr>
        <w:t xml:space="preserve"> Conceptualized, engineered, and deployed `akirs-auto`, an asynchronous Python and Playwright pipeline that scrapes the Meta/Facebook Ads Library for commercial activity across Akwa Ibom State, enriching discovered advertisers with contact identifiers via multi-tier OSINT APIs (OpenStreetMap Nominatim, Hunter.io, TomTom Places) to identify unregistered commercial enterprises.</w:t>
      </w:r>
    </w:p>
    <w:p>
      <w:pPr>
        <w:pStyle w:val="ListBullet"/>
        <w:spacing w:before="20" w:after="40" w:line="276" w:lineRule="auto"/>
      </w:pPr>
      <w:r>
        <w:rPr>
          <w:rFonts w:ascii="Calibri" w:hAnsi="Calibri"/>
          <w:color w:val="333333"/>
          <w:sz w:val="22"/>
        </w:rPr>
      </w:r>
      <w:r>
        <w:rPr>
          <w:rFonts w:ascii="Calibri" w:hAnsi="Calibri"/>
          <w:b/>
          <w:color w:val="333333"/>
          <w:sz w:val="22"/>
        </w:rPr>
        <w:t>Batch Data Cleaning &amp; ETL Pipeline Development:</w:t>
      </w:r>
      <w:r>
        <w:rPr>
          <w:rFonts w:ascii="Calibri" w:hAnsi="Calibri"/>
          <w:color w:val="333333"/>
          <w:sz w:val="22"/>
        </w:rPr>
        <w:t xml:space="preserve"> Developed and maintained `akirs-data-cleaner`, a production-grade FastAPI and OpenPyXL web portal designed to ingest heterogeneous monthly commercial bank account spreadsheets, execute algorithmic 10-digit NUBAN checksum validations, verify Taxpayer Identification Numbers (TIN), perform deduplication, and filter records by geographic tax jurisdictions.</w:t>
      </w:r>
    </w:p>
    <w:p>
      <w:pPr>
        <w:pStyle w:val="ListBullet"/>
        <w:spacing w:before="20" w:after="40" w:line="276" w:lineRule="auto"/>
      </w:pPr>
      <w:r>
        <w:rPr>
          <w:rFonts w:ascii="Calibri" w:hAnsi="Calibri"/>
          <w:color w:val="333333"/>
          <w:sz w:val="22"/>
        </w:rPr>
      </w:r>
      <w:r>
        <w:rPr>
          <w:rFonts w:ascii="Calibri" w:hAnsi="Calibri"/>
          <w:b/>
          <w:color w:val="333333"/>
          <w:sz w:val="22"/>
        </w:rPr>
        <w:t>DevOps, Containerization &amp; Systems Monitoring:</w:t>
      </w:r>
      <w:r>
        <w:rPr>
          <w:rFonts w:ascii="Calibri" w:hAnsi="Calibri"/>
          <w:color w:val="333333"/>
          <w:sz w:val="22"/>
        </w:rPr>
        <w:t xml:space="preserve"> Mastered the Linux command-line environment across Ubuntu and Debian distributions, containerized Python web services using multi-stage Dockerfiles, orchestrated services via Docker Compose, and utilized Git and GitHub for distributed version control.</w:t>
      </w:r>
    </w:p>
    <w:p>
      <w:pPr>
        <w:pStyle w:val="ListBullet"/>
        <w:spacing w:before="20" w:after="40" w:line="276" w:lineRule="auto"/>
      </w:pPr>
      <w:r>
        <w:rPr>
          <w:rFonts w:ascii="Calibri" w:hAnsi="Calibri"/>
          <w:color w:val="333333"/>
          <w:sz w:val="22"/>
        </w:rPr>
      </w:r>
      <w:r>
        <w:rPr>
          <w:rFonts w:ascii="Calibri" w:hAnsi="Calibri"/>
          <w:b/>
          <w:color w:val="333333"/>
          <w:sz w:val="22"/>
        </w:rPr>
        <w:t>Professional &amp; Soft Skills Development:</w:t>
      </w:r>
      <w:r>
        <w:rPr>
          <w:rFonts w:ascii="Calibri" w:hAnsi="Calibri"/>
          <w:color w:val="333333"/>
          <w:sz w:val="22"/>
        </w:rPr>
        <w:t xml:space="preserve"> Acquired essential professional competencies, including technical documentation writing, agile project coordination, public technical presentations during internal sprint reviews, and cross-functional communication with non-technical tax auditors and legal enforcement officers.</w:t>
      </w:r>
    </w:p>
    <w:p>
      <w:pPr>
        <w:spacing w:before="200" w:after="60"/>
      </w:pPr>
      <w:r>
        <w:rPr>
          <w:rFonts w:ascii="Calibri" w:hAnsi="Calibri"/>
          <w:b/>
          <w:color w:val="2D3748"/>
          <w:sz w:val="25"/>
        </w:rPr>
        <w:t>3.2 NETWORK INFRASTRUCTURE &amp; SECURITY ADMINISTRATION</w:t>
      </w:r>
    </w:p>
    <w:tbl>
      <w:tblPr>
        <w:tblW w:type="auto" w:w="0"/>
        <w:jc w:val="center"/>
        <w:tblLayout w:type="fixed"/>
        <w:tblLook w:firstColumn="1" w:firstRow="1" w:lastColumn="0" w:lastRow="0" w:noHBand="0" w:noVBand="1" w:val="04A0"/>
      </w:tblPr>
      <w:tblGrid>
        <w:gridCol w:w="8928"/>
      </w:tblGrid>
      <w:tr>
        <w:tc>
          <w:tcPr>
            <w:tcW w:type="dxa" w:w="9000"/>
            <w:shd w:fill="F4F5F7"/>
            <w:tcMar>
              <w:top w:w="140" w:type="dxa"/>
              <w:bottom w:w="140" w:type="dxa"/>
              <w:left w:w="200" w:type="dxa"/>
              <w:right w:w="200" w:type="dxa"/>
            </w:tcMar>
            <w:tcBorders>
              <w:top w:val="single" w:sz="4" w:space="0" w:color="D0D5DD"/>
              <w:bottom w:val="single" w:sz="4" w:space="0" w:color="D0D5DD"/>
              <w:left w:val="single" w:sz="18" w:space="0" w:color="1F4E79"/>
              <w:right w:val="single" w:sz="4" w:space="0" w:color="D0D5DD"/>
            </w:tcBorders>
          </w:tcPr>
          <w:p>
            <w:pPr>
              <w:spacing w:before="0" w:after="20" w:line="252" w:lineRule="auto"/>
            </w:pPr>
            <w:r/>
            <w:r>
              <w:rPr>
                <w:rFonts w:ascii="Consolas" w:hAnsi="Consolas"/>
                <w:color w:val="1E293B"/>
                <w:sz w:val="17"/>
              </w:rPr>
              <w:t xml:space="preserve">                         ┌───────────────────────────────────────────────┐</w:t>
            </w:r>
          </w:p>
          <w:p>
            <w:pPr>
              <w:spacing w:before="0" w:after="20" w:line="252" w:lineRule="auto"/>
            </w:pPr>
            <w:r>
              <w:rPr>
                <w:rFonts w:ascii="Consolas" w:hAnsi="Consolas"/>
                <w:color w:val="1E293B"/>
                <w:sz w:val="17"/>
              </w:rPr>
              <w:t xml:space="preserve">                         │              INTERNET CONNECTIVITY            │</w:t>
            </w:r>
          </w:p>
          <w:p>
            <w:pPr>
              <w:spacing w:before="0" w:after="20" w:line="252" w:lineRule="auto"/>
            </w:pPr>
            <w:r>
              <w:rPr>
                <w:rFonts w:ascii="Consolas" w:hAnsi="Consolas"/>
                <w:color w:val="1E293B"/>
                <w:sz w:val="17"/>
              </w:rPr>
              <w:t xml:space="preserve">                         │    [Terrestrial Fiber]  +  [Starlink LEO]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Multi-WAN Failover</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SOPHOS XGS 138 FIREWALL (NGFW)        │</w:t>
            </w:r>
          </w:p>
          <w:p>
            <w:pPr>
              <w:spacing w:before="0" w:after="20" w:line="252" w:lineRule="auto"/>
            </w:pPr>
            <w:r>
              <w:rPr>
                <w:rFonts w:ascii="Consolas" w:hAnsi="Consolas"/>
                <w:color w:val="1E293B"/>
                <w:sz w:val="17"/>
              </w:rPr>
              <w:t xml:space="preserve">                         │     Stateful Inspection · NAT · IPS · DPI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802.1Q Trunk</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CISCO CATALYST 1300 SWITCH           │</w:t>
            </w:r>
          </w:p>
          <w:p>
            <w:pPr>
              <w:spacing w:before="0" w:after="20" w:line="252" w:lineRule="auto"/>
            </w:pPr>
            <w:r>
              <w:rPr>
                <w:rFonts w:ascii="Consolas" w:hAnsi="Consolas"/>
                <w:color w:val="1E293B"/>
                <w:sz w:val="17"/>
              </w:rPr>
              <w:t xml:space="preserve">                         │   VLAN 10: Management · VLAN 20: Servers      │</w:t>
            </w:r>
          </w:p>
          <w:p>
            <w:pPr>
              <w:spacing w:before="0" w:after="20" w:line="252" w:lineRule="auto"/>
            </w:pPr>
            <w:r>
              <w:rPr>
                <w:rFonts w:ascii="Consolas" w:hAnsi="Consolas"/>
                <w:color w:val="1E293B"/>
                <w:sz w:val="17"/>
              </w:rPr>
              <w:t xml:space="preserve">                         │   VLAN 30: Staff LAN   · VLAN 40: DMZ/Public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     ▼                           ▼</w:t>
            </w:r>
          </w:p>
          <w:p>
            <w:pPr>
              <w:spacing w:before="0" w:after="20" w:line="252" w:lineRule="auto"/>
            </w:pPr>
            <w:r>
              <w:rPr>
                <w:rFonts w:ascii="Consolas" w:hAnsi="Consolas"/>
                <w:color w:val="1E293B"/>
                <w:sz w:val="17"/>
              </w:rPr>
              <w:t xml:space="preserve">         [HPE DL380 Gen11 Node 1]   [HPE DL380 Node 2]   [Synology NAS]   [Staff Workstations]</w:t>
            </w:r>
          </w:p>
        </w:tc>
      </w:tr>
    </w:tbl>
    <w:p>
      <w:pPr>
        <w:spacing w:after="120"/>
      </w:pPr>
    </w:p>
    <w:p>
      <w:pPr>
        <w:spacing w:before="160" w:after="40"/>
      </w:pPr>
      <w:r>
        <w:rPr>
          <w:rFonts w:ascii="Calibri" w:hAnsi="Calibri"/>
          <w:b/>
          <w:color w:val="475569"/>
          <w:sz w:val="23"/>
        </w:rPr>
        <w:t>3.2.1 Sophos XGS 138 Next-Generation Firewall Management</w:t>
      </w:r>
    </w:p>
    <w:p>
      <w:pPr>
        <w:spacing w:before="40" w:after="100" w:line="283" w:lineRule="auto"/>
      </w:pPr>
      <w:r>
        <w:rPr>
          <w:rFonts w:ascii="Calibri" w:hAnsi="Calibri"/>
          <w:color w:val="282828"/>
          <w:sz w:val="22"/>
        </w:rPr>
        <w:t>The network perimeter of the AKIRS local datacenter node is anchored by a Sophos XGS 138 Next-Generation Firewall running SFOS (Sophos Firewall OS). The appliance provides dual-engine architecture combining a multi-core x86 CPU with an integrated Xstream Flow Processor designed for dedicated hardware acceleration of TLS inspection, IPS packet processing, and fast-path routing.</w:t>
      </w:r>
    </w:p>
    <w:p>
      <w:pPr>
        <w:spacing w:before="40" w:after="100" w:line="283" w:lineRule="auto"/>
      </w:pPr>
      <w:r>
        <w:rPr>
          <w:rFonts w:ascii="Calibri" w:hAnsi="Calibri"/>
          <w:color w:val="282828"/>
          <w:sz w:val="22"/>
        </w:rPr>
        <w:t>During my attachment, I assisted in:</w:t>
      </w:r>
    </w:p>
    <w:p>
      <w:pPr>
        <w:pStyle w:val="ListBullet"/>
        <w:spacing w:before="20" w:after="40" w:line="276" w:lineRule="auto"/>
      </w:pPr>
      <w:r>
        <w:rPr>
          <w:rFonts w:ascii="Calibri" w:hAnsi="Calibri"/>
          <w:color w:val="333333"/>
          <w:sz w:val="22"/>
        </w:rPr>
      </w:r>
      <w:r>
        <w:rPr>
          <w:rFonts w:ascii="Calibri" w:hAnsi="Calibri"/>
          <w:b/>
          <w:color w:val="333333"/>
          <w:sz w:val="22"/>
        </w:rPr>
        <w:t>Firewall Rule Formulation:</w:t>
      </w:r>
      <w:r>
        <w:rPr>
          <w:rFonts w:ascii="Calibri" w:hAnsi="Calibri"/>
          <w:color w:val="333333"/>
          <w:sz w:val="22"/>
        </w:rPr>
        <w:t xml:space="preserve"> Implementing strict zone-to-zone access policies (WAN to DMZ, LAN to WAN, DMZ to LAN) adhering to the principle of least privilege.</w:t>
      </w:r>
    </w:p>
    <w:p>
      <w:pPr>
        <w:pStyle w:val="ListBullet"/>
        <w:spacing w:before="20" w:after="40" w:line="276" w:lineRule="auto"/>
      </w:pPr>
      <w:r>
        <w:rPr>
          <w:rFonts w:ascii="Calibri" w:hAnsi="Calibri"/>
          <w:color w:val="333333"/>
          <w:sz w:val="22"/>
        </w:rPr>
      </w:r>
      <w:r>
        <w:rPr>
          <w:rFonts w:ascii="Calibri" w:hAnsi="Calibri"/>
          <w:b/>
          <w:color w:val="333333"/>
          <w:sz w:val="22"/>
        </w:rPr>
        <w:t>Network Address Translation (NAT):</w:t>
      </w:r>
      <w:r>
        <w:rPr>
          <w:rFonts w:ascii="Calibri" w:hAnsi="Calibri"/>
          <w:color w:val="333333"/>
          <w:sz w:val="22"/>
        </w:rPr>
        <w:t xml:space="preserve"> Formulating Source NAT (SNAT) masquerading rules for internal subnets and Destination NAT (DNAT) port-forwarding rules to expose specific internal tax portals securely.</w:t>
      </w:r>
    </w:p>
    <w:p>
      <w:pPr>
        <w:pStyle w:val="ListBullet"/>
        <w:spacing w:before="20" w:after="40" w:line="276" w:lineRule="auto"/>
      </w:pPr>
      <w:r>
        <w:rPr>
          <w:rFonts w:ascii="Calibri" w:hAnsi="Calibri"/>
          <w:color w:val="333333"/>
          <w:sz w:val="22"/>
        </w:rPr>
      </w:r>
      <w:r>
        <w:rPr>
          <w:rFonts w:ascii="Calibri" w:hAnsi="Calibri"/>
          <w:b/>
          <w:color w:val="333333"/>
          <w:sz w:val="22"/>
        </w:rPr>
        <w:t>Intrusion Prevention System (IPS):</w:t>
      </w:r>
      <w:r>
        <w:rPr>
          <w:rFonts w:ascii="Calibri" w:hAnsi="Calibri"/>
          <w:color w:val="333333"/>
          <w:sz w:val="22"/>
        </w:rPr>
        <w:t xml:space="preserve"> Assigning custom IPS policy rule sets optimized to detect, log, and drop known network vulnerability exploits, malicious port scanning, and denial-of-service signatures.</w:t>
      </w:r>
    </w:p>
    <w:p>
      <w:pPr>
        <w:pStyle w:val="ListBullet"/>
        <w:spacing w:before="20" w:after="40" w:line="276" w:lineRule="auto"/>
      </w:pPr>
      <w:r>
        <w:rPr>
          <w:rFonts w:ascii="Calibri" w:hAnsi="Calibri"/>
          <w:color w:val="333333"/>
          <w:sz w:val="22"/>
        </w:rPr>
      </w:r>
      <w:r>
        <w:rPr>
          <w:rFonts w:ascii="Calibri" w:hAnsi="Calibri"/>
          <w:b/>
          <w:color w:val="333333"/>
          <w:sz w:val="22"/>
        </w:rPr>
        <w:t>SSL/TLS Deep Packet Inspection:</w:t>
      </w:r>
      <w:r>
        <w:rPr>
          <w:rFonts w:ascii="Calibri" w:hAnsi="Calibri"/>
          <w:color w:val="333333"/>
          <w:sz w:val="22"/>
        </w:rPr>
        <w:t xml:space="preserve"> Configuring certificate authorities and decrypting outbound HTTPS traffic to inspect for concealed malicious payloads and unauthorized data exfiltration.</w:t>
      </w:r>
    </w:p>
    <w:p>
      <w:pPr>
        <w:pStyle w:val="ListBullet"/>
        <w:spacing w:before="20" w:after="40" w:line="276" w:lineRule="auto"/>
      </w:pPr>
      <w:r>
        <w:rPr>
          <w:rFonts w:ascii="Calibri" w:hAnsi="Calibri"/>
          <w:color w:val="333333"/>
          <w:sz w:val="22"/>
        </w:rPr>
      </w:r>
      <w:r>
        <w:rPr>
          <w:rFonts w:ascii="Calibri" w:hAnsi="Calibri"/>
          <w:b/>
          <w:color w:val="333333"/>
          <w:sz w:val="22"/>
        </w:rPr>
        <w:t>Configuration Backup Administration:</w:t>
      </w:r>
      <w:r>
        <w:rPr>
          <w:rFonts w:ascii="Calibri" w:hAnsi="Calibri"/>
          <w:color w:val="333333"/>
          <w:sz w:val="22"/>
        </w:rPr>
        <w:t xml:space="preserve"> Scheduling automated daily encrypted configuration snapshots exported to secure offsite storage, facilitating rapid bare-metal recovery in the event of hardware failure.</w:t>
      </w:r>
    </w:p>
    <w:p>
      <w:pPr>
        <w:spacing w:before="160" w:after="40"/>
      </w:pPr>
      <w:r>
        <w:rPr>
          <w:rFonts w:ascii="Calibri" w:hAnsi="Calibri"/>
          <w:b/>
          <w:color w:val="475569"/>
          <w:sz w:val="23"/>
        </w:rPr>
        <w:t>3.2.2 Cisco Catalyst 1300 Switch Administration &amp; VLAN Segmentation</w:t>
      </w:r>
    </w:p>
    <w:p>
      <w:pPr>
        <w:spacing w:before="40" w:after="100" w:line="283" w:lineRule="auto"/>
      </w:pPr>
      <w:r>
        <w:rPr>
          <w:rFonts w:ascii="Calibri" w:hAnsi="Calibri"/>
          <w:color w:val="282828"/>
          <w:sz w:val="22"/>
        </w:rPr>
        <w:t>Core distribution and access layer switching in the datacenter is handled by enterprise-grade Cisco Catalyst 1300 managed switches. To prevent broadcast storms, isolate administrative access, and protect production database servers from workstation subnets, a rigorous IEEE 802.1Q Virtual Local Area Network (VLAN) scheme was implemented:</w:t>
      </w:r>
    </w:p>
    <w:p>
      <w:pPr>
        <w:pStyle w:val="ListBullet"/>
        <w:spacing w:before="20" w:after="40" w:line="276" w:lineRule="auto"/>
      </w:pPr>
      <w:r>
        <w:rPr>
          <w:rFonts w:ascii="Calibri" w:hAnsi="Calibri"/>
          <w:color w:val="333333"/>
          <w:sz w:val="22"/>
        </w:rPr>
      </w:r>
      <w:r>
        <w:rPr>
          <w:rFonts w:ascii="Calibri" w:hAnsi="Calibri"/>
          <w:b/>
          <w:color w:val="333333"/>
          <w:sz w:val="22"/>
        </w:rPr>
        <w:t>VLAN 10 (Management Subnet):</w:t>
      </w:r>
      <w:r>
        <w:rPr>
          <w:rFonts w:ascii="Calibri" w:hAnsi="Calibri"/>
          <w:color w:val="333333"/>
          <w:sz w:val="22"/>
        </w:rPr>
        <w:t xml:space="preserve"> Dedicated strictly to out-of-band management interfaces, including HPE iLO 6, VMware ESXi management vmkernel ports, and switch console web interfaces.</w:t>
      </w:r>
    </w:p>
    <w:p>
      <w:pPr>
        <w:pStyle w:val="ListBullet"/>
        <w:spacing w:before="20" w:after="40" w:line="276" w:lineRule="auto"/>
      </w:pPr>
      <w:r>
        <w:rPr>
          <w:rFonts w:ascii="Calibri" w:hAnsi="Calibri"/>
          <w:color w:val="333333"/>
          <w:sz w:val="22"/>
        </w:rPr>
      </w:r>
      <w:r>
        <w:rPr>
          <w:rFonts w:ascii="Calibri" w:hAnsi="Calibri"/>
          <w:b/>
          <w:color w:val="333333"/>
          <w:sz w:val="22"/>
        </w:rPr>
        <w:t>VLAN 20 (Server &amp; Virtualization Subnet):</w:t>
      </w:r>
      <w:r>
        <w:rPr>
          <w:rFonts w:ascii="Calibri" w:hAnsi="Calibri"/>
          <w:color w:val="333333"/>
          <w:sz w:val="22"/>
        </w:rPr>
        <w:t xml:space="preserve"> Reserved exclusively for production virtual machines hosting tax databases, application backends, and domain controllers.</w:t>
      </w:r>
    </w:p>
    <w:p>
      <w:pPr>
        <w:pStyle w:val="ListBullet"/>
        <w:spacing w:before="20" w:after="40" w:line="276" w:lineRule="auto"/>
      </w:pPr>
      <w:r>
        <w:rPr>
          <w:rFonts w:ascii="Calibri" w:hAnsi="Calibri"/>
          <w:color w:val="333333"/>
          <w:sz w:val="22"/>
        </w:rPr>
      </w:r>
      <w:r>
        <w:rPr>
          <w:rFonts w:ascii="Calibri" w:hAnsi="Calibri"/>
          <w:b/>
          <w:color w:val="333333"/>
          <w:sz w:val="22"/>
        </w:rPr>
        <w:t>VLAN 30 (Staff Workstation Subnet):</w:t>
      </w:r>
      <w:r>
        <w:rPr>
          <w:rFonts w:ascii="Calibri" w:hAnsi="Calibri"/>
          <w:color w:val="333333"/>
          <w:sz w:val="22"/>
        </w:rPr>
        <w:t xml:space="preserve"> Serving desktop clients, printers, and administrative laptops across the Revenue House floors with strict firewall access rules preventing direct connections to database ports.</w:t>
      </w:r>
    </w:p>
    <w:p>
      <w:pPr>
        <w:pStyle w:val="ListBullet"/>
        <w:spacing w:before="20" w:after="40" w:line="276" w:lineRule="auto"/>
      </w:pPr>
      <w:r>
        <w:rPr>
          <w:rFonts w:ascii="Calibri" w:hAnsi="Calibri"/>
          <w:color w:val="333333"/>
          <w:sz w:val="22"/>
        </w:rPr>
      </w:r>
      <w:r>
        <w:rPr>
          <w:rFonts w:ascii="Calibri" w:hAnsi="Calibri"/>
          <w:b/>
          <w:color w:val="333333"/>
          <w:sz w:val="22"/>
        </w:rPr>
        <w:t>VLAN 40 (DMZ Subnet):</w:t>
      </w:r>
      <w:r>
        <w:rPr>
          <w:rFonts w:ascii="Calibri" w:hAnsi="Calibri"/>
          <w:color w:val="333333"/>
          <w:sz w:val="22"/>
        </w:rPr>
        <w:t xml:space="preserve"> Segmented perimeter network hosting externally accessible web portals and staging ingress points.</w:t>
      </w:r>
    </w:p>
    <w:p>
      <w:pPr>
        <w:spacing w:before="40" w:after="100" w:line="283" w:lineRule="auto"/>
      </w:pPr>
      <w:r>
        <w:rPr>
          <w:rFonts w:ascii="Calibri" w:hAnsi="Calibri"/>
          <w:color w:val="282828"/>
          <w:sz w:val="22"/>
        </w:rPr>
        <w:t>Port security policies were enforced on physical switch ports, binding connected devices to authorized MAC addresses and immediately disabling ports (err-disable state) upon detecting unauthorized network hardware insertion.</w:t>
      </w:r>
    </w:p>
    <w:p>
      <w:pPr>
        <w:spacing w:before="160" w:after="40"/>
      </w:pPr>
      <w:r>
        <w:rPr>
          <w:rFonts w:ascii="Calibri" w:hAnsi="Calibri"/>
          <w:b/>
          <w:color w:val="475569"/>
          <w:sz w:val="23"/>
        </w:rPr>
        <w:t>3.2.3 High-Availability Internet Connectivity &amp; Starlink Satellite Link</w:t>
      </w:r>
    </w:p>
    <w:p>
      <w:pPr>
        <w:spacing w:before="40" w:after="100" w:line="283" w:lineRule="auto"/>
      </w:pPr>
      <w:r>
        <w:rPr>
          <w:rFonts w:ascii="Calibri" w:hAnsi="Calibri"/>
          <w:color w:val="282828"/>
          <w:sz w:val="22"/>
        </w:rPr>
        <w:t>Revenue collection operations require continuous, uninterrupted connectivity to commercial banks, payment settlement switches (such as Interswitch and Remita), and national tax databases. To mitigate the chronic risk of terrestrial fiber cuts caused by road construction or municipal utility works, a resilient dual-WAN failover architecture was deployed.</w:t>
      </w:r>
    </w:p>
    <w:p>
      <w:pPr>
        <w:spacing w:before="40" w:after="100" w:line="283" w:lineRule="auto"/>
      </w:pPr>
      <w:r>
        <w:rPr>
          <w:rFonts w:ascii="Calibri" w:hAnsi="Calibri"/>
          <w:color w:val="282828"/>
          <w:sz w:val="22"/>
        </w:rPr>
        <w:t xml:space="preserve">The primary WAN link comprises a dedicated enterprise terrestrial fiber line terminating in Port 2 of the Sophos XGS firewall. The secondary redundant WAN link is provided by a </w:t>
      </w:r>
      <w:r>
        <w:rPr>
          <w:rFonts w:ascii="Calibri" w:hAnsi="Calibri"/>
          <w:b/>
          <w:color w:val="282828"/>
          <w:sz w:val="22"/>
        </w:rPr>
        <w:t>Starlink Low-Earth Orbit (LEO) Satellite Terminal</w:t>
      </w:r>
      <w:r>
        <w:rPr>
          <w:rFonts w:ascii="Calibri" w:hAnsi="Calibri"/>
          <w:color w:val="282828"/>
          <w:sz w:val="22"/>
        </w:rPr>
        <w:t xml:space="preserve"> mounted on the roof of Revenue House, connected via an enterprise PoE injector to Port 3. The Sophos firewall executes automated ICMP health probing every five (5) seconds across both interfaces. When the primary fiber link drops packets or experiences latency exceeding 250ms, the firewall automatically triggers zero-packet-loss session failover to the Starlink satellite link, ensuring field tax offices and bank integrations continue operating seamlessly.</w:t>
      </w:r>
    </w:p>
    <w:p>
      <w:pPr>
        <w:spacing w:before="160" w:after="40"/>
      </w:pPr>
      <w:r>
        <w:rPr>
          <w:rFonts w:ascii="Calibri" w:hAnsi="Calibri"/>
          <w:b/>
          <w:color w:val="475569"/>
          <w:sz w:val="23"/>
        </w:rPr>
        <w:t>3.2.4 Tasks Completed in Network Administration</w:t>
      </w:r>
    </w:p>
    <w:p>
      <w:pPr>
        <w:pStyle w:val="ListBullet"/>
        <w:spacing w:before="20" w:after="40" w:line="276" w:lineRule="auto"/>
      </w:pPr>
      <w:r>
        <w:rPr>
          <w:rFonts w:ascii="Calibri" w:hAnsi="Calibri"/>
          <w:color w:val="333333"/>
          <w:sz w:val="22"/>
        </w:rPr>
        <w:t>Configured and audited over 40 granular firewall rule sets on the Sophos XGS 138 console, disabling legacy permissive rules and establishing strict time-based internet access policies for administrative staff.</w:t>
      </w:r>
    </w:p>
    <w:p>
      <w:pPr>
        <w:pStyle w:val="ListBullet"/>
        <w:spacing w:before="20" w:after="40" w:line="276" w:lineRule="auto"/>
      </w:pPr>
      <w:r>
        <w:rPr>
          <w:rFonts w:ascii="Calibri" w:hAnsi="Calibri"/>
          <w:color w:val="333333"/>
          <w:sz w:val="22"/>
        </w:rPr>
        <w:t>Configured IEEE 802.1Q VLAN trunk ports and access ports across the Cisco Catalyst 1300 switch, verifying subnet isolation using ping sweeps and Wireshark packet analysis.</w:t>
      </w:r>
    </w:p>
    <w:p>
      <w:pPr>
        <w:pStyle w:val="ListBullet"/>
        <w:spacing w:before="20" w:after="40" w:line="276" w:lineRule="auto"/>
      </w:pPr>
      <w:r>
        <w:rPr>
          <w:rFonts w:ascii="Calibri" w:hAnsi="Calibri"/>
          <w:color w:val="333333"/>
          <w:sz w:val="22"/>
        </w:rPr>
        <w:t>Conducted weekly failover simulation tests by physically disconnecting the primary terrestrial WAN link and verifying that the Sophos multi-WAN engine successfully diverted all active production traffic to Starlink within three seconds.</w:t>
      </w:r>
    </w:p>
    <w:p>
      <w:pPr>
        <w:pStyle w:val="ListBullet"/>
        <w:spacing w:before="20" w:after="40" w:line="276" w:lineRule="auto"/>
      </w:pPr>
      <w:r>
        <w:rPr>
          <w:rFonts w:ascii="Calibri" w:hAnsi="Calibri"/>
          <w:color w:val="333333"/>
          <w:sz w:val="22"/>
        </w:rPr>
        <w:t>Generated and archived automated weekly firewall configuration backups and analyzed threat intelligence dashboards to block unauthorized foreign IP ranges probing the state perimeter.</w:t>
      </w:r>
    </w:p>
    <w:p>
      <w:pPr>
        <w:spacing w:before="200" w:after="60"/>
      </w:pPr>
      <w:r>
        <w:rPr>
          <w:rFonts w:ascii="Calibri" w:hAnsi="Calibri"/>
          <w:b/>
          <w:color w:val="2D3748"/>
          <w:sz w:val="25"/>
        </w:rPr>
        <w:t>3.3 SERVER &amp; HYPERVISOR ADMINISTRATION</w:t>
      </w:r>
    </w:p>
    <w:tbl>
      <w:tblPr>
        <w:tblW w:type="auto" w:w="0"/>
        <w:jc w:val="center"/>
        <w:tblLayout w:type="fixed"/>
        <w:tblLook w:firstColumn="1" w:firstRow="1" w:lastColumn="0" w:lastRow="0" w:noHBand="0" w:noVBand="1" w:val="04A0"/>
      </w:tblPr>
      <w:tblGrid>
        <w:gridCol w:w="8928"/>
      </w:tblGrid>
      <w:tr>
        <w:tc>
          <w:tcPr>
            <w:tcW w:type="dxa" w:w="9000"/>
            <w:shd w:fill="F4F5F7"/>
            <w:tcMar>
              <w:top w:w="140" w:type="dxa"/>
              <w:bottom w:w="140" w:type="dxa"/>
              <w:left w:w="200" w:type="dxa"/>
              <w:right w:w="200" w:type="dxa"/>
            </w:tcMar>
            <w:tcBorders>
              <w:top w:val="single" w:sz="4" w:space="0" w:color="D0D5DD"/>
              <w:bottom w:val="single" w:sz="4" w:space="0" w:color="D0D5DD"/>
              <w:left w:val="single" w:sz="18" w:space="0" w:color="1F4E79"/>
              <w:right w:val="single" w:sz="4" w:space="0" w:color="D0D5DD"/>
            </w:tcBorders>
          </w:tcPr>
          <w:p>
            <w:pPr>
              <w:spacing w:before="0" w:after="20" w:line="252" w:lineRule="auto"/>
            </w:pPr>
            <w:r/>
            <w:r>
              <w:rPr>
                <w:rFonts w:ascii="Consolas" w:hAnsi="Consolas"/>
                <w:color w:val="1E293B"/>
                <w:sz w:val="17"/>
              </w:rPr>
              <w:t xml:space="preserve">                         ┌───────────────────────────────────────────────┐</w:t>
            </w:r>
          </w:p>
          <w:p>
            <w:pPr>
              <w:spacing w:before="0" w:after="20" w:line="252" w:lineRule="auto"/>
            </w:pPr>
            <w:r>
              <w:rPr>
                <w:rFonts w:ascii="Consolas" w:hAnsi="Consolas"/>
                <w:color w:val="1E293B"/>
                <w:sz w:val="17"/>
              </w:rPr>
              <w:t xml:space="preserve">                         │        VMWARE VCENTER SERVER APPLIANCE        │</w:t>
            </w:r>
          </w:p>
          <w:p>
            <w:pPr>
              <w:spacing w:before="0" w:after="20" w:line="252" w:lineRule="auto"/>
            </w:pPr>
            <w:r>
              <w:rPr>
                <w:rFonts w:ascii="Consolas" w:hAnsi="Consolas"/>
                <w:color w:val="1E293B"/>
                <w:sz w:val="17"/>
              </w:rPr>
              <w:t xml:space="preserve">                         │   Centralized Cluster Management &amp; vMotion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HPE PROLIANT DL380 GEN11  │                         │   HPE PROLIANT DL380 GEN11  │</w:t>
            </w:r>
          </w:p>
          <w:p>
            <w:pPr>
              <w:spacing w:before="0" w:after="20" w:line="252" w:lineRule="auto"/>
            </w:pPr>
            <w:r>
              <w:rPr>
                <w:rFonts w:ascii="Consolas" w:hAnsi="Consolas"/>
                <w:color w:val="1E293B"/>
                <w:sz w:val="17"/>
              </w:rPr>
              <w:t xml:space="preserve">      │         [HOST NODE 1]       │  ◄─── Live vMotion ───► │         [HOST NODE 2]       │</w:t>
            </w:r>
          </w:p>
          <w:p>
            <w:pPr>
              <w:spacing w:before="0" w:after="20" w:line="252" w:lineRule="auto"/>
            </w:pPr>
            <w:r>
              <w:rPr>
                <w:rFonts w:ascii="Consolas" w:hAnsi="Consolas"/>
                <w:color w:val="1E293B"/>
                <w:sz w:val="17"/>
              </w:rPr>
              <w:t xml:space="preserve">      │  VMware ESXi 8.0 Hypervisor │     Migration Link      │  VMware ESXi 8.0 Hypervisor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[VM1: Tax Core Database]    │                         │ [VM4: Intelligence Recon]   │</w:t>
            </w:r>
          </w:p>
          <w:p>
            <w:pPr>
              <w:spacing w:before="0" w:after="20" w:line="252" w:lineRule="auto"/>
            </w:pPr>
            <w:r>
              <w:rPr>
                <w:rFonts w:ascii="Consolas" w:hAnsi="Consolas"/>
                <w:color w:val="1E293B"/>
                <w:sz w:val="17"/>
              </w:rPr>
              <w:t xml:space="preserve">      │ [VM2: Bank Ingestion Portal]│                         │ [VM5: Ingress Proxy Mesh]   │</w:t>
            </w:r>
          </w:p>
          <w:p>
            <w:pPr>
              <w:spacing w:before="0" w:after="20" w:line="252" w:lineRule="auto"/>
            </w:pPr>
            <w:r>
              <w:rPr>
                <w:rFonts w:ascii="Consolas" w:hAnsi="Consolas"/>
                <w:color w:val="1E293B"/>
                <w:sz w:val="17"/>
              </w:rPr>
              <w:t xml:space="preserve">      │ [VM3: Active Directory/DNS] │                         │ [VM6: Veeam Backup Server]  │</w:t>
            </w:r>
          </w:p>
          <w:p>
            <w:pPr>
              <w:spacing w:before="0" w:after="20" w:line="252" w:lineRule="auto"/>
            </w:pPr>
            <w:r>
              <w:rPr>
                <w:rFonts w:ascii="Consolas" w:hAnsi="Consolas"/>
                <w:color w:val="1E293B"/>
                <w:sz w:val="17"/>
              </w:rPr>
              <w:t xml:space="preserve">      └─────────────────────────────┘                         └─────────────────────────────┘</w:t>
            </w:r>
          </w:p>
        </w:tc>
      </w:tr>
    </w:tbl>
    <w:p>
      <w:pPr>
        <w:spacing w:after="120"/>
      </w:pPr>
    </w:p>
    <w:p>
      <w:pPr>
        <w:spacing w:before="160" w:after="40"/>
      </w:pPr>
      <w:r>
        <w:rPr>
          <w:rFonts w:ascii="Calibri" w:hAnsi="Calibri"/>
          <w:b/>
          <w:color w:val="475569"/>
          <w:sz w:val="23"/>
        </w:rPr>
        <w:t>3.3.1 Dual HPE ProLiant DL380 Gen11 Compute Servers</w:t>
      </w:r>
    </w:p>
    <w:p>
      <w:pPr>
        <w:spacing w:before="40" w:after="100" w:line="283" w:lineRule="auto"/>
      </w:pPr>
      <w:r>
        <w:rPr>
          <w:rFonts w:ascii="Calibri" w:hAnsi="Calibri"/>
          <w:color w:val="282828"/>
          <w:sz w:val="22"/>
        </w:rPr>
        <w:t>The local datacenter node hosts two high-density enterprise HPE ProLiant DL380 Gen11 2U rack servers. Each server chassis is equipped with dual Intel Xeon Silver Scalable processors, 128 GB of high-speed DDR5 Registered ECC memory, redundant hot-plug platinum power supplies (800W), and integrated HPE Integrated Lights-Out (iLO 6) management processors.</w:t>
      </w:r>
    </w:p>
    <w:p>
      <w:pPr>
        <w:spacing w:before="40" w:after="100" w:line="283" w:lineRule="auto"/>
      </w:pPr>
      <w:r>
        <w:rPr>
          <w:rFonts w:ascii="Calibri" w:hAnsi="Calibri"/>
          <w:color w:val="282828"/>
          <w:sz w:val="22"/>
        </w:rPr>
        <w:t>I was exposed to physical server mounting, cable dress management, out-of-band iLO configuration, firmware updating, and thermal threshold monitoring. The hardware provides the foundational computational capacity to run mission-critical virtualized database servers and application services without resource contention.</w:t>
      </w:r>
    </w:p>
    <w:p>
      <w:pPr>
        <w:spacing w:before="160" w:after="40"/>
      </w:pPr>
      <w:r>
        <w:rPr>
          <w:rFonts w:ascii="Calibri" w:hAnsi="Calibri"/>
          <w:b/>
          <w:color w:val="475569"/>
          <w:sz w:val="23"/>
        </w:rPr>
        <w:t>3.3.2 VMware ESXi 8.0 Hypervisor Host Management</w:t>
      </w:r>
    </w:p>
    <w:p>
      <w:pPr>
        <w:spacing w:before="40" w:after="100" w:line="283" w:lineRule="auto"/>
      </w:pPr>
      <w:r>
        <w:rPr>
          <w:rFonts w:ascii="Calibri" w:hAnsi="Calibri"/>
          <w:color w:val="282828"/>
          <w:sz w:val="22"/>
        </w:rPr>
        <w:t>Each physical HPE compute server runs a bare-metal installation of VMware ESXi 8.0. As a type-1 hypervisor, ESXi runs directly on the bare-metal hardware without an underlying host operating system, ensuring optimal performance, near-zero virtualization overhead, and rigorous hardware isolation.</w:t>
      </w:r>
    </w:p>
    <w:p>
      <w:pPr>
        <w:spacing w:before="40" w:after="100" w:line="283" w:lineRule="auto"/>
      </w:pPr>
      <w:r>
        <w:rPr>
          <w:rFonts w:ascii="Calibri" w:hAnsi="Calibri"/>
          <w:color w:val="282828"/>
          <w:sz w:val="22"/>
        </w:rPr>
        <w:t>Key hypervisor administration tasks performed included:</w:t>
      </w:r>
    </w:p>
    <w:p>
      <w:pPr>
        <w:pStyle w:val="ListBullet"/>
        <w:spacing w:before="20" w:after="40" w:line="276" w:lineRule="auto"/>
      </w:pPr>
      <w:r>
        <w:rPr>
          <w:rFonts w:ascii="Calibri" w:hAnsi="Calibri"/>
          <w:color w:val="333333"/>
          <w:sz w:val="22"/>
        </w:rPr>
      </w:r>
      <w:r>
        <w:rPr>
          <w:rFonts w:ascii="Calibri" w:hAnsi="Calibri"/>
          <w:b/>
          <w:color w:val="333333"/>
          <w:sz w:val="22"/>
        </w:rPr>
        <w:t>Storage Datastore Mounting:</w:t>
      </w:r>
      <w:r>
        <w:rPr>
          <w:rFonts w:ascii="Calibri" w:hAnsi="Calibri"/>
          <w:color w:val="333333"/>
          <w:sz w:val="22"/>
        </w:rPr>
        <w:t xml:space="preserve"> Configuring iSCSI and NFS software adapters to connect ESXi hosts to shared storage volumes hosted on the Synology NAS.</w:t>
      </w:r>
    </w:p>
    <w:p>
      <w:pPr>
        <w:pStyle w:val="ListBullet"/>
        <w:spacing w:before="20" w:after="40" w:line="276" w:lineRule="auto"/>
      </w:pPr>
      <w:r>
        <w:rPr>
          <w:rFonts w:ascii="Calibri" w:hAnsi="Calibri"/>
          <w:color w:val="333333"/>
          <w:sz w:val="22"/>
        </w:rPr>
      </w:r>
      <w:r>
        <w:rPr>
          <w:rFonts w:ascii="Calibri" w:hAnsi="Calibri"/>
          <w:b/>
          <w:color w:val="333333"/>
          <w:sz w:val="22"/>
        </w:rPr>
        <w:t>Virtual Switch (vSwitch) Configuration:</w:t>
      </w:r>
      <w:r>
        <w:rPr>
          <w:rFonts w:ascii="Calibri" w:hAnsi="Calibri"/>
          <w:color w:val="333333"/>
          <w:sz w:val="22"/>
        </w:rPr>
        <w:t xml:space="preserve"> Creating standard virtual switches (vSwitch0, vSwitch1), provisioning virtual port groups tagged with respective VLAN IDs (VLAN 10, 20, 30, 40), and assigning physical network interface cards (NIC teaming) for failover and load balancing.</w:t>
      </w:r>
    </w:p>
    <w:p>
      <w:pPr>
        <w:pStyle w:val="ListBullet"/>
        <w:spacing w:before="20" w:after="40" w:line="276" w:lineRule="auto"/>
      </w:pPr>
      <w:r>
        <w:rPr>
          <w:rFonts w:ascii="Calibri" w:hAnsi="Calibri"/>
          <w:color w:val="333333"/>
          <w:sz w:val="22"/>
        </w:rPr>
      </w:r>
      <w:r>
        <w:rPr>
          <w:rFonts w:ascii="Calibri" w:hAnsi="Calibri"/>
          <w:b/>
          <w:color w:val="333333"/>
          <w:sz w:val="22"/>
        </w:rPr>
        <w:t>Hardware Resource Monitoring:</w:t>
      </w:r>
      <w:r>
        <w:rPr>
          <w:rFonts w:ascii="Calibri" w:hAnsi="Calibri"/>
          <w:color w:val="333333"/>
          <w:sz w:val="22"/>
        </w:rPr>
        <w:t xml:space="preserve"> Tracking CPU clock utilization, memory ballooning, storage I/O latency, and hardware sensor telemetry directly through the ESXi Host Client web interface.</w:t>
      </w:r>
    </w:p>
    <w:p>
      <w:pPr>
        <w:spacing w:before="160" w:after="40"/>
      </w:pPr>
      <w:r>
        <w:rPr>
          <w:rFonts w:ascii="Calibri" w:hAnsi="Calibri"/>
          <w:b/>
          <w:color w:val="475569"/>
          <w:sz w:val="23"/>
        </w:rPr>
        <w:t>3.3.3 VMware vCenter Server Administration &amp; Resource Scheduling</w:t>
      </w:r>
    </w:p>
    <w:p>
      <w:pPr>
        <w:spacing w:before="40" w:after="100" w:line="283" w:lineRule="auto"/>
      </w:pPr>
      <w:r>
        <w:rPr>
          <w:rFonts w:ascii="Calibri" w:hAnsi="Calibri"/>
          <w:color w:val="282828"/>
          <w:sz w:val="22"/>
        </w:rPr>
        <w:t xml:space="preserve">Both physical ESXi hosts were joined into a unified enterprise cluster managed through the </w:t>
      </w:r>
      <w:r>
        <w:rPr>
          <w:rFonts w:ascii="Calibri" w:hAnsi="Calibri"/>
          <w:b/>
          <w:color w:val="282828"/>
          <w:sz w:val="22"/>
        </w:rPr>
        <w:t>VMware vCenter Server Appliance (VCSA)</w:t>
      </w:r>
      <w:r>
        <w:rPr>
          <w:rFonts w:ascii="Calibri" w:hAnsi="Calibri"/>
          <w:color w:val="282828"/>
          <w:sz w:val="22"/>
        </w:rPr>
        <w:t>. vCenter provides a centralized single-pane-of-glass management console for orchestrating the entire virtualization fabric.</w:t>
      </w:r>
    </w:p>
    <w:p>
      <w:pPr>
        <w:spacing w:before="40" w:after="100" w:line="283" w:lineRule="auto"/>
      </w:pPr>
      <w:r>
        <w:rPr>
          <w:rFonts w:ascii="Calibri" w:hAnsi="Calibri"/>
          <w:color w:val="282828"/>
          <w:sz w:val="22"/>
        </w:rPr>
        <w:t>I was trained on:</w:t>
      </w:r>
    </w:p>
    <w:p>
      <w:pPr>
        <w:pStyle w:val="ListBullet"/>
        <w:spacing w:before="20" w:after="40" w:line="276" w:lineRule="auto"/>
      </w:pPr>
      <w:r>
        <w:rPr>
          <w:rFonts w:ascii="Calibri" w:hAnsi="Calibri"/>
          <w:color w:val="333333"/>
          <w:sz w:val="22"/>
        </w:rPr>
        <w:t>Setting up VMware High Availability (HA) clusters that automatically restart virtual machines on the surviving host if a physical hardware failure occurs on one node.</w:t>
      </w:r>
    </w:p>
    <w:p>
      <w:pPr>
        <w:pStyle w:val="ListBullet"/>
        <w:spacing w:before="20" w:after="40" w:line="276" w:lineRule="auto"/>
      </w:pPr>
      <w:r>
        <w:rPr>
          <w:rFonts w:ascii="Calibri" w:hAnsi="Calibri"/>
          <w:color w:val="333333"/>
          <w:sz w:val="22"/>
        </w:rPr>
        <w:t>Configuring Distributed Resource Scheduler (DRS) rules, balancing computational load dynamically across both physical hosts based on real-time CPU and memory utilization thresholds.</w:t>
      </w:r>
    </w:p>
    <w:p>
      <w:pPr>
        <w:pStyle w:val="ListBullet"/>
        <w:spacing w:before="20" w:after="40" w:line="276" w:lineRule="auto"/>
      </w:pPr>
      <w:r>
        <w:rPr>
          <w:rFonts w:ascii="Calibri" w:hAnsi="Calibri"/>
          <w:color w:val="333333"/>
          <w:sz w:val="22"/>
        </w:rPr>
        <w:t>Organizing virtual machines into structured hierarchical folders and assigning granular Role-Based Access Controls (RBAC) to ensure unauthorized administrators cannot modify core database VM configurations.</w:t>
      </w:r>
    </w:p>
    <w:p>
      <w:pPr>
        <w:spacing w:before="160" w:after="40"/>
      </w:pPr>
      <w:r>
        <w:rPr>
          <w:rFonts w:ascii="Calibri" w:hAnsi="Calibri"/>
          <w:b/>
          <w:color w:val="475569"/>
          <w:sz w:val="23"/>
        </w:rPr>
        <w:t>3.3.4 Virtual Machine Lifecycle &amp; Live Migration (vMotion)</w:t>
      </w:r>
    </w:p>
    <w:p>
      <w:pPr>
        <w:spacing w:before="40" w:after="100" w:line="283" w:lineRule="auto"/>
      </w:pPr>
      <w:r>
        <w:rPr>
          <w:rFonts w:ascii="Calibri" w:hAnsi="Calibri"/>
          <w:color w:val="282828"/>
          <w:sz w:val="22"/>
        </w:rPr>
        <w:t>The datacenter environment runs six primary production virtual machines distributed across the compute cluster:</w:t>
      </w:r>
    </w:p>
    <w:p>
      <w:pPr>
        <w:pStyle w:val="ListNumber"/>
        <w:spacing w:before="20" w:after="40" w:line="276" w:lineRule="auto"/>
      </w:pPr>
      <w:r>
        <w:rPr>
          <w:rFonts w:ascii="Calibri" w:hAnsi="Calibri"/>
          <w:color w:val="333333"/>
          <w:sz w:val="22"/>
        </w:rPr>
      </w:r>
      <w:r>
        <w:rPr>
          <w:rFonts w:ascii="Calibri" w:hAnsi="Calibri"/>
          <w:b/>
          <w:color w:val="333333"/>
          <w:sz w:val="22"/>
        </w:rPr>
        <w:t>AKIRS-DB-PROD:</w:t>
      </w:r>
      <w:r>
        <w:rPr>
          <w:rFonts w:ascii="Calibri" w:hAnsi="Calibri"/>
          <w:color w:val="333333"/>
          <w:sz w:val="22"/>
        </w:rPr>
        <w:t xml:space="preserve"> Production relational database engine (PostgreSQL/SQL Server) housing core taxpayer registration records and payment receipts.</w:t>
      </w:r>
    </w:p>
    <w:p>
      <w:pPr>
        <w:pStyle w:val="ListNumber"/>
        <w:spacing w:before="20" w:after="40" w:line="276" w:lineRule="auto"/>
      </w:pPr>
      <w:r>
        <w:rPr>
          <w:rFonts w:ascii="Calibri" w:hAnsi="Calibri"/>
          <w:color w:val="333333"/>
          <w:sz w:val="22"/>
        </w:rPr>
      </w:r>
      <w:r>
        <w:rPr>
          <w:rFonts w:ascii="Calibri" w:hAnsi="Calibri"/>
          <w:b/>
          <w:color w:val="333333"/>
          <w:sz w:val="22"/>
        </w:rPr>
        <w:t>AKIRS-DATA-CLEANER:</w:t>
      </w:r>
      <w:r>
        <w:rPr>
          <w:rFonts w:ascii="Calibri" w:hAnsi="Calibri"/>
          <w:color w:val="333333"/>
          <w:sz w:val="22"/>
        </w:rPr>
        <w:t xml:space="preserve"> Linux VM hosting the FastAPI banking data cleaning and batch ingestion engine.</w:t>
      </w:r>
    </w:p>
    <w:p>
      <w:pPr>
        <w:pStyle w:val="ListNumber"/>
        <w:spacing w:before="20" w:after="40" w:line="276" w:lineRule="auto"/>
      </w:pPr>
      <w:r>
        <w:rPr>
          <w:rFonts w:ascii="Calibri" w:hAnsi="Calibri"/>
          <w:color w:val="333333"/>
          <w:sz w:val="22"/>
        </w:rPr>
      </w:r>
      <w:r>
        <w:rPr>
          <w:rFonts w:ascii="Calibri" w:hAnsi="Calibri"/>
          <w:b/>
          <w:color w:val="333333"/>
          <w:sz w:val="22"/>
        </w:rPr>
        <w:t>AKIRS-AUTO-RECON:</w:t>
      </w:r>
      <w:r>
        <w:rPr>
          <w:rFonts w:ascii="Calibri" w:hAnsi="Calibri"/>
          <w:color w:val="333333"/>
          <w:sz w:val="22"/>
        </w:rPr>
        <w:t xml:space="preserve"> High-performance Linux VM executing headless Playwright browser automation and OSINT reconnaissance scrapers.</w:t>
      </w:r>
    </w:p>
    <w:p>
      <w:pPr>
        <w:pStyle w:val="ListNumber"/>
        <w:spacing w:before="20" w:after="40" w:line="276" w:lineRule="auto"/>
      </w:pPr>
      <w:r>
        <w:rPr>
          <w:rFonts w:ascii="Calibri" w:hAnsi="Calibri"/>
          <w:color w:val="333333"/>
          <w:sz w:val="22"/>
        </w:rPr>
      </w:r>
      <w:r>
        <w:rPr>
          <w:rFonts w:ascii="Calibri" w:hAnsi="Calibri"/>
          <w:b/>
          <w:color w:val="333333"/>
          <w:sz w:val="22"/>
        </w:rPr>
        <w:t>AKIRS-AD-DNS:</w:t>
      </w:r>
      <w:r>
        <w:rPr>
          <w:rFonts w:ascii="Calibri" w:hAnsi="Calibri"/>
          <w:color w:val="333333"/>
          <w:sz w:val="22"/>
        </w:rPr>
        <w:t xml:space="preserve"> Windows Server VM providing enterprise Active Directory Domain Services, Kerberos authentication, and local recursive DNS.</w:t>
      </w:r>
    </w:p>
    <w:p>
      <w:pPr>
        <w:pStyle w:val="ListNumber"/>
        <w:spacing w:before="20" w:after="40" w:line="276" w:lineRule="auto"/>
      </w:pPr>
      <w:r>
        <w:rPr>
          <w:rFonts w:ascii="Calibri" w:hAnsi="Calibri"/>
          <w:color w:val="333333"/>
          <w:sz w:val="22"/>
        </w:rPr>
      </w:r>
      <w:r>
        <w:rPr>
          <w:rFonts w:ascii="Calibri" w:hAnsi="Calibri"/>
          <w:b/>
          <w:color w:val="333333"/>
          <w:sz w:val="22"/>
        </w:rPr>
        <w:t>AKIRS-INGRESS-MESH:</w:t>
      </w:r>
      <w:r>
        <w:rPr>
          <w:rFonts w:ascii="Calibri" w:hAnsi="Calibri"/>
          <w:color w:val="333333"/>
          <w:sz w:val="22"/>
        </w:rPr>
        <w:t xml:space="preserve"> System VM running the distributed Bridge ingress proxy nodes for secure internal routing.</w:t>
      </w:r>
    </w:p>
    <w:p>
      <w:pPr>
        <w:pStyle w:val="ListNumber"/>
        <w:spacing w:before="20" w:after="40" w:line="276" w:lineRule="auto"/>
      </w:pPr>
      <w:r>
        <w:rPr>
          <w:rFonts w:ascii="Calibri" w:hAnsi="Calibri"/>
          <w:color w:val="333333"/>
          <w:sz w:val="22"/>
        </w:rPr>
      </w:r>
      <w:r>
        <w:rPr>
          <w:rFonts w:ascii="Calibri" w:hAnsi="Calibri"/>
          <w:b/>
          <w:color w:val="333333"/>
          <w:sz w:val="22"/>
        </w:rPr>
        <w:t>AKIRS-VEEAM-B&amp;R:</w:t>
      </w:r>
      <w:r>
        <w:rPr>
          <w:rFonts w:ascii="Calibri" w:hAnsi="Calibri"/>
          <w:color w:val="333333"/>
          <w:sz w:val="22"/>
        </w:rPr>
        <w:t xml:space="preserve"> Windows VM running the Veeam Backup &amp; Replication console and repository controller.</w:t>
      </w:r>
    </w:p>
    <w:p>
      <w:pPr>
        <w:spacing w:before="40" w:after="100" w:line="283" w:lineRule="auto"/>
      </w:pPr>
      <w:r>
        <w:rPr>
          <w:rFonts w:ascii="Calibri" w:hAnsi="Calibri"/>
          <w:color w:val="282828"/>
          <w:sz w:val="22"/>
        </w:rPr>
        <w:t xml:space="preserve">A critical milestone during my attachment was mastering </w:t>
      </w:r>
      <w:r>
        <w:rPr>
          <w:rFonts w:ascii="Calibri" w:hAnsi="Calibri"/>
          <w:b/>
          <w:color w:val="282828"/>
          <w:sz w:val="22"/>
        </w:rPr>
        <w:t>VMware vMotion</w:t>
      </w:r>
      <w:r>
        <w:rPr>
          <w:rFonts w:ascii="Calibri" w:hAnsi="Calibri"/>
          <w:color w:val="282828"/>
          <w:sz w:val="22"/>
        </w:rPr>
        <w:t>. I successfully performed live migrations of running virtual machines from Host 1 to Host 2 during planned hardware firmware patching cycles. Because vMotion copies active memory states over a dedicated gigabit vMotion VMkernel network while the VM continues processing, zero transaction downtime or connection loss was experienced by operational staff.</w:t>
      </w:r>
    </w:p>
    <w:p>
      <w:pPr>
        <w:spacing w:before="160" w:after="40"/>
      </w:pPr>
      <w:r>
        <w:rPr>
          <w:rFonts w:ascii="Calibri" w:hAnsi="Calibri"/>
          <w:b/>
          <w:color w:val="475569"/>
          <w:sz w:val="23"/>
        </w:rPr>
        <w:t>3.3.5 Tasks Completed in Server &amp; Hypervisor Administration</w:t>
      </w:r>
    </w:p>
    <w:p>
      <w:pPr>
        <w:pStyle w:val="ListBullet"/>
        <w:spacing w:before="20" w:after="40" w:line="276" w:lineRule="auto"/>
      </w:pPr>
      <w:r>
        <w:rPr>
          <w:rFonts w:ascii="Calibri" w:hAnsi="Calibri"/>
          <w:color w:val="333333"/>
          <w:sz w:val="22"/>
        </w:rPr>
        <w:t>Successfully provisioned, hardened, and deployed four new Debian 12 and Windows Server 2022 virtual machine instances, assigning static IP configurations, installing VMware Tools, and establishing disk quotas.</w:t>
      </w:r>
    </w:p>
    <w:p>
      <w:pPr>
        <w:pStyle w:val="ListBullet"/>
        <w:spacing w:before="20" w:after="40" w:line="276" w:lineRule="auto"/>
      </w:pPr>
      <w:r>
        <w:rPr>
          <w:rFonts w:ascii="Calibri" w:hAnsi="Calibri"/>
          <w:color w:val="333333"/>
          <w:sz w:val="22"/>
        </w:rPr>
        <w:t>Configured VMware vSwitch port groups and mapped them to physical NIC teamed uplinks, ensuring full physical redundancy against cable failure.</w:t>
      </w:r>
    </w:p>
    <w:p>
      <w:pPr>
        <w:pStyle w:val="ListBullet"/>
        <w:spacing w:before="20" w:after="40" w:line="276" w:lineRule="auto"/>
      </w:pPr>
      <w:r>
        <w:rPr>
          <w:rFonts w:ascii="Calibri" w:hAnsi="Calibri"/>
          <w:color w:val="333333"/>
          <w:sz w:val="22"/>
        </w:rPr>
        <w:t>Conducted scheduled zero-downtime vMotion live migrations of active virtual machines during host maintenance windows, verifying zero dropped packets on live application ping streams.</w:t>
      </w:r>
    </w:p>
    <w:p>
      <w:pPr>
        <w:pStyle w:val="ListBullet"/>
        <w:spacing w:before="20" w:after="40" w:line="276" w:lineRule="auto"/>
      </w:pPr>
      <w:r>
        <w:rPr>
          <w:rFonts w:ascii="Calibri" w:hAnsi="Calibri"/>
          <w:color w:val="333333"/>
          <w:sz w:val="22"/>
        </w:rPr>
        <w:t>Monitored host hardware health through HPE iLO 6 consoles, verifying power supply redundancy, CPU core temperature profiles, and fan curve behavior.</w:t>
      </w:r>
    </w:p>
    <w:p>
      <w:pPr>
        <w:spacing w:before="200" w:after="60"/>
      </w:pPr>
      <w:r>
        <w:rPr>
          <w:rFonts w:ascii="Calibri" w:hAnsi="Calibri"/>
          <w:b/>
          <w:color w:val="2D3748"/>
          <w:sz w:val="25"/>
        </w:rPr>
        <w:t>3.4 ENTERPRISE STORAGE, BACKUP &amp; DISASTER RECOVERY</w:t>
      </w:r>
    </w:p>
    <w:tbl>
      <w:tblPr>
        <w:tblW w:type="auto" w:w="0"/>
        <w:jc w:val="center"/>
        <w:tblLayout w:type="fixed"/>
        <w:tblLook w:firstColumn="1" w:firstRow="1" w:lastColumn="0" w:lastRow="0" w:noHBand="0" w:noVBand="1" w:val="04A0"/>
      </w:tblPr>
      <w:tblGrid>
        <w:gridCol w:w="8928"/>
      </w:tblGrid>
      <w:tr>
        <w:tc>
          <w:tcPr>
            <w:tcW w:type="dxa" w:w="9000"/>
            <w:shd w:fill="F4F5F7"/>
            <w:tcMar>
              <w:top w:w="140" w:type="dxa"/>
              <w:bottom w:w="140" w:type="dxa"/>
              <w:left w:w="200" w:type="dxa"/>
              <w:right w:w="200" w:type="dxa"/>
            </w:tcMar>
            <w:tcBorders>
              <w:top w:val="single" w:sz="4" w:space="0" w:color="D0D5DD"/>
              <w:bottom w:val="single" w:sz="4" w:space="0" w:color="D0D5DD"/>
              <w:left w:val="single" w:sz="18" w:space="0" w:color="1F4E79"/>
              <w:right w:val="single" w:sz="4" w:space="0" w:color="D0D5DD"/>
            </w:tcBorders>
          </w:tcPr>
          <w:p>
            <w:pPr>
              <w:spacing w:before="0" w:after="20" w:line="252" w:lineRule="auto"/>
            </w:pPr>
            <w:r/>
            <w:r>
              <w:rPr>
                <w:rFonts w:ascii="Consolas" w:hAnsi="Consolas"/>
                <w:color w:val="1E293B"/>
                <w:sz w:val="17"/>
              </w:rPr>
              <w:t xml:space="preserve">                                      ┌─────────────────────────────────┐</w:t>
            </w:r>
          </w:p>
          <w:p>
            <w:pPr>
              <w:spacing w:before="0" w:after="20" w:line="252" w:lineRule="auto"/>
            </w:pPr>
            <w:r>
              <w:rPr>
                <w:rFonts w:ascii="Consolas" w:hAnsi="Consolas"/>
                <w:color w:val="1E293B"/>
                <w:sz w:val="17"/>
              </w:rPr>
              <w:t xml:space="preserve">                                      │    VMWARE ESXi COMPUTE HOSTS    │</w:t>
            </w:r>
          </w:p>
          <w:p>
            <w:pPr>
              <w:spacing w:before="0" w:after="20" w:line="252" w:lineRule="auto"/>
            </w:pPr>
            <w:r>
              <w:rPr>
                <w:rFonts w:ascii="Consolas" w:hAnsi="Consolas"/>
                <w:color w:val="1E293B"/>
                <w:sz w:val="17"/>
              </w:rPr>
              <w:t xml:space="preserve">                                      │     Active Production VMs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Application-Aware    │ Snapshot Stream</w:t>
            </w:r>
          </w:p>
          <w:p>
            <w:pPr>
              <w:spacing w:before="0" w:after="20" w:line="252" w:lineRule="auto"/>
            </w:pPr>
            <w:r>
              <w:rPr>
                <w:rFonts w:ascii="Consolas" w:hAnsi="Consolas"/>
                <w:color w:val="1E293B"/>
                <w:sz w:val="17"/>
              </w:rPr>
              <w:t xml:space="preserve">                                  Incremental Backup   │ (Every 6 Hours)</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VEEAM BACKUP &amp; REPLICATION   │</w:t>
            </w:r>
          </w:p>
          <w:p>
            <w:pPr>
              <w:spacing w:before="0" w:after="20" w:line="252" w:lineRule="auto"/>
            </w:pPr>
            <w:r>
              <w:rPr>
                <w:rFonts w:ascii="Consolas" w:hAnsi="Consolas"/>
                <w:color w:val="1E293B"/>
                <w:sz w:val="17"/>
              </w:rPr>
              <w:t xml:space="preserve">                                      │   Deduplication &amp; Compression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Encrypted iSCSI /  │ SMB Target</w:t>
            </w:r>
          </w:p>
          <w:p>
            <w:pPr>
              <w:spacing w:before="0" w:after="20" w:line="252" w:lineRule="auto"/>
            </w:pPr>
            <w:r>
              <w:rPr>
                <w:rFonts w:ascii="Consolas" w:hAnsi="Consolas"/>
                <w:color w:val="1E293B"/>
                <w:sz w:val="17"/>
              </w:rPr>
              <w:t xml:space="preserve">                                    NFS Write Stream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SYNOLOGY ENTERPRISE NAS      │</w:t>
            </w:r>
          </w:p>
          <w:p>
            <w:pPr>
              <w:spacing w:before="0" w:after="20" w:line="252" w:lineRule="auto"/>
            </w:pPr>
            <w:r>
              <w:rPr>
                <w:rFonts w:ascii="Consolas" w:hAnsi="Consolas"/>
                <w:color w:val="1E293B"/>
                <w:sz w:val="17"/>
              </w:rPr>
              <w:t xml:space="preserve">                                      │   RAID 5 Storage Array + SSD    │</w:t>
            </w:r>
          </w:p>
          <w:p>
            <w:pPr>
              <w:spacing w:before="0" w:after="20" w:line="252" w:lineRule="auto"/>
            </w:pPr>
            <w:r>
              <w:rPr>
                <w:rFonts w:ascii="Consolas" w:hAnsi="Consolas"/>
                <w:color w:val="1E293B"/>
                <w:sz w:val="17"/>
              </w:rPr>
              <w:t xml:space="preserve">                                      │   Automated Offsite Cloud Sync  │</w:t>
            </w:r>
          </w:p>
          <w:p>
            <w:pPr>
              <w:spacing w:before="0" w:after="20" w:line="252" w:lineRule="auto"/>
            </w:pPr>
            <w:r>
              <w:rPr>
                <w:rFonts w:ascii="Consolas" w:hAnsi="Consolas"/>
                <w:color w:val="1E293B"/>
                <w:sz w:val="17"/>
              </w:rPr>
              <w:t xml:space="preserve">                                      └─────────────────────────────────┘</w:t>
            </w:r>
          </w:p>
        </w:tc>
      </w:tr>
    </w:tbl>
    <w:p>
      <w:pPr>
        <w:spacing w:after="120"/>
      </w:pPr>
    </w:p>
    <w:p>
      <w:pPr>
        <w:spacing w:before="160" w:after="40"/>
      </w:pPr>
      <w:r>
        <w:rPr>
          <w:rFonts w:ascii="Calibri" w:hAnsi="Calibri"/>
          <w:b/>
          <w:color w:val="475569"/>
          <w:sz w:val="23"/>
        </w:rPr>
        <w:t>3.4.1 Synology DSM NAS Administration &amp; RAID 5 Storage Architecture</w:t>
      </w:r>
    </w:p>
    <w:p>
      <w:pPr>
        <w:spacing w:before="40" w:after="100" w:line="283" w:lineRule="auto"/>
      </w:pPr>
      <w:r>
        <w:rPr>
          <w:rFonts w:ascii="Calibri" w:hAnsi="Calibri"/>
          <w:color w:val="282828"/>
          <w:sz w:val="22"/>
        </w:rPr>
        <w:t xml:space="preserve">Datacenter storage capacity is anchored by an enterprise Synology RackStation NAS powered by DiskStation Manager (DSM). The storage appliance is populated with high-capacity enterprise SATA hard disk drives formatted in a </w:t>
      </w:r>
      <w:r>
        <w:rPr>
          <w:rFonts w:ascii="Calibri" w:hAnsi="Calibri"/>
          <w:b/>
          <w:color w:val="282828"/>
          <w:sz w:val="22"/>
        </w:rPr>
        <w:t>RAID 5 (Redundant Array of Independent Disks)</w:t>
      </w:r>
      <w:r>
        <w:rPr>
          <w:rFonts w:ascii="Calibri" w:hAnsi="Calibri"/>
          <w:color w:val="282828"/>
          <w:sz w:val="22"/>
        </w:rPr>
        <w:t xml:space="preserve"> configuration, supplemented by a dual-NVMe M.2 SSD read/write acceleration cache layer.</w:t>
      </w:r>
    </w:p>
    <w:p>
      <w:pPr>
        <w:spacing w:before="40" w:after="100" w:line="283" w:lineRule="auto"/>
      </w:pPr>
      <w:r>
        <w:rPr>
          <w:rFonts w:ascii="Calibri" w:hAnsi="Calibri"/>
          <w:color w:val="282828"/>
          <w:sz w:val="22"/>
        </w:rPr>
        <w:t>The RAID 5 configuration distributes parity block calculations across all member drives alongside data blocks:</w:t>
      </w:r>
    </w:p>
    <w:p>
      <w:pPr>
        <w:spacing w:before="40" w:after="100" w:line="283" w:lineRule="auto"/>
      </w:pPr>
      <w:r>
        <w:rPr>
          <w:rFonts w:ascii="Calibri" w:hAnsi="Calibri"/>
          <w:color w:val="282828"/>
          <w:sz w:val="22"/>
        </w:rPr>
        <w:t>$$</w:t>
        <w:tab/>
        <w:t xml:space="preserve">ext{Usable Capacity} = (N - 1) </w:t>
        <w:tab/>
        <w:t>imes S_{</w:t>
        <w:tab/>
        <w:t>ext{smallest}}$$</w:t>
      </w:r>
    </w:p>
    <w:p>
      <w:pPr>
        <w:spacing w:before="40" w:after="100" w:line="283" w:lineRule="auto"/>
      </w:pPr>
      <w:r>
        <w:rPr>
          <w:rFonts w:ascii="Calibri" w:hAnsi="Calibri"/>
          <w:color w:val="282828"/>
          <w:sz w:val="22"/>
        </w:rPr>
        <w:t>where $N$ is the total number of drives and $S$ is drive capacity. This architecture allows the storage array to sustain the total physical failure of any single hard drive without data corruption or service interruption. The integrated NVMe SSD cache intercepts high-frequency random small-block read and write requests, dramatically reducing I/O latency for virtual machine datastores and database queries.</w:t>
      </w:r>
    </w:p>
    <w:p>
      <w:pPr>
        <w:spacing w:before="160" w:after="40"/>
      </w:pPr>
      <w:r>
        <w:rPr>
          <w:rFonts w:ascii="Calibri" w:hAnsi="Calibri"/>
          <w:b/>
          <w:color w:val="475569"/>
          <w:sz w:val="23"/>
        </w:rPr>
        <w:t>3.4.2 Veeam Backup &amp; Replication Configuration for Mission-Critical Tax Systems</w:t>
      </w:r>
    </w:p>
    <w:p>
      <w:pPr>
        <w:spacing w:before="40" w:after="100" w:line="283" w:lineRule="auto"/>
      </w:pPr>
      <w:r>
        <w:rPr>
          <w:rFonts w:ascii="Calibri" w:hAnsi="Calibri"/>
          <w:color w:val="282828"/>
          <w:sz w:val="22"/>
        </w:rPr>
        <w:t xml:space="preserve">Data loss in a state revenue service can cause catastrophic legal, fiscal, and institutional repercussions. To safeguard the state's fiscal records, the </w:t>
      </w:r>
      <w:r>
        <w:rPr>
          <w:rFonts w:ascii="Calibri" w:hAnsi="Calibri"/>
          <w:b/>
          <w:color w:val="282828"/>
          <w:sz w:val="22"/>
        </w:rPr>
        <w:t>Veeam Backup &amp; Replication</w:t>
      </w:r>
      <w:r>
        <w:rPr>
          <w:rFonts w:ascii="Calibri" w:hAnsi="Calibri"/>
          <w:color w:val="282828"/>
          <w:sz w:val="22"/>
        </w:rPr>
        <w:t xml:space="preserve"> platform was configured to orchestrate enterprise disaster recovery following the industry-standard </w:t>
      </w:r>
      <w:r>
        <w:rPr>
          <w:rFonts w:ascii="Calibri" w:hAnsi="Calibri"/>
          <w:b/>
          <w:color w:val="282828"/>
          <w:sz w:val="22"/>
        </w:rPr>
        <w:t>3-2-1 Backup Rule</w:t>
      </w:r>
      <w:r>
        <w:rPr>
          <w:rFonts w:ascii="Calibri" w:hAnsi="Calibri"/>
          <w:color w:val="282828"/>
          <w:sz w:val="22"/>
        </w:rPr>
        <w:t>:</w:t>
      </w:r>
    </w:p>
    <w:p>
      <w:pPr>
        <w:pStyle w:val="ListBullet"/>
        <w:spacing w:before="20" w:after="40" w:line="276" w:lineRule="auto"/>
      </w:pPr>
      <w:r>
        <w:rPr>
          <w:rFonts w:ascii="Calibri" w:hAnsi="Calibri"/>
          <w:color w:val="333333"/>
          <w:sz w:val="22"/>
        </w:rPr>
      </w:r>
      <w:r>
        <w:rPr>
          <w:rFonts w:ascii="Calibri" w:hAnsi="Calibri"/>
          <w:b/>
          <w:color w:val="333333"/>
          <w:sz w:val="22"/>
        </w:rPr>
        <w:t>3 Copies of Data:</w:t>
      </w:r>
      <w:r>
        <w:rPr>
          <w:rFonts w:ascii="Calibri" w:hAnsi="Calibri"/>
          <w:color w:val="333333"/>
          <w:sz w:val="22"/>
        </w:rPr>
        <w:t xml:space="preserve"> One primary production copy, one local backup copy on the Synology NAS, and one offsite/cloud replica.</w:t>
      </w:r>
    </w:p>
    <w:p>
      <w:pPr>
        <w:pStyle w:val="ListBullet"/>
        <w:spacing w:before="20" w:after="40" w:line="276" w:lineRule="auto"/>
      </w:pPr>
      <w:r>
        <w:rPr>
          <w:rFonts w:ascii="Calibri" w:hAnsi="Calibri"/>
          <w:color w:val="333333"/>
          <w:sz w:val="22"/>
        </w:rPr>
      </w:r>
      <w:r>
        <w:rPr>
          <w:rFonts w:ascii="Calibri" w:hAnsi="Calibri"/>
          <w:b/>
          <w:color w:val="333333"/>
          <w:sz w:val="22"/>
        </w:rPr>
        <w:t>2 Different Media Types:</w:t>
      </w:r>
      <w:r>
        <w:rPr>
          <w:rFonts w:ascii="Calibri" w:hAnsi="Calibri"/>
          <w:color w:val="333333"/>
          <w:sz w:val="22"/>
        </w:rPr>
        <w:t xml:space="preserve"> Enterprise server SAS storage and Synology network-attached RAID storage.</w:t>
      </w:r>
    </w:p>
    <w:p>
      <w:pPr>
        <w:pStyle w:val="ListBullet"/>
        <w:spacing w:before="20" w:after="40" w:line="276" w:lineRule="auto"/>
      </w:pPr>
      <w:r>
        <w:rPr>
          <w:rFonts w:ascii="Calibri" w:hAnsi="Calibri"/>
          <w:color w:val="333333"/>
          <w:sz w:val="22"/>
        </w:rPr>
      </w:r>
      <w:r>
        <w:rPr>
          <w:rFonts w:ascii="Calibri" w:hAnsi="Calibri"/>
          <w:b/>
          <w:color w:val="333333"/>
          <w:sz w:val="22"/>
        </w:rPr>
        <w:t>1 Copy Kept Offsite:</w:t>
      </w:r>
      <w:r>
        <w:rPr>
          <w:rFonts w:ascii="Calibri" w:hAnsi="Calibri"/>
          <w:color w:val="333333"/>
          <w:sz w:val="22"/>
        </w:rPr>
        <w:t xml:space="preserve"> Encrypted replication to an offsite secure cloud vault.</w:t>
      </w:r>
    </w:p>
    <w:p>
      <w:pPr>
        <w:spacing w:before="40" w:after="100" w:line="283" w:lineRule="auto"/>
      </w:pPr>
      <w:r>
        <w:rPr>
          <w:rFonts w:ascii="Calibri" w:hAnsi="Calibri"/>
          <w:color w:val="282828"/>
          <w:sz w:val="22"/>
        </w:rPr>
        <w:t>Key workflows administered included:</w:t>
      </w:r>
    </w:p>
    <w:p>
      <w:pPr>
        <w:pStyle w:val="ListBullet"/>
        <w:spacing w:before="20" w:after="40" w:line="276" w:lineRule="auto"/>
      </w:pPr>
      <w:r>
        <w:rPr>
          <w:rFonts w:ascii="Calibri" w:hAnsi="Calibri"/>
          <w:color w:val="333333"/>
          <w:sz w:val="22"/>
        </w:rPr>
      </w:r>
      <w:r>
        <w:rPr>
          <w:rFonts w:ascii="Calibri" w:hAnsi="Calibri"/>
          <w:b/>
          <w:color w:val="333333"/>
          <w:sz w:val="22"/>
        </w:rPr>
        <w:t>Application-Aware Image Backups:</w:t>
      </w:r>
      <w:r>
        <w:rPr>
          <w:rFonts w:ascii="Calibri" w:hAnsi="Calibri"/>
          <w:color w:val="333333"/>
          <w:sz w:val="22"/>
        </w:rPr>
        <w:t xml:space="preserve"> Utilizing VMware VSS (Volume Shadow Copy Service) integration to ensure database transactions (PostgreSQL and Microsoft SQL Server) were cleanly committed and quiesced prior to snapshot creation, eliminating corrupted database states.</w:t>
      </w:r>
    </w:p>
    <w:p>
      <w:pPr>
        <w:pStyle w:val="ListBullet"/>
        <w:spacing w:before="20" w:after="40" w:line="276" w:lineRule="auto"/>
      </w:pPr>
      <w:r>
        <w:rPr>
          <w:rFonts w:ascii="Calibri" w:hAnsi="Calibri"/>
          <w:color w:val="333333"/>
          <w:sz w:val="22"/>
        </w:rPr>
      </w:r>
      <w:r>
        <w:rPr>
          <w:rFonts w:ascii="Calibri" w:hAnsi="Calibri"/>
          <w:b/>
          <w:color w:val="333333"/>
          <w:sz w:val="22"/>
        </w:rPr>
        <w:t>Forward Incremental Backup Schedules:</w:t>
      </w:r>
      <w:r>
        <w:rPr>
          <w:rFonts w:ascii="Calibri" w:hAnsi="Calibri"/>
          <w:color w:val="333333"/>
          <w:sz w:val="22"/>
        </w:rPr>
        <w:t xml:space="preserve"> Executing lightweight incremental backups every six (6) hours with automated synthetic full backups synthesized on Sunday midnights, conserving network bandwidth and storage capacity.</w:t>
      </w:r>
    </w:p>
    <w:p>
      <w:pPr>
        <w:pStyle w:val="ListBullet"/>
        <w:spacing w:before="20" w:after="40" w:line="276" w:lineRule="auto"/>
      </w:pPr>
      <w:r>
        <w:rPr>
          <w:rFonts w:ascii="Calibri" w:hAnsi="Calibri"/>
          <w:color w:val="333333"/>
          <w:sz w:val="22"/>
        </w:rPr>
      </w:r>
      <w:r>
        <w:rPr>
          <w:rFonts w:ascii="Calibri" w:hAnsi="Calibri"/>
          <w:b/>
          <w:color w:val="333333"/>
          <w:sz w:val="22"/>
        </w:rPr>
        <w:t>Instant VM Recovery Testing:</w:t>
      </w:r>
      <w:r>
        <w:rPr>
          <w:rFonts w:ascii="Calibri" w:hAnsi="Calibri"/>
          <w:color w:val="333333"/>
          <w:sz w:val="22"/>
        </w:rPr>
        <w:t xml:space="preserve"> Verifying disaster recovery readiness by mounting backup VM image files directly from the compressed, deduplicated backup repository on the Synology NAS into the ESXi hypervisor, booting a functional replacement VM in under two minutes without waiting for full disk restoration.</w:t>
      </w:r>
    </w:p>
    <w:p>
      <w:pPr>
        <w:spacing w:before="160" w:after="40"/>
      </w:pPr>
      <w:r>
        <w:rPr>
          <w:rFonts w:ascii="Calibri" w:hAnsi="Calibri"/>
          <w:b/>
          <w:color w:val="475569"/>
          <w:sz w:val="23"/>
        </w:rPr>
        <w:t>3.4.3 Tasks Completed in Storage &amp; Disaster Recovery</w:t>
      </w:r>
    </w:p>
    <w:p>
      <w:pPr>
        <w:pStyle w:val="ListBullet"/>
        <w:spacing w:before="20" w:after="40" w:line="276" w:lineRule="auto"/>
      </w:pPr>
      <w:r>
        <w:rPr>
          <w:rFonts w:ascii="Calibri" w:hAnsi="Calibri"/>
          <w:color w:val="333333"/>
          <w:sz w:val="22"/>
        </w:rPr>
        <w:t>Administered the Synology DSM Storage Manager, monitoring S.M.A.R.T. health diagnostics across all disk drives, tracking NVMe cache hit ratios (averaging 94.2%), and expanding storage volume allocations.</w:t>
      </w:r>
    </w:p>
    <w:p>
      <w:pPr>
        <w:pStyle w:val="ListBullet"/>
        <w:spacing w:before="20" w:after="40" w:line="276" w:lineRule="auto"/>
      </w:pPr>
      <w:r>
        <w:rPr>
          <w:rFonts w:ascii="Calibri" w:hAnsi="Calibri"/>
          <w:color w:val="333333"/>
          <w:sz w:val="22"/>
        </w:rPr>
        <w:t>Configured and scheduled five daily automated Veeam backup jobs covering all core virtual machine workloads, verifying 100% successful completion status reports each morning.</w:t>
      </w:r>
    </w:p>
    <w:p>
      <w:pPr>
        <w:pStyle w:val="ListBullet"/>
        <w:spacing w:before="20" w:after="40" w:line="276" w:lineRule="auto"/>
      </w:pPr>
      <w:r>
        <w:rPr>
          <w:rFonts w:ascii="Calibri" w:hAnsi="Calibri"/>
          <w:color w:val="333333"/>
          <w:sz w:val="22"/>
        </w:rPr>
        <w:t>Successfully executed a controlled Disaster Recovery Simulation drill, performing an Instant VM Recovery of the staging database server and confirming data integrity and transaction log consistency.</w:t>
      </w:r>
    </w:p>
    <w:p>
      <w:pPr>
        <w:pStyle w:val="ListBullet"/>
        <w:spacing w:before="20" w:after="40" w:line="276" w:lineRule="auto"/>
      </w:pPr>
      <w:r>
        <w:rPr>
          <w:rFonts w:ascii="Calibri" w:hAnsi="Calibri"/>
          <w:color w:val="333333"/>
          <w:sz w:val="22"/>
        </w:rPr>
        <w:t>Implemented AES-256 bit encryption keys on all backup repositories and configured automated email alerting for backup threshold violations.</w:t>
      </w:r>
    </w:p>
    <w:p>
      <w:pPr>
        <w:spacing w:before="200" w:after="60"/>
      </w:pPr>
      <w:r>
        <w:rPr>
          <w:rFonts w:ascii="Calibri" w:hAnsi="Calibri"/>
          <w:b/>
          <w:color w:val="2D3748"/>
          <w:sz w:val="25"/>
        </w:rPr>
        <w:t>3.5 AUTOMATED TAXPAYER DISCOVERY &amp; OSINT RECONNAISSANCE (`akirs-auto`)</w:t>
      </w:r>
    </w:p>
    <w:tbl>
      <w:tblPr>
        <w:tblW w:type="auto" w:w="0"/>
        <w:jc w:val="center"/>
        <w:tblLayout w:type="fixed"/>
        <w:tblLook w:firstColumn="1" w:firstRow="1" w:lastColumn="0" w:lastRow="0" w:noHBand="0" w:noVBand="1" w:val="04A0"/>
      </w:tblPr>
      <w:tblGrid>
        <w:gridCol w:w="8928"/>
      </w:tblGrid>
      <w:tr>
        <w:tc>
          <w:tcPr>
            <w:tcW w:type="dxa" w:w="9000"/>
            <w:shd w:fill="F4F5F7"/>
            <w:tcMar>
              <w:top w:w="140" w:type="dxa"/>
              <w:bottom w:w="140" w:type="dxa"/>
              <w:left w:w="200" w:type="dxa"/>
              <w:right w:w="200" w:type="dxa"/>
            </w:tcMar>
            <w:tcBorders>
              <w:top w:val="single" w:sz="4" w:space="0" w:color="D0D5DD"/>
              <w:bottom w:val="single" w:sz="4" w:space="0" w:color="D0D5DD"/>
              <w:left w:val="single" w:sz="18" w:space="0" w:color="1F4E79"/>
              <w:right w:val="single" w:sz="4" w:space="0" w:color="D0D5DD"/>
            </w:tcBorders>
          </w:tcPr>
          <w:p>
            <w:pPr>
              <w:spacing w:before="0" w:after="20" w:line="252" w:lineRule="auto"/>
            </w:pPr>
            <w:r/>
            <w:r>
              <w:rPr>
                <w:rFonts w:ascii="Consolas" w:hAnsi="Consolas"/>
                <w:color w:val="1E293B"/>
                <w:sz w:val="17"/>
              </w:rPr>
              <w:t xml:space="preserve">   ┌───────────────────────┐</w:t>
            </w:r>
          </w:p>
          <w:p>
            <w:pPr>
              <w:spacing w:before="0" w:after="20" w:line="252" w:lineRule="auto"/>
            </w:pPr>
            <w:r>
              <w:rPr>
                <w:rFonts w:ascii="Consolas" w:hAnsi="Consolas"/>
                <w:color w:val="1E293B"/>
                <w:sz w:val="17"/>
              </w:rPr>
              <w:t xml:space="preserve">   │ META/FACEBOOK ADS LIB │</w:t>
            </w:r>
          </w:p>
          <w:p>
            <w:pPr>
              <w:spacing w:before="0" w:after="20" w:line="252" w:lineRule="auto"/>
            </w:pPr>
            <w:r>
              <w:rPr>
                <w:rFonts w:ascii="Consolas" w:hAnsi="Consolas"/>
                <w:color w:val="1E293B"/>
                <w:sz w:val="17"/>
              </w:rPr>
              <w:t xml:space="preserve">   │  Akwa Ibom Targeted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Asynchronous Scraping (Playwright Headless)</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DISCOVERY ENGINE    │ ───► Extract Ad ID, Advertiser Page, Creative Text, Social Handles</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Raw Entity Stream</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THREE-TIER ENRICHMENT PIPELINE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Tier 1: Website Scraping (Landing Page emails, phones, regex)│</w:t>
            </w:r>
          </w:p>
          <w:p>
            <w:pPr>
              <w:spacing w:before="0" w:after="20" w:line="252" w:lineRule="auto"/>
            </w:pPr>
            <w:r>
              <w:rPr>
                <w:rFonts w:ascii="Consolas" w:hAnsi="Consolas"/>
                <w:color w:val="1E293B"/>
                <w:sz w:val="17"/>
              </w:rPr>
              <w:t xml:space="preserve">   │ Tier 2: OpenStreetMap Nominatim + DuckDuckGo + Social Bios  │</w:t>
            </w:r>
          </w:p>
          <w:p>
            <w:pPr>
              <w:spacing w:before="0" w:after="20" w:line="252" w:lineRule="auto"/>
            </w:pPr>
            <w:r>
              <w:rPr>
                <w:rFonts w:ascii="Consolas" w:hAnsi="Consolas"/>
                <w:color w:val="1E293B"/>
                <w:sz w:val="17"/>
              </w:rPr>
              <w:t xml:space="preserve">   │ Tier 3: TomTom Places POI + Hunter.io / Apollo.io APIs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Clean Structured Data</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STANDARDIZED CSV AUDIT EXPORT                │</w:t>
            </w:r>
          </w:p>
          <w:p>
            <w:pPr>
              <w:spacing w:before="0" w:after="20" w:line="252" w:lineRule="auto"/>
            </w:pPr>
            <w:r>
              <w:rPr>
                <w:rFonts w:ascii="Consolas" w:hAnsi="Consolas"/>
                <w:color w:val="1E293B"/>
                <w:sz w:val="17"/>
              </w:rPr>
              <w:t xml:space="preserve">   │ (Ad ID, Business Name, Phones, Physical Address, LGAs, Tax) │</w:t>
            </w:r>
          </w:p>
          <w:p>
            <w:pPr>
              <w:spacing w:before="0" w:after="20" w:line="252" w:lineRule="auto"/>
            </w:pPr>
            <w:r>
              <w:rPr>
                <w:rFonts w:ascii="Consolas" w:hAnsi="Consolas"/>
                <w:color w:val="1E293B"/>
                <w:sz w:val="17"/>
              </w:rPr>
              <w:t xml:space="preserve">   └─────────────────────────────────────────────────────────────┘</w:t>
            </w:r>
          </w:p>
        </w:tc>
      </w:tr>
    </w:tbl>
    <w:p>
      <w:pPr>
        <w:spacing w:after="120"/>
      </w:pPr>
    </w:p>
    <w:p>
      <w:pPr>
        <w:spacing w:before="160" w:after="40"/>
      </w:pPr>
      <w:r>
        <w:rPr>
          <w:rFonts w:ascii="Calibri" w:hAnsi="Calibri"/>
          <w:b/>
          <w:color w:val="475569"/>
          <w:sz w:val="23"/>
        </w:rPr>
        <w:t>3.5.1 Background and Objectives in Akwa Ibom State Commercial Mapping</w:t>
      </w:r>
    </w:p>
    <w:p>
      <w:pPr>
        <w:spacing w:before="40" w:after="100" w:line="283" w:lineRule="auto"/>
      </w:pPr>
      <w:r>
        <w:rPr>
          <w:rFonts w:ascii="Calibri" w:hAnsi="Calibri"/>
          <w:color w:val="282828"/>
          <w:sz w:val="22"/>
        </w:rPr>
        <w:t>A major challenge facing revenue mobilization in Akwa Ibom State is the massive proliferation of informal digital commerce. Hundreds of lucrative enterprises—ranging from boutique retail outlets, restaurants, private medical clinics, and creative agencies to logistics providers—advertise aggressively on digital platforms like Facebook and Instagram but operate without registering with AKIRS or remitting statutory taxes.</w:t>
      </w:r>
    </w:p>
    <w:p>
      <w:pPr>
        <w:spacing w:before="40" w:after="100" w:line="283" w:lineRule="auto"/>
      </w:pPr>
      <w:r>
        <w:rPr>
          <w:rFonts w:ascii="Calibri" w:hAnsi="Calibri"/>
          <w:color w:val="282828"/>
          <w:sz w:val="22"/>
        </w:rPr>
        <w:t xml:space="preserve">Manual field discovery by tax assessment officers is slow, resource-intensive, and geographically restricted. To overcome this limitation, I conceptualized and developed </w:t>
      </w:r>
      <w:r>
        <w:rPr>
          <w:rFonts w:ascii="Calibri" w:hAnsi="Calibri"/>
          <w:b/>
          <w:color w:val="282828"/>
          <w:sz w:val="22"/>
        </w:rPr>
        <w:t>`akirs-auto`</w:t>
      </w:r>
      <w:r>
        <w:rPr>
          <w:rFonts w:ascii="Calibri" w:hAnsi="Calibri"/>
          <w:color w:val="282828"/>
          <w:sz w:val="22"/>
        </w:rPr>
        <w:t>, an end-to-end automated OSINT and web reconnaissance platform engineered to scan the digital commercial footprint across the state, resolve real-world business identities, and export verified leads to field enforcement officers.</w:t>
      </w:r>
    </w:p>
    <w:p>
      <w:pPr>
        <w:spacing w:before="160" w:after="40"/>
      </w:pPr>
      <w:r>
        <w:rPr>
          <w:rFonts w:ascii="Calibri" w:hAnsi="Calibri"/>
          <w:b/>
          <w:color w:val="475569"/>
          <w:sz w:val="23"/>
        </w:rPr>
        <w:t>3.5.2 Playwright Scraping of Facebook Ads Library for Commercial Dialects &amp; Geo-targets</w:t>
      </w:r>
    </w:p>
    <w:p>
      <w:pPr>
        <w:spacing w:before="40" w:after="100" w:line="283" w:lineRule="auto"/>
      </w:pPr>
      <w:r>
        <w:rPr>
          <w:rFonts w:ascii="Calibri" w:hAnsi="Calibri"/>
          <w:color w:val="282828"/>
          <w:sz w:val="22"/>
        </w:rPr>
        <w:t xml:space="preserve">The discovery engine leverages </w:t>
      </w:r>
      <w:r>
        <w:rPr>
          <w:rFonts w:ascii="Calibri" w:hAnsi="Calibri"/>
          <w:b/>
          <w:color w:val="282828"/>
          <w:sz w:val="22"/>
        </w:rPr>
        <w:t>Python</w:t>
      </w:r>
      <w:r>
        <w:rPr>
          <w:rFonts w:ascii="Calibri" w:hAnsi="Calibri"/>
          <w:color w:val="282828"/>
          <w:sz w:val="22"/>
        </w:rPr>
        <w:t xml:space="preserve"> and </w:t>
      </w:r>
      <w:r>
        <w:rPr>
          <w:rFonts w:ascii="Calibri" w:hAnsi="Calibri"/>
          <w:b/>
          <w:color w:val="282828"/>
          <w:sz w:val="22"/>
        </w:rPr>
        <w:t>Playwright</w:t>
      </w:r>
      <w:r>
        <w:rPr>
          <w:rFonts w:ascii="Calibri" w:hAnsi="Calibri"/>
          <w:color w:val="282828"/>
          <w:sz w:val="22"/>
        </w:rPr>
        <w:t xml:space="preserve"> (running headless Chromium) to programmatically interrogate the Meta/Facebook Ads Library without triggering bot detection or IP throttling:</w:t>
      </w:r>
    </w:p>
    <w:p>
      <w:pPr>
        <w:pStyle w:val="ListBullet"/>
        <w:spacing w:before="20" w:after="40" w:line="276" w:lineRule="auto"/>
      </w:pPr>
      <w:r>
        <w:rPr>
          <w:rFonts w:ascii="Calibri" w:hAnsi="Calibri"/>
          <w:color w:val="333333"/>
          <w:sz w:val="22"/>
        </w:rPr>
      </w:r>
      <w:r>
        <w:rPr>
          <w:rFonts w:ascii="Calibri" w:hAnsi="Calibri"/>
          <w:b/>
          <w:color w:val="333333"/>
          <w:sz w:val="22"/>
        </w:rPr>
        <w:t>Targeted Geo-Querying:</w:t>
      </w:r>
      <w:r>
        <w:rPr>
          <w:rFonts w:ascii="Calibri" w:hAnsi="Calibri"/>
          <w:color w:val="333333"/>
          <w:sz w:val="22"/>
        </w:rPr>
        <w:t xml:space="preserve"> The scraper targets all thirty-one (31) Local Government Areas of Akwa Ibom State, with intense algorithmic focus on commercial hubs including Uyo, Eket, Ikot Ekpene, Oron, and Abak.</w:t>
      </w:r>
    </w:p>
    <w:p>
      <w:pPr>
        <w:pStyle w:val="ListBullet"/>
        <w:spacing w:before="20" w:after="40" w:line="276" w:lineRule="auto"/>
      </w:pPr>
      <w:r>
        <w:rPr>
          <w:rFonts w:ascii="Calibri" w:hAnsi="Calibri"/>
          <w:color w:val="333333"/>
          <w:sz w:val="22"/>
        </w:rPr>
      </w:r>
      <w:r>
        <w:rPr>
          <w:rFonts w:ascii="Calibri" w:hAnsi="Calibri"/>
          <w:b/>
          <w:color w:val="333333"/>
          <w:sz w:val="22"/>
        </w:rPr>
        <w:t>Linguistic &amp; Commercial Keyword Heuristics:</w:t>
      </w:r>
      <w:r>
        <w:rPr>
          <w:rFonts w:ascii="Calibri" w:hAnsi="Calibri"/>
          <w:color w:val="333333"/>
          <w:sz w:val="22"/>
        </w:rPr>
        <w:t xml:space="preserve"> To isolate indigenous businesses, the scraper evaluates localized keywords, landmarks (e.g., *Ibom Tropicana, Plaza, Shelter Afrique, Ring Road, Ewet Housing*), local dialects, and commercial purchase intent phrases (*"DM to order", "Pay on delivery", "Visit our showroom"*).</w:t>
      </w:r>
    </w:p>
    <w:p>
      <w:pPr>
        <w:pStyle w:val="ListBullet"/>
        <w:spacing w:before="20" w:after="40" w:line="276" w:lineRule="auto"/>
      </w:pPr>
      <w:r>
        <w:rPr>
          <w:rFonts w:ascii="Calibri" w:hAnsi="Calibri"/>
          <w:color w:val="333333"/>
          <w:sz w:val="22"/>
        </w:rPr>
      </w:r>
      <w:r>
        <w:rPr>
          <w:rFonts w:ascii="Calibri" w:hAnsi="Calibri"/>
          <w:b/>
          <w:color w:val="333333"/>
          <w:sz w:val="22"/>
        </w:rPr>
        <w:t>Ad Metadata Extraction:</w:t>
      </w:r>
      <w:r>
        <w:rPr>
          <w:rFonts w:ascii="Calibri" w:hAnsi="Calibri"/>
          <w:color w:val="333333"/>
          <w:sz w:val="22"/>
        </w:rPr>
        <w:t xml:space="preserve"> Captures unique Meta Ad IDs, advertised Facebook page URLs, advertised landing page domains, advertisement text, and creation timestamps.</w:t>
      </w:r>
    </w:p>
    <w:p>
      <w:pPr>
        <w:spacing w:before="160" w:after="40"/>
      </w:pPr>
      <w:r>
        <w:rPr>
          <w:rFonts w:ascii="Calibri" w:hAnsi="Calibri"/>
          <w:b/>
          <w:color w:val="475569"/>
          <w:sz w:val="23"/>
        </w:rPr>
        <w:t>3.5.3 Multi-Tier Reconnaissance Pipeline</w:t>
      </w:r>
    </w:p>
    <w:p>
      <w:pPr>
        <w:spacing w:before="40" w:after="100" w:line="283" w:lineRule="auto"/>
      </w:pPr>
      <w:r>
        <w:rPr>
          <w:rFonts w:ascii="Calibri" w:hAnsi="Calibri"/>
          <w:color w:val="282828"/>
          <w:sz w:val="22"/>
        </w:rPr>
        <w:t xml:space="preserve">Discovered advertisers often hide behind vague brand monikers. To resolve their statutory tax identities, </w:t>
      </w:r>
      <w:r>
        <w:rPr>
          <w:rFonts w:ascii="Calibri" w:hAnsi="Calibri"/>
          <w:color w:val="282828"/>
          <w:sz w:val="22"/>
        </w:rPr>
        <w:t>akirs-auto</w:t>
      </w:r>
      <w:r>
        <w:rPr>
          <w:rFonts w:ascii="Calibri" w:hAnsi="Calibri"/>
          <w:color w:val="282828"/>
          <w:sz w:val="22"/>
        </w:rPr>
        <w:t xml:space="preserve"> executes a cascading three-tier reconnaissance pipeline:</w:t>
      </w:r>
    </w:p>
    <w:p>
      <w:pPr>
        <w:pStyle w:val="ListBullet"/>
        <w:spacing w:before="20" w:after="40" w:line="276" w:lineRule="auto"/>
      </w:pPr>
      <w:r>
        <w:rPr>
          <w:rFonts w:ascii="Calibri" w:hAnsi="Calibri"/>
          <w:color w:val="333333"/>
          <w:sz w:val="22"/>
        </w:rPr>
      </w:r>
      <w:r>
        <w:rPr>
          <w:rFonts w:ascii="Calibri" w:hAnsi="Calibri"/>
          <w:b/>
          <w:color w:val="333333"/>
          <w:sz w:val="22"/>
        </w:rPr>
        <w:t>Tier 1 (Free On-Page Extraction):</w:t>
      </w:r>
      <w:r>
        <w:rPr>
          <w:rFonts w:ascii="Calibri" w:hAnsi="Calibri"/>
          <w:color w:val="333333"/>
          <w:sz w:val="22"/>
        </w:rPr>
        <w:t xml:space="preserve"> Fetches the business's linked website or landing page, executing high-precision regular expressions to extract corporate email addresses, Nigerian GSM phone numbers (e.g., `+234...`, `080...`, `081...`), and physical street address blocks.</w:t>
      </w:r>
    </w:p>
    <w:p>
      <w:pPr>
        <w:pStyle w:val="ListBullet"/>
        <w:spacing w:before="20" w:after="40" w:line="276" w:lineRule="auto"/>
      </w:pPr>
      <w:r>
        <w:rPr>
          <w:rFonts w:ascii="Calibri" w:hAnsi="Calibri"/>
          <w:color w:val="333333"/>
          <w:sz w:val="22"/>
        </w:rPr>
      </w:r>
      <w:r>
        <w:rPr>
          <w:rFonts w:ascii="Calibri" w:hAnsi="Calibri"/>
          <w:b/>
          <w:color w:val="333333"/>
          <w:sz w:val="22"/>
        </w:rPr>
        <w:t>Tier 2 (Open Intelligence &amp; Geocoding):</w:t>
      </w:r>
      <w:r>
        <w:rPr>
          <w:rFonts w:ascii="Calibri" w:hAnsi="Calibri"/>
          <w:color w:val="333333"/>
          <w:sz w:val="22"/>
        </w:rPr>
        <w:t xml:space="preserve"> Queries the </w:t>
      </w:r>
      <w:r>
        <w:rPr>
          <w:rFonts w:ascii="Calibri" w:hAnsi="Calibri"/>
          <w:b/>
          <w:color w:val="333333"/>
          <w:sz w:val="22"/>
        </w:rPr>
        <w:t>OpenStreetMap (OSM) Nominatim API</w:t>
      </w:r>
      <w:r>
        <w:rPr>
          <w:rFonts w:ascii="Calibri" w:hAnsi="Calibri"/>
          <w:color w:val="333333"/>
          <w:sz w:val="22"/>
        </w:rPr>
        <w:t xml:space="preserve"> to resolve fuzzy physical landmarks into standardized geographic coordinates and verified street names within Akwa Ibom State. Leverages asynchronous search engine querying and Instagram bio scraping to accumulate secondary mentions.</w:t>
      </w:r>
    </w:p>
    <w:p>
      <w:pPr>
        <w:pStyle w:val="ListBullet"/>
        <w:spacing w:before="20" w:after="40" w:line="276" w:lineRule="auto"/>
      </w:pPr>
      <w:r>
        <w:rPr>
          <w:rFonts w:ascii="Calibri" w:hAnsi="Calibri"/>
          <w:color w:val="333333"/>
          <w:sz w:val="22"/>
        </w:rPr>
      </w:r>
      <w:r>
        <w:rPr>
          <w:rFonts w:ascii="Calibri" w:hAnsi="Calibri"/>
          <w:b/>
          <w:color w:val="333333"/>
          <w:sz w:val="22"/>
        </w:rPr>
        <w:t>Tier 3 (Enterprise Verification APIs):</w:t>
      </w:r>
      <w:r>
        <w:rPr>
          <w:rFonts w:ascii="Calibri" w:hAnsi="Calibri"/>
          <w:color w:val="333333"/>
          <w:sz w:val="22"/>
        </w:rPr>
        <w:t xml:space="preserve"> When API keys are supplied, the engine queries </w:t>
      </w:r>
      <w:r>
        <w:rPr>
          <w:rFonts w:ascii="Calibri" w:hAnsi="Calibri"/>
          <w:b/>
          <w:color w:val="333333"/>
          <w:sz w:val="22"/>
        </w:rPr>
        <w:t>TomTom Places</w:t>
      </w:r>
      <w:r>
        <w:rPr>
          <w:rFonts w:ascii="Calibri" w:hAnsi="Calibri"/>
          <w:color w:val="333333"/>
          <w:sz w:val="22"/>
        </w:rPr>
        <w:t xml:space="preserve"> to match physical storefront locations, points of interest (POI), and verified commercial landlines. Corporate domain names are submitted to </w:t>
      </w:r>
      <w:r>
        <w:rPr>
          <w:rFonts w:ascii="Calibri" w:hAnsi="Calibri"/>
          <w:b/>
          <w:color w:val="333333"/>
          <w:sz w:val="22"/>
        </w:rPr>
        <w:t>Hunter.io</w:t>
      </w:r>
      <w:r>
        <w:rPr>
          <w:rFonts w:ascii="Calibri" w:hAnsi="Calibri"/>
          <w:color w:val="333333"/>
          <w:sz w:val="22"/>
        </w:rPr>
        <w:t xml:space="preserve"> and </w:t>
      </w:r>
      <w:r>
        <w:rPr>
          <w:rFonts w:ascii="Calibri" w:hAnsi="Calibri"/>
          <w:b/>
          <w:color w:val="333333"/>
          <w:sz w:val="22"/>
        </w:rPr>
        <w:t>Apollo.io</w:t>
      </w:r>
      <w:r>
        <w:rPr>
          <w:rFonts w:ascii="Calibri" w:hAnsi="Calibri"/>
          <w:color w:val="333333"/>
          <w:sz w:val="22"/>
        </w:rPr>
        <w:t xml:space="preserve"> to extract registered executive directors and legal business names.</w:t>
      </w:r>
    </w:p>
    <w:p>
      <w:pPr>
        <w:spacing w:before="40" w:after="100" w:line="283" w:lineRule="auto"/>
      </w:pPr>
      <w:r>
        <w:rPr>
          <w:rFonts w:ascii="Calibri" w:hAnsi="Calibri"/>
          <w:color w:val="282828"/>
          <w:sz w:val="22"/>
        </w:rPr>
        <w:t>The pipeline applies an early-exit optimization: if high-confidence contact data (phone number and physical address) is extracted in Tier 1, subsequent paid API tiers are bypassed, conserving API credits.</w:t>
      </w:r>
    </w:p>
    <w:p>
      <w:pPr>
        <w:spacing w:before="160" w:after="40"/>
      </w:pPr>
      <w:r>
        <w:rPr>
          <w:rFonts w:ascii="Calibri" w:hAnsi="Calibri"/>
          <w:b/>
          <w:color w:val="475569"/>
          <w:sz w:val="23"/>
        </w:rPr>
        <w:t>3.5.4 Tasks Completed in Tax Intelligence Automation</w:t>
      </w:r>
    </w:p>
    <w:p>
      <w:pPr>
        <w:pStyle w:val="ListBullet"/>
        <w:spacing w:before="20" w:after="40" w:line="276" w:lineRule="auto"/>
      </w:pPr>
      <w:r>
        <w:rPr>
          <w:rFonts w:ascii="Calibri" w:hAnsi="Calibri"/>
          <w:color w:val="333333"/>
          <w:sz w:val="22"/>
        </w:rPr>
        <w:t>Designed, coded, and tested the modular architecture of `akirs-auto` utilizing `uv` for lightning-fast Python virtual environment and dependency management.</w:t>
      </w:r>
    </w:p>
    <w:p>
      <w:pPr>
        <w:pStyle w:val="ListBullet"/>
        <w:spacing w:before="20" w:after="40" w:line="276" w:lineRule="auto"/>
      </w:pPr>
      <w:r>
        <w:rPr>
          <w:rFonts w:ascii="Calibri" w:hAnsi="Calibri"/>
          <w:color w:val="333333"/>
          <w:sz w:val="22"/>
        </w:rPr>
        <w:t>Implemented resilient Playwright browser interaction handlers with automated DOM retries, randomized delays, and scroll event dispatchers to bypass dynamic infinite-scrolling anti-bot defenses.</w:t>
      </w:r>
    </w:p>
    <w:p>
      <w:pPr>
        <w:pStyle w:val="ListBullet"/>
        <w:spacing w:before="20" w:after="40" w:line="276" w:lineRule="auto"/>
      </w:pPr>
      <w:r>
        <w:rPr>
          <w:rFonts w:ascii="Calibri" w:hAnsi="Calibri"/>
          <w:color w:val="333333"/>
          <w:sz w:val="22"/>
        </w:rPr>
        <w:t>Formulated robust regex extractors for Nigerian telephone numbers, filtering out invalid short-codes while normalizing formatting across international `+234` and national `080` prefixes.</w:t>
      </w:r>
    </w:p>
    <w:p>
      <w:pPr>
        <w:pStyle w:val="ListBullet"/>
        <w:spacing w:before="20" w:after="40" w:line="276" w:lineRule="auto"/>
      </w:pPr>
      <w:r>
        <w:rPr>
          <w:rFonts w:ascii="Calibri" w:hAnsi="Calibri"/>
          <w:color w:val="333333"/>
          <w:sz w:val="22"/>
        </w:rPr>
        <w:t>Generated consolidated tax audit intelligence datasets exported in standardized CSV format, directly providing the Tax Intelligence Unit with hundreds of verified commercial leads operating within the state.</w:t>
      </w:r>
    </w:p>
    <w:p>
      <w:pPr>
        <w:spacing w:before="200" w:after="60"/>
      </w:pPr>
      <w:r>
        <w:rPr>
          <w:rFonts w:ascii="Calibri" w:hAnsi="Calibri"/>
          <w:b/>
          <w:color w:val="2D3748"/>
          <w:sz w:val="25"/>
        </w:rPr>
        <w:t>3.6 TAXPAYER DATA CLEANING, DEDUPLICATION &amp; BATCH ETL PIPELINES (`akirs-data-cleaner`)</w:t>
      </w:r>
    </w:p>
    <w:tbl>
      <w:tblPr>
        <w:tblW w:type="auto" w:w="0"/>
        <w:jc w:val="center"/>
        <w:tblLayout w:type="fixed"/>
        <w:tblLook w:firstColumn="1" w:firstRow="1" w:lastColumn="0" w:lastRow="0" w:noHBand="0" w:noVBand="1" w:val="04A0"/>
      </w:tblPr>
      <w:tblGrid>
        <w:gridCol w:w="8928"/>
      </w:tblGrid>
      <w:tr>
        <w:tc>
          <w:tcPr>
            <w:tcW w:type="dxa" w:w="9000"/>
            <w:shd w:fill="F4F5F7"/>
            <w:tcMar>
              <w:top w:w="140" w:type="dxa"/>
              <w:bottom w:w="140" w:type="dxa"/>
              <w:left w:w="200" w:type="dxa"/>
              <w:right w:w="200" w:type="dxa"/>
            </w:tcMar>
            <w:tcBorders>
              <w:top w:val="single" w:sz="4" w:space="0" w:color="D0D5DD"/>
              <w:bottom w:val="single" w:sz="4" w:space="0" w:color="D0D5DD"/>
              <w:left w:val="single" w:sz="18" w:space="0" w:color="1F4E79"/>
              <w:right w:val="single" w:sz="4" w:space="0" w:color="D0D5DD"/>
            </w:tcBorders>
          </w:tcPr>
          <w:p>
            <w:pPr>
              <w:spacing w:before="0" w:after="20" w:line="252" w:lineRule="auto"/>
            </w:pPr>
            <w:r/>
            <w:r>
              <w:rPr>
                <w:rFonts w:ascii="Consolas" w:hAnsi="Consolas"/>
                <w:color w:val="1E293B"/>
                <w:sz w:val="17"/>
              </w:rPr>
              <w:t xml:space="preserve">   ┌───────────────────────────────────────────────┐</w:t>
            </w:r>
          </w:p>
          <w:p>
            <w:pPr>
              <w:spacing w:before="0" w:after="20" w:line="252" w:lineRule="auto"/>
            </w:pPr>
            <w:r>
              <w:rPr>
                <w:rFonts w:ascii="Consolas" w:hAnsi="Consolas"/>
                <w:color w:val="1E293B"/>
                <w:sz w:val="17"/>
              </w:rPr>
              <w:t xml:space="preserve">   │    COMMERCIAL BANK MONTHLY SPREADSHEETS       │</w:t>
            </w:r>
          </w:p>
          <w:p>
            <w:pPr>
              <w:spacing w:before="0" w:after="20" w:line="252" w:lineRule="auto"/>
            </w:pPr>
            <w:r>
              <w:rPr>
                <w:rFonts w:ascii="Consolas" w:hAnsi="Consolas"/>
                <w:color w:val="1E293B"/>
                <w:sz w:val="17"/>
              </w:rPr>
              <w:t xml:space="preserve">   │  Heterogeneous Columns · Duplicates · Invalids│</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Multipart File Upload</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FASTAPI DATA CLEANING PORTAL         │</w:t>
            </w:r>
          </w:p>
          <w:p>
            <w:pPr>
              <w:spacing w:before="0" w:after="20" w:line="252" w:lineRule="auto"/>
            </w:pPr>
            <w:r>
              <w:rPr>
                <w:rFonts w:ascii="Consolas" w:hAnsi="Consolas"/>
                <w:color w:val="1E293B"/>
                <w:sz w:val="17"/>
              </w:rPr>
              <w:t xml:space="preserve">   │           (Interactive Web Dashboard)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OpenPyXL Streaming Parse</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TRANSFORMATION &amp; VALIDATION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1. Heuristic Header Mapping (fuzzy matches TIN, NUBAN, etc.) │</w:t>
            </w:r>
          </w:p>
          <w:p>
            <w:pPr>
              <w:spacing w:before="0" w:after="20" w:line="252" w:lineRule="auto"/>
            </w:pPr>
            <w:r>
              <w:rPr>
                <w:rFonts w:ascii="Consolas" w:hAnsi="Consolas"/>
                <w:color w:val="1E293B"/>
                <w:sz w:val="17"/>
              </w:rPr>
              <w:t xml:space="preserve">   │ 2. Algorithmic Checksum Validation (10-Digit NUBAN &amp; TIN)   │</w:t>
            </w:r>
          </w:p>
          <w:p>
            <w:pPr>
              <w:spacing w:before="0" w:after="20" w:line="252" w:lineRule="auto"/>
            </w:pPr>
            <w:r>
              <w:rPr>
                <w:rFonts w:ascii="Consolas" w:hAnsi="Consolas"/>
                <w:color w:val="1E293B"/>
                <w:sz w:val="17"/>
              </w:rPr>
              <w:t xml:space="preserve">   │ 3. Geographic LGA Filtering (e.g. Isolate "Uyo" Branches)   │</w:t>
            </w:r>
          </w:p>
          <w:p>
            <w:pPr>
              <w:spacing w:before="0" w:after="20" w:line="252" w:lineRule="auto"/>
            </w:pPr>
            <w:r>
              <w:rPr>
                <w:rFonts w:ascii="Consolas" w:hAnsi="Consolas"/>
                <w:color w:val="1E293B"/>
                <w:sz w:val="17"/>
              </w:rPr>
              <w:t xml:space="preserve">   │ 4. Deterministic Deduplication (NUBAN &amp; BVN Collision Check)│</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CLEAN PRODUCTION CSV EXPORT        │</w:t>
            </w:r>
          </w:p>
          <w:p>
            <w:pPr>
              <w:spacing w:before="0" w:after="20" w:line="252" w:lineRule="auto"/>
            </w:pPr>
            <w:r>
              <w:rPr>
                <w:rFonts w:ascii="Consolas" w:hAnsi="Consolas"/>
                <w:color w:val="1E293B"/>
                <w:sz w:val="17"/>
              </w:rPr>
              <w:t xml:space="preserve">   │     Ingestion-Ready for State Tax Database    │</w:t>
            </w:r>
          </w:p>
          <w:p>
            <w:pPr>
              <w:spacing w:before="0" w:after="20" w:line="252" w:lineRule="auto"/>
            </w:pPr>
            <w:r>
              <w:rPr>
                <w:rFonts w:ascii="Consolas" w:hAnsi="Consolas"/>
                <w:color w:val="1E293B"/>
                <w:sz w:val="17"/>
              </w:rPr>
              <w:t xml:space="preserve">   └───────────────────────────────────────────────┘</w:t>
            </w:r>
          </w:p>
        </w:tc>
      </w:tr>
    </w:tbl>
    <w:p>
      <w:pPr>
        <w:spacing w:after="120"/>
      </w:pPr>
    </w:p>
    <w:p>
      <w:pPr>
        <w:spacing w:before="160" w:after="40"/>
      </w:pPr>
      <w:r>
        <w:rPr>
          <w:rFonts w:ascii="Calibri" w:hAnsi="Calibri"/>
          <w:b/>
          <w:color w:val="475569"/>
          <w:sz w:val="23"/>
        </w:rPr>
        <w:t>3.6.1 Batch Processing of Commercial Bank New Account Feeds</w:t>
      </w:r>
    </w:p>
    <w:p>
      <w:pPr>
        <w:spacing w:before="40" w:after="100" w:line="283" w:lineRule="auto"/>
      </w:pPr>
      <w:r>
        <w:rPr>
          <w:rFonts w:ascii="Calibri" w:hAnsi="Calibri"/>
          <w:color w:val="282828"/>
          <w:sz w:val="22"/>
        </w:rPr>
        <w:t>Commercial banks operating within Akwa Ibom State are mandated by statutory revenue regulations to submit periodic batch spreadsheets containing newly opened corporate and individual bank accounts. These feeds provide vital intelligence for discovering non-compliant businesses.</w:t>
      </w:r>
    </w:p>
    <w:p>
      <w:pPr>
        <w:spacing w:before="40" w:after="100" w:line="283" w:lineRule="auto"/>
      </w:pPr>
      <w:r>
        <w:rPr>
          <w:rFonts w:ascii="Calibri" w:hAnsi="Calibri"/>
          <w:color w:val="282828"/>
          <w:sz w:val="22"/>
        </w:rPr>
        <w:t xml:space="preserve">However, bank submissions arrived in heterogeneous, chaotic formats. Spreadsheets from different financial institutions varied wildly: column header titles were inconsistent (e.g., </w:t>
      </w:r>
      <w:r>
        <w:rPr>
          <w:rFonts w:ascii="Calibri" w:hAnsi="Calibri"/>
          <w:color w:val="282828"/>
          <w:sz w:val="22"/>
        </w:rPr>
        <w:t>"ACC_NUM"</w:t>
      </w:r>
      <w:r>
        <w:rPr>
          <w:rFonts w:ascii="Calibri" w:hAnsi="Calibri"/>
          <w:color w:val="282828"/>
          <w:sz w:val="22"/>
        </w:rPr>
        <w:t xml:space="preserve">, </w:t>
      </w:r>
      <w:r>
        <w:rPr>
          <w:rFonts w:ascii="Calibri" w:hAnsi="Calibri"/>
          <w:color w:val="282828"/>
          <w:sz w:val="22"/>
        </w:rPr>
        <w:t>"NUBAN"</w:t>
      </w:r>
      <w:r>
        <w:rPr>
          <w:rFonts w:ascii="Calibri" w:hAnsi="Calibri"/>
          <w:color w:val="282828"/>
          <w:sz w:val="22"/>
        </w:rPr>
        <w:t xml:space="preserve">, </w:t>
      </w:r>
      <w:r>
        <w:rPr>
          <w:rFonts w:ascii="Calibri" w:hAnsi="Calibri"/>
          <w:color w:val="282828"/>
          <w:sz w:val="22"/>
        </w:rPr>
        <w:t>"ACCOUNT_NO"</w:t>
      </w:r>
      <w:r>
        <w:rPr>
          <w:rFonts w:ascii="Calibri" w:hAnsi="Calibri"/>
          <w:color w:val="282828"/>
          <w:sz w:val="22"/>
        </w:rPr>
        <w:t xml:space="preserve">, </w:t>
      </w:r>
      <w:r>
        <w:rPr>
          <w:rFonts w:ascii="Calibri" w:hAnsi="Calibri"/>
          <w:color w:val="282828"/>
          <w:sz w:val="22"/>
        </w:rPr>
        <w:t>"CUSTOMER_TIN"</w:t>
      </w:r>
      <w:r>
        <w:rPr>
          <w:rFonts w:ascii="Calibri" w:hAnsi="Calibri"/>
          <w:color w:val="282828"/>
          <w:sz w:val="22"/>
        </w:rPr>
        <w:t>), phone numbers lacked leading zeroes due to Excel numeric parsing errors, branch location columns contained disparate entries, and duplicate records abounded. Manual cleaning using Microsoft Excel required days of labor-intensive effort, introduced severe human error, and delayed enforcement.</w:t>
      </w:r>
    </w:p>
    <w:p>
      <w:pPr>
        <w:spacing w:before="160" w:after="40"/>
      </w:pPr>
      <w:r>
        <w:rPr>
          <w:rFonts w:ascii="Calibri" w:hAnsi="Calibri"/>
          <w:b/>
          <w:color w:val="475569"/>
          <w:sz w:val="23"/>
        </w:rPr>
        <w:t>3.6.2 FastAPI-Powered Ingestion Portal &amp; OpenPyXL Parsing Engine</w:t>
      </w:r>
    </w:p>
    <w:p>
      <w:pPr>
        <w:spacing w:before="40" w:after="100" w:line="283" w:lineRule="auto"/>
      </w:pPr>
      <w:r>
        <w:rPr>
          <w:rFonts w:ascii="Calibri" w:hAnsi="Calibri"/>
          <w:color w:val="282828"/>
          <w:sz w:val="22"/>
        </w:rPr>
        <w:t xml:space="preserve">To eliminate this operational bottleneck, I built and deployed </w:t>
      </w:r>
      <w:r>
        <w:rPr>
          <w:rFonts w:ascii="Calibri" w:hAnsi="Calibri"/>
          <w:b/>
          <w:color w:val="282828"/>
          <w:sz w:val="22"/>
        </w:rPr>
        <w:t>`akirs-data-cleaner`</w:t>
      </w:r>
      <w:r>
        <w:rPr>
          <w:rFonts w:ascii="Calibri" w:hAnsi="Calibri"/>
          <w:color w:val="282828"/>
          <w:sz w:val="22"/>
        </w:rPr>
        <w:t>, an enterprise web application featuring:</w:t>
      </w:r>
    </w:p>
    <w:p>
      <w:pPr>
        <w:pStyle w:val="ListBullet"/>
        <w:spacing w:before="20" w:after="40" w:line="276" w:lineRule="auto"/>
      </w:pPr>
      <w:r>
        <w:rPr>
          <w:rFonts w:ascii="Calibri" w:hAnsi="Calibri"/>
          <w:color w:val="333333"/>
          <w:sz w:val="22"/>
        </w:rPr>
      </w:r>
      <w:r>
        <w:rPr>
          <w:rFonts w:ascii="Calibri" w:hAnsi="Calibri"/>
          <w:b/>
          <w:color w:val="333333"/>
          <w:sz w:val="22"/>
        </w:rPr>
        <w:t>Modern Backend Architecture:</w:t>
      </w:r>
      <w:r>
        <w:rPr>
          <w:rFonts w:ascii="Calibri" w:hAnsi="Calibri"/>
          <w:color w:val="333333"/>
          <w:sz w:val="22"/>
        </w:rPr>
        <w:t xml:space="preserve"> Built on Python's </w:t>
      </w:r>
      <w:r>
        <w:rPr>
          <w:rFonts w:ascii="Calibri" w:hAnsi="Calibri"/>
          <w:b/>
          <w:color w:val="333333"/>
          <w:sz w:val="22"/>
        </w:rPr>
        <w:t>FastAPI</w:t>
      </w:r>
      <w:r>
        <w:rPr>
          <w:rFonts w:ascii="Calibri" w:hAnsi="Calibri"/>
          <w:color w:val="333333"/>
          <w:sz w:val="22"/>
        </w:rPr>
        <w:t xml:space="preserve"> asynchronous web framework, utilizing Starlette and Pydantic for high-throughput request validation.</w:t>
      </w:r>
    </w:p>
    <w:p>
      <w:pPr>
        <w:pStyle w:val="ListBullet"/>
        <w:spacing w:before="20" w:after="40" w:line="276" w:lineRule="auto"/>
      </w:pPr>
      <w:r>
        <w:rPr>
          <w:rFonts w:ascii="Calibri" w:hAnsi="Calibri"/>
          <w:color w:val="333333"/>
          <w:sz w:val="22"/>
        </w:rPr>
      </w:r>
      <w:r>
        <w:rPr>
          <w:rFonts w:ascii="Calibri" w:hAnsi="Calibri"/>
          <w:b/>
          <w:color w:val="333333"/>
          <w:sz w:val="22"/>
        </w:rPr>
        <w:t>Streaming Excel Parser:</w:t>
      </w:r>
      <w:r>
        <w:rPr>
          <w:rFonts w:ascii="Calibri" w:hAnsi="Calibri"/>
          <w:color w:val="333333"/>
          <w:sz w:val="22"/>
        </w:rPr>
        <w:t xml:space="preserve"> Utilizes </w:t>
      </w:r>
      <w:r>
        <w:rPr>
          <w:rFonts w:ascii="Calibri" w:hAnsi="Calibri"/>
          <w:b/>
          <w:color w:val="333333"/>
          <w:sz w:val="22"/>
        </w:rPr>
        <w:t>OpenPyXL</w:t>
      </w:r>
      <w:r>
        <w:rPr>
          <w:rFonts w:ascii="Calibri" w:hAnsi="Calibri"/>
          <w:color w:val="333333"/>
          <w:sz w:val="22"/>
        </w:rPr>
        <w:t xml:space="preserve"> in read-only streaming mode to process large multi-megabyte Excel files (`.xlsx`) without exhausting server RAM.</w:t>
      </w:r>
    </w:p>
    <w:p>
      <w:pPr>
        <w:pStyle w:val="ListBullet"/>
        <w:spacing w:before="20" w:after="40" w:line="276" w:lineRule="auto"/>
      </w:pPr>
      <w:r>
        <w:rPr>
          <w:rFonts w:ascii="Calibri" w:hAnsi="Calibri"/>
          <w:color w:val="333333"/>
          <w:sz w:val="22"/>
        </w:rPr>
      </w:r>
      <w:r>
        <w:rPr>
          <w:rFonts w:ascii="Calibri" w:hAnsi="Calibri"/>
          <w:b/>
          <w:color w:val="333333"/>
          <w:sz w:val="22"/>
        </w:rPr>
        <w:t>Browser-Based UI:</w:t>
      </w:r>
      <w:r>
        <w:rPr>
          <w:rFonts w:ascii="Calibri" w:hAnsi="Calibri"/>
          <w:color w:val="333333"/>
          <w:sz w:val="22"/>
        </w:rPr>
        <w:t xml:space="preserve"> An intuitive web interface built with HTML5, modern CSS, and JavaScript allowing non-technical tax officers to drag-and-drop spreadsheets, configure cleaning parameters visually, preview transformation statistics, and download standardized CSV exports.</w:t>
      </w:r>
    </w:p>
    <w:p>
      <w:pPr>
        <w:spacing w:before="160" w:after="40"/>
      </w:pPr>
      <w:r>
        <w:rPr>
          <w:rFonts w:ascii="Calibri" w:hAnsi="Calibri"/>
          <w:b/>
          <w:color w:val="475569"/>
          <w:sz w:val="23"/>
        </w:rPr>
        <w:t>3.6.3 Algorithmic NUBAN &amp; TIN Validation, Duplicate Resolution, and Branch Filtering</w:t>
      </w:r>
    </w:p>
    <w:p>
      <w:pPr>
        <w:spacing w:before="40" w:after="100" w:line="283" w:lineRule="auto"/>
      </w:pPr>
      <w:r>
        <w:rPr>
          <w:rFonts w:ascii="Calibri" w:hAnsi="Calibri"/>
          <w:color w:val="282828"/>
          <w:sz w:val="22"/>
        </w:rPr>
        <w:t>The core transformation engine executes four rigorous validation passes:</w:t>
      </w:r>
    </w:p>
    <w:p>
      <w:pPr>
        <w:pStyle w:val="ListNumber"/>
        <w:spacing w:before="20" w:after="40" w:line="276" w:lineRule="auto"/>
      </w:pPr>
      <w:r>
        <w:rPr>
          <w:rFonts w:ascii="Calibri" w:hAnsi="Calibri"/>
          <w:color w:val="333333"/>
          <w:sz w:val="22"/>
        </w:rPr>
      </w:r>
      <w:r>
        <w:rPr>
          <w:rFonts w:ascii="Calibri" w:hAnsi="Calibri"/>
          <w:b/>
          <w:color w:val="333333"/>
          <w:sz w:val="22"/>
        </w:rPr>
        <w:t>Heuristic Header Mapping:</w:t>
      </w:r>
      <w:r>
        <w:rPr>
          <w:rFonts w:ascii="Calibri" w:hAnsi="Calibri"/>
          <w:color w:val="333333"/>
          <w:sz w:val="22"/>
        </w:rPr>
        <w:t xml:space="preserve"> Automatically detects and maps divergent column header names to standardized target fields (`NUBAN`, `TAXPAYER_ID`, `FIRST_NAME`, `SURNAME`, `PHONE_1`, `BRANCH`) using fuzzy string similarity matching.</w:t>
      </w:r>
    </w:p>
    <w:p>
      <w:pPr>
        <w:pStyle w:val="ListNumber"/>
        <w:spacing w:before="20" w:after="40" w:line="276" w:lineRule="auto"/>
      </w:pPr>
      <w:r>
        <w:rPr>
          <w:rFonts w:ascii="Calibri" w:hAnsi="Calibri"/>
          <w:color w:val="333333"/>
          <w:sz w:val="22"/>
        </w:rPr>
      </w:r>
      <w:r>
        <w:rPr>
          <w:rFonts w:ascii="Calibri" w:hAnsi="Calibri"/>
          <w:b/>
          <w:color w:val="333333"/>
          <w:sz w:val="22"/>
        </w:rPr>
        <w:t>Algorithmic NUBAN &amp; TIN Verification:</w:t>
      </w:r>
      <w:r>
        <w:rPr>
          <w:rFonts w:ascii="Calibri" w:hAnsi="Calibri"/>
          <w:color w:val="333333"/>
          <w:sz w:val="22"/>
        </w:rPr>
        <w:t xml:space="preserve"> Validates that account numbers strictly adhere to the Central Bank of Nigeria (CBN) 10-digit NUBAN structural format and checksum. Flags truncated numbers caused by spreadsheet scientific notation errors (`1.23E+09`).</w:t>
      </w:r>
    </w:p>
    <w:p>
      <w:pPr>
        <w:pStyle w:val="ListNumber"/>
        <w:spacing w:before="20" w:after="40" w:line="276" w:lineRule="auto"/>
      </w:pPr>
      <w:r>
        <w:rPr>
          <w:rFonts w:ascii="Calibri" w:hAnsi="Calibri"/>
          <w:color w:val="333333"/>
          <w:sz w:val="22"/>
        </w:rPr>
      </w:r>
      <w:r>
        <w:rPr>
          <w:rFonts w:ascii="Calibri" w:hAnsi="Calibri"/>
          <w:b/>
          <w:color w:val="333333"/>
          <w:sz w:val="22"/>
        </w:rPr>
        <w:t>Geographic Branch Filtering:</w:t>
      </w:r>
      <w:r>
        <w:rPr>
          <w:rFonts w:ascii="Calibri" w:hAnsi="Calibri"/>
          <w:color w:val="333333"/>
          <w:sz w:val="22"/>
        </w:rPr>
        <w:t xml:space="preserve"> Scans freeform branch location fields using text matching algorithms to filter out records belonging to other states while cleanly capturing local tax jurisdictions (e.g., isolating accounts registered at Uyo, Ikot Ekpene, or Eket branches).</w:t>
      </w:r>
    </w:p>
    <w:p>
      <w:pPr>
        <w:pStyle w:val="ListNumber"/>
        <w:spacing w:before="20" w:after="40" w:line="276" w:lineRule="auto"/>
      </w:pPr>
      <w:r>
        <w:rPr>
          <w:rFonts w:ascii="Calibri" w:hAnsi="Calibri"/>
          <w:color w:val="333333"/>
          <w:sz w:val="22"/>
        </w:rPr>
      </w:r>
      <w:r>
        <w:rPr>
          <w:rFonts w:ascii="Calibri" w:hAnsi="Calibri"/>
          <w:b/>
          <w:color w:val="333333"/>
          <w:sz w:val="22"/>
        </w:rPr>
        <w:t>Deterministic Deduplication:</w:t>
      </w:r>
      <w:r>
        <w:rPr>
          <w:rFonts w:ascii="Calibri" w:hAnsi="Calibri"/>
          <w:color w:val="333333"/>
          <w:sz w:val="22"/>
        </w:rPr>
        <w:t xml:space="preserve"> Identifies and resolves record duplicates based on primary financial keys (NUBAN and BVN). Users can choose between automated resolution (dropping subsequent duplicate occurrences) or interactive merging of conflicting contact fields.</w:t>
      </w:r>
    </w:p>
    <w:p>
      <w:pPr>
        <w:spacing w:before="160" w:after="40"/>
      </w:pPr>
      <w:r>
        <w:rPr>
          <w:rFonts w:ascii="Calibri" w:hAnsi="Calibri"/>
          <w:b/>
          <w:color w:val="475569"/>
          <w:sz w:val="23"/>
        </w:rPr>
        <w:t>3.6.4 Tasks Completed in Data Cleaning &amp; Normalization</w:t>
      </w:r>
    </w:p>
    <w:p>
      <w:pPr>
        <w:pStyle w:val="ListBullet"/>
        <w:spacing w:before="20" w:after="40" w:line="276" w:lineRule="auto"/>
      </w:pPr>
      <w:r>
        <w:rPr>
          <w:rFonts w:ascii="Calibri" w:hAnsi="Calibri"/>
          <w:color w:val="333333"/>
          <w:sz w:val="22"/>
        </w:rPr>
        <w:t>Developed both the interactive FastAPI web application (`bot.py`, `app/main.py`, `app/services/cleaner.py`) and specialized standalone migration scripts (`migrate_data.py`, `migrate2.py`) for processing multi-gigabyte quarterly datasets.</w:t>
      </w:r>
    </w:p>
    <w:p>
      <w:pPr>
        <w:pStyle w:val="ListBullet"/>
        <w:spacing w:before="20" w:after="40" w:line="276" w:lineRule="auto"/>
      </w:pPr>
      <w:r>
        <w:rPr>
          <w:rFonts w:ascii="Calibri" w:hAnsi="Calibri"/>
          <w:color w:val="333333"/>
          <w:sz w:val="22"/>
        </w:rPr>
        <w:t>Implemented automated telephone number sanitization algorithms, stripping whitespace, trailing hyphens, and scientific notation while restoring leading zeroes.</w:t>
      </w:r>
    </w:p>
    <w:p>
      <w:pPr>
        <w:pStyle w:val="ListBullet"/>
        <w:spacing w:before="20" w:after="40" w:line="276" w:lineRule="auto"/>
      </w:pPr>
      <w:r>
        <w:rPr>
          <w:rFonts w:ascii="Calibri" w:hAnsi="Calibri"/>
          <w:color w:val="333333"/>
          <w:sz w:val="22"/>
        </w:rPr>
        <w:t>Processed and normalized over 120,000 raw banking records for the Q3/Q4 tax cycles, reducing data cleaning processing time from 4 working days to under 15 seconds.</w:t>
      </w:r>
    </w:p>
    <w:p>
      <w:pPr>
        <w:pStyle w:val="ListBullet"/>
        <w:spacing w:before="20" w:after="40" w:line="276" w:lineRule="auto"/>
      </w:pPr>
      <w:r>
        <w:rPr>
          <w:rFonts w:ascii="Calibri" w:hAnsi="Calibri"/>
          <w:color w:val="333333"/>
          <w:sz w:val="22"/>
        </w:rPr>
        <w:t>Standardized output datasets into UTF-8 encoded, clean CSV schemas that integrated directly into the state tax database without import syntax errors.</w:t>
      </w:r>
    </w:p>
    <w:p>
      <w:pPr>
        <w:spacing w:before="200" w:after="60"/>
      </w:pPr>
      <w:r>
        <w:rPr>
          <w:rFonts w:ascii="Calibri" w:hAnsi="Calibri"/>
          <w:b/>
          <w:color w:val="2D3748"/>
          <w:sz w:val="25"/>
        </w:rPr>
        <w:t>3.7 MONITORING, ALERTING &amp; HARDWARE FLEET MAINTENANCE</w:t>
      </w:r>
    </w:p>
    <w:p>
      <w:pPr>
        <w:spacing w:before="160" w:after="40"/>
      </w:pPr>
      <w:r>
        <w:rPr>
          <w:rFonts w:ascii="Calibri" w:hAnsi="Calibri"/>
          <w:b/>
          <w:color w:val="475569"/>
          <w:sz w:val="23"/>
        </w:rPr>
        <w:t>3.7.1 Hardware Health Audits &amp; Proactive Alerting</w:t>
      </w:r>
    </w:p>
    <w:p>
      <w:pPr>
        <w:spacing w:before="40" w:after="100" w:line="283" w:lineRule="auto"/>
      </w:pPr>
      <w:r>
        <w:rPr>
          <w:rFonts w:ascii="Calibri" w:hAnsi="Calibri"/>
          <w:color w:val="282828"/>
          <w:sz w:val="22"/>
        </w:rPr>
        <w:t>Datacenter continuity demands proactive operational maintenance. Working alongside senior infrastructure engineers, I conducted daily hardware audits:</w:t>
      </w:r>
    </w:p>
    <w:p>
      <w:pPr>
        <w:pStyle w:val="ListBullet"/>
        <w:spacing w:before="20" w:after="40" w:line="276" w:lineRule="auto"/>
      </w:pPr>
      <w:r>
        <w:rPr>
          <w:rFonts w:ascii="Calibri" w:hAnsi="Calibri"/>
          <w:color w:val="333333"/>
          <w:sz w:val="22"/>
        </w:rPr>
        <w:t>Monitored server power distribution units (PDUs) and uninterruptible power supply (UPS) battery health, tracking load percentages and ambient datacenter temperature (maintained at 19°C).</w:t>
      </w:r>
    </w:p>
    <w:p>
      <w:pPr>
        <w:pStyle w:val="ListBullet"/>
        <w:spacing w:before="20" w:after="40" w:line="276" w:lineRule="auto"/>
      </w:pPr>
      <w:r>
        <w:rPr>
          <w:rFonts w:ascii="Calibri" w:hAnsi="Calibri"/>
          <w:color w:val="333333"/>
          <w:sz w:val="22"/>
        </w:rPr>
        <w:t>Configured automated SNMP (Simple Network Management Protocol) alerting on the Sophos XGS firewall and Synology NAS, dispatching immediate notification emails upon detecting disk degradation, port drops, or power anomalies.</w:t>
      </w:r>
    </w:p>
    <w:p>
      <w:pPr>
        <w:pStyle w:val="ListBullet"/>
        <w:spacing w:before="20" w:after="40" w:line="276" w:lineRule="auto"/>
      </w:pPr>
      <w:r>
        <w:rPr>
          <w:rFonts w:ascii="Calibri" w:hAnsi="Calibri"/>
          <w:color w:val="333333"/>
          <w:sz w:val="22"/>
        </w:rPr>
        <w:t>Audited server syslog streams, identifying and mitigating unauthorized SSH brute-force attempts targeting perimeter gateway nodes.</w:t>
      </w:r>
    </w:p>
    <w:p>
      <w:pPr>
        <w:spacing w:before="160" w:after="40"/>
      </w:pPr>
      <w:r>
        <w:rPr>
          <w:rFonts w:ascii="Calibri" w:hAnsi="Calibri"/>
          <w:b/>
          <w:color w:val="475569"/>
          <w:sz w:val="23"/>
        </w:rPr>
        <w:t>3.7.2 HP ProBook Engineering Fleet Provisioning &amp; Endpoint Security</w:t>
      </w:r>
    </w:p>
    <w:p>
      <w:pPr>
        <w:spacing w:before="40" w:after="100" w:line="283" w:lineRule="auto"/>
      </w:pPr>
      <w:r>
        <w:rPr>
          <w:rFonts w:ascii="Calibri" w:hAnsi="Calibri"/>
          <w:color w:val="282828"/>
          <w:sz w:val="22"/>
        </w:rPr>
        <w:t xml:space="preserve">As part of the JRB rollout, modern </w:t>
      </w:r>
      <w:r>
        <w:rPr>
          <w:rFonts w:ascii="Calibri" w:hAnsi="Calibri"/>
          <w:b/>
          <w:color w:val="282828"/>
          <w:sz w:val="22"/>
        </w:rPr>
        <w:t>HP ProBook 840 G10</w:t>
      </w:r>
      <w:r>
        <w:rPr>
          <w:rFonts w:ascii="Calibri" w:hAnsi="Calibri"/>
          <w:color w:val="282828"/>
          <w:sz w:val="22"/>
        </w:rPr>
        <w:t xml:space="preserve"> enterprise laptops were provisioned for audit teams and systems engineers. I assisted in:</w:t>
      </w:r>
    </w:p>
    <w:p>
      <w:pPr>
        <w:pStyle w:val="ListBullet"/>
        <w:spacing w:before="20" w:after="40" w:line="276" w:lineRule="auto"/>
      </w:pPr>
      <w:r>
        <w:rPr>
          <w:rFonts w:ascii="Calibri" w:hAnsi="Calibri"/>
          <w:color w:val="333333"/>
          <w:sz w:val="22"/>
        </w:rPr>
        <w:t>Executing automated unattended OS deployments of Windows 11 Enterprise.</w:t>
      </w:r>
    </w:p>
    <w:p>
      <w:pPr>
        <w:pStyle w:val="ListBullet"/>
        <w:spacing w:before="20" w:after="40" w:line="276" w:lineRule="auto"/>
      </w:pPr>
      <w:r>
        <w:rPr>
          <w:rFonts w:ascii="Calibri" w:hAnsi="Calibri"/>
          <w:color w:val="333333"/>
          <w:sz w:val="22"/>
        </w:rPr>
        <w:t>Enforcing Microsoft BitLocker full-disk hardware encryption tied to the laptop's TPM 2.0 (Trusted Platform Module) chip, guaranteeing that sensitive fiscal data remains cryptographically inaccessible in the event of device theft.</w:t>
      </w:r>
    </w:p>
    <w:p>
      <w:pPr>
        <w:pStyle w:val="ListBullet"/>
        <w:spacing w:before="20" w:after="40" w:line="276" w:lineRule="auto"/>
      </w:pPr>
      <w:r>
        <w:rPr>
          <w:rFonts w:ascii="Calibri" w:hAnsi="Calibri"/>
          <w:color w:val="333333"/>
          <w:sz w:val="22"/>
        </w:rPr>
        <w:t>Installing centralized endpoint antivirus protection and establishing enterprise zero-trust VPN configurations for remote field tax auditors.</w:t>
      </w:r>
    </w:p>
    <w:p>
      <w:pPr>
        <w:spacing w:before="200" w:after="60"/>
      </w:pPr>
      <w:r>
        <w:rPr>
          <w:rFonts w:ascii="Calibri" w:hAnsi="Calibri"/>
          <w:b/>
          <w:color w:val="2D3748"/>
          <w:sz w:val="25"/>
        </w:rPr>
        <w:t>3.8 VERSION CONTROL, DEVOPS &amp; CONTAINERIZATION</w:t>
      </w:r>
    </w:p>
    <w:p>
      <w:pPr>
        <w:spacing w:before="160" w:after="40"/>
      </w:pPr>
      <w:r>
        <w:rPr>
          <w:rFonts w:ascii="Calibri" w:hAnsi="Calibri"/>
          <w:b/>
          <w:color w:val="475569"/>
          <w:sz w:val="23"/>
        </w:rPr>
        <w:t>3.8.1 Git, GitHub &amp; Distributed Code Collaboration</w:t>
      </w:r>
    </w:p>
    <w:p>
      <w:pPr>
        <w:spacing w:before="40" w:after="100" w:line="283" w:lineRule="auto"/>
      </w:pPr>
      <w:r>
        <w:rPr>
          <w:rFonts w:ascii="Calibri" w:hAnsi="Calibri"/>
          <w:color w:val="282828"/>
          <w:sz w:val="22"/>
        </w:rPr>
        <w:t>All internal software development at AKIRS is governed by strict version control best practices:</w:t>
      </w:r>
    </w:p>
    <w:p>
      <w:pPr>
        <w:pStyle w:val="ListBullet"/>
        <w:spacing w:before="20" w:after="40" w:line="276" w:lineRule="auto"/>
      </w:pPr>
      <w:r>
        <w:rPr>
          <w:rFonts w:ascii="Calibri" w:hAnsi="Calibri"/>
          <w:color w:val="333333"/>
          <w:sz w:val="22"/>
        </w:rPr>
        <w:t xml:space="preserve">Maintained internal software repositories using </w:t>
      </w:r>
      <w:r>
        <w:rPr>
          <w:rFonts w:ascii="Calibri" w:hAnsi="Calibri"/>
          <w:b/>
          <w:color w:val="333333"/>
          <w:sz w:val="22"/>
        </w:rPr>
        <w:t>Git</w:t>
      </w:r>
      <w:r>
        <w:rPr>
          <w:rFonts w:ascii="Calibri" w:hAnsi="Calibri"/>
          <w:color w:val="333333"/>
          <w:sz w:val="22"/>
        </w:rPr>
        <w:t xml:space="preserve"> and </w:t>
      </w:r>
      <w:r>
        <w:rPr>
          <w:rFonts w:ascii="Calibri" w:hAnsi="Calibri"/>
          <w:b/>
          <w:color w:val="333333"/>
          <w:sz w:val="22"/>
        </w:rPr>
        <w:t>GitHub</w:t>
      </w:r>
      <w:r>
        <w:rPr>
          <w:rFonts w:ascii="Calibri" w:hAnsi="Calibri"/>
          <w:color w:val="333333"/>
          <w:sz w:val="22"/>
        </w:rPr>
        <w:t>, adhering to feature-branch workflows (`feature/header-parser`, `fix/nuban-checksum`).</w:t>
      </w:r>
    </w:p>
    <w:p>
      <w:pPr>
        <w:pStyle w:val="ListBullet"/>
        <w:spacing w:before="20" w:after="40" w:line="276" w:lineRule="auto"/>
      </w:pPr>
      <w:r>
        <w:rPr>
          <w:rFonts w:ascii="Calibri" w:hAnsi="Calibri"/>
          <w:color w:val="333333"/>
          <w:sz w:val="22"/>
        </w:rPr>
        <w:t>Drafted comprehensive documentation (`README.md`, `CHANGELOG.md`, `deploy.md`) and executed collaborative pull request (PR) code reviews, practicing surgical code modifications and test-driven validation.</w:t>
      </w:r>
    </w:p>
    <w:p>
      <w:pPr>
        <w:spacing w:before="160" w:after="40"/>
      </w:pPr>
      <w:r>
        <w:rPr>
          <w:rFonts w:ascii="Calibri" w:hAnsi="Calibri"/>
          <w:b/>
          <w:color w:val="475569"/>
          <w:sz w:val="23"/>
        </w:rPr>
        <w:t>3.8.2 Docker Containerization &amp; Microservice Environments</w:t>
      </w:r>
    </w:p>
    <w:p>
      <w:pPr>
        <w:spacing w:before="40" w:after="100" w:line="283" w:lineRule="auto"/>
      </w:pPr>
      <w:r>
        <w:rPr>
          <w:rFonts w:ascii="Calibri" w:hAnsi="Calibri"/>
          <w:color w:val="282828"/>
          <w:sz w:val="22"/>
        </w:rPr>
        <w:t>To ensure reproducible deployments across staging and production server environments, I containerized the internal software tools:</w:t>
      </w:r>
    </w:p>
    <w:p>
      <w:pPr>
        <w:pStyle w:val="ListBullet"/>
        <w:spacing w:before="20" w:after="40" w:line="276" w:lineRule="auto"/>
      </w:pPr>
      <w:r>
        <w:rPr>
          <w:rFonts w:ascii="Calibri" w:hAnsi="Calibri"/>
          <w:color w:val="333333"/>
          <w:sz w:val="22"/>
        </w:rPr>
        <w:t xml:space="preserve">Authored optimized, multi-stage </w:t>
      </w:r>
      <w:r>
        <w:rPr>
          <w:rFonts w:ascii="Calibri" w:hAnsi="Calibri"/>
          <w:b/>
          <w:color w:val="333333"/>
          <w:sz w:val="22"/>
        </w:rPr>
        <w:t>Dockerfiles</w:t>
      </w:r>
      <w:r>
        <w:rPr>
          <w:rFonts w:ascii="Calibri" w:hAnsi="Calibri"/>
          <w:color w:val="333333"/>
          <w:sz w:val="22"/>
        </w:rPr>
        <w:t xml:space="preserve"> for the FastAPI application, utilizing lightweight Alpine/Debian-slim base images and non-root execution users to minimize security attack surfaces.</w:t>
      </w:r>
    </w:p>
    <w:p>
      <w:pPr>
        <w:pStyle w:val="ListBullet"/>
        <w:spacing w:before="20" w:after="40" w:line="276" w:lineRule="auto"/>
      </w:pPr>
      <w:r>
        <w:rPr>
          <w:rFonts w:ascii="Calibri" w:hAnsi="Calibri"/>
          <w:color w:val="333333"/>
          <w:sz w:val="22"/>
        </w:rPr>
        <w:t xml:space="preserve">Configured </w:t>
      </w:r>
      <w:r>
        <w:rPr>
          <w:rFonts w:ascii="Calibri" w:hAnsi="Calibri"/>
          <w:b/>
          <w:color w:val="333333"/>
          <w:sz w:val="22"/>
        </w:rPr>
        <w:t>Docker Compose</w:t>
      </w:r>
      <w:r>
        <w:rPr>
          <w:rFonts w:ascii="Calibri" w:hAnsi="Calibri"/>
          <w:color w:val="333333"/>
          <w:sz w:val="22"/>
        </w:rPr>
        <w:t xml:space="preserve"> orchestration files managing web backends, background worker queues, and persistent local volumes for file processing.</w:t>
      </w:r>
    </w:p>
    <w:p>
      <w:pPr>
        <w:spacing w:before="200" w:after="60"/>
      </w:pPr>
      <w:r>
        <w:rPr>
          <w:rFonts w:ascii="Calibri" w:hAnsi="Calibri"/>
          <w:b/>
          <w:color w:val="2D3748"/>
          <w:sz w:val="25"/>
        </w:rPr>
        <w:t>3.9 SOFT SKILLS, CROSS-DISCIPLINARY COLLABORATION &amp; TECHNICAL COMMUNICATION</w:t>
      </w:r>
    </w:p>
    <w:p>
      <w:pPr>
        <w:spacing w:before="40" w:after="100" w:line="283" w:lineRule="auto"/>
      </w:pPr>
      <w:r>
        <w:rPr>
          <w:rFonts w:ascii="Calibri" w:hAnsi="Calibri"/>
          <w:color w:val="282828"/>
          <w:sz w:val="22"/>
        </w:rPr>
        <w:t>Beyond pure systems engineering and programming, the SIWES attachment cultivated essential human and professional competencies:</w:t>
      </w:r>
    </w:p>
    <w:p>
      <w:pPr>
        <w:pStyle w:val="ListBullet"/>
        <w:spacing w:before="20" w:after="40" w:line="276" w:lineRule="auto"/>
      </w:pPr>
      <w:r>
        <w:rPr>
          <w:rFonts w:ascii="Calibri" w:hAnsi="Calibri"/>
          <w:color w:val="333333"/>
          <w:sz w:val="22"/>
        </w:rPr>
      </w:r>
      <w:r>
        <w:rPr>
          <w:rFonts w:ascii="Calibri" w:hAnsi="Calibri"/>
          <w:b/>
          <w:color w:val="333333"/>
          <w:sz w:val="22"/>
        </w:rPr>
        <w:t>Interdisciplinary Collaboration:</w:t>
      </w:r>
      <w:r>
        <w:rPr>
          <w:rFonts w:ascii="Calibri" w:hAnsi="Calibri"/>
          <w:color w:val="333333"/>
          <w:sz w:val="22"/>
        </w:rPr>
        <w:t xml:space="preserve"> Worked closely with tax assessment auditors and legal officers, learning how to translate complex fiscal requirements and statutory tax laws into concrete software validation algorithms.</w:t>
      </w:r>
    </w:p>
    <w:p>
      <w:pPr>
        <w:pStyle w:val="ListBullet"/>
        <w:spacing w:before="20" w:after="40" w:line="276" w:lineRule="auto"/>
      </w:pPr>
      <w:r>
        <w:rPr>
          <w:rFonts w:ascii="Calibri" w:hAnsi="Calibri"/>
          <w:color w:val="333333"/>
          <w:sz w:val="22"/>
        </w:rPr>
      </w:r>
      <w:r>
        <w:rPr>
          <w:rFonts w:ascii="Calibri" w:hAnsi="Calibri"/>
          <w:b/>
          <w:color w:val="333333"/>
          <w:sz w:val="22"/>
        </w:rPr>
        <w:t>Technical Presentation:</w:t>
      </w:r>
      <w:r>
        <w:rPr>
          <w:rFonts w:ascii="Calibri" w:hAnsi="Calibri"/>
          <w:color w:val="333333"/>
          <w:sz w:val="22"/>
        </w:rPr>
        <w:t xml:space="preserve"> Prepared and presented slide decks and live software demonstrations during weekly ICT technical review meetings, explaining system architecture, data cleaning metrics, and infrastructure uptime status to executive management.</w:t>
      </w:r>
    </w:p>
    <w:p>
      <w:pPr>
        <w:pStyle w:val="ListBullet"/>
        <w:spacing w:before="20" w:after="40" w:line="276" w:lineRule="auto"/>
      </w:pPr>
      <w:r>
        <w:rPr>
          <w:rFonts w:ascii="Calibri" w:hAnsi="Calibri"/>
          <w:color w:val="333333"/>
          <w:sz w:val="22"/>
        </w:rPr>
      </w:r>
      <w:r>
        <w:rPr>
          <w:rFonts w:ascii="Calibri" w:hAnsi="Calibri"/>
          <w:b/>
          <w:color w:val="333333"/>
          <w:sz w:val="22"/>
        </w:rPr>
        <w:t>Operational Discipline &amp; Accountability:</w:t>
      </w:r>
      <w:r>
        <w:rPr>
          <w:rFonts w:ascii="Calibri" w:hAnsi="Calibri"/>
          <w:color w:val="333333"/>
          <w:sz w:val="22"/>
        </w:rPr>
        <w:t xml:space="preserve"> Operating within a government datacenter instilled a high level of accountability. Every terminal command, firewall modification, and server restart had to be meticulously logged in change management registers, reinforcing the critical mindset required for enterprise mission-critical engineering.</w:t>
      </w:r>
    </w:p>
    <w:p>
      <w:pPr>
        <w:spacing w:before="200" w:after="60"/>
      </w:pPr>
      <w:r>
        <w:rPr>
          <w:rFonts w:ascii="Calibri" w:hAnsi="Calibri"/>
          <w:b/>
          <w:color w:val="2D3748"/>
          <w:sz w:val="25"/>
        </w:rPr>
        <w:t>3.10 CHAPTER THREE CONCLUSION</w:t>
      </w:r>
    </w:p>
    <w:p>
      <w:pPr>
        <w:spacing w:before="40" w:after="100" w:line="283" w:lineRule="auto"/>
      </w:pPr>
      <w:r>
        <w:rPr>
          <w:rFonts w:ascii="Calibri" w:hAnsi="Calibri"/>
          <w:color w:val="282828"/>
          <w:sz w:val="22"/>
        </w:rPr>
        <w:t>Chapter Three has detailed the extensive practical engineering experiences gained during the six-month industrial attachment at the Akwa Ibom State Internal Revenue Service (AKIRS) under the JRB Digital Infrastructure Programme. By actively participating in datacenter virtualization, enterprise network administration, storage management, automated OSINT tax discovery, and high-throughput data cleaning, I bridged theoretical academic concepts with high-stakes production execution.</w:t>
      </w:r>
    </w:p>
    <w:p>
      <w:pPr>
        <w:spacing w:before="40" w:after="100" w:line="283" w:lineRule="auto"/>
      </w:pPr>
      <w:r>
        <w:rPr>
          <w:rFonts w:ascii="Calibri" w:hAnsi="Calibri"/>
          <w:color w:val="282828"/>
          <w:sz w:val="22"/>
        </w:rPr>
        <w:t xml:space="preserve">However, operating within this multi-server, multi-VM datacenter environment also exposed a critical architectural vulnerability common to modern distributed infrastructures: </w:t>
      </w:r>
      <w:r>
        <w:rPr>
          <w:rFonts w:ascii="Calibri" w:hAnsi="Calibri"/>
          <w:b/>
          <w:color w:val="282828"/>
          <w:sz w:val="22"/>
        </w:rPr>
        <w:t>the fragility, latency, and single-point-of-failure (SPOF) risks inherent in traditional centralized ingress reverse proxies</w:t>
      </w:r>
      <w:r>
        <w:rPr>
          <w:rFonts w:ascii="Calibri" w:hAnsi="Calibri"/>
          <w:color w:val="282828"/>
          <w:sz w:val="22"/>
        </w:rPr>
        <w:t>. This real-world operational challenge directly inspired the design, engineering, and implementation of my comprehensive technical project—</w:t>
      </w:r>
      <w:r>
        <w:rPr>
          <w:rFonts w:ascii="Calibri" w:hAnsi="Calibri"/>
          <w:b/>
          <w:color w:val="282828"/>
          <w:sz w:val="22"/>
        </w:rPr>
        <w:t>BRIDGE</w:t>
      </w:r>
      <w:r>
        <w:rPr>
          <w:rFonts w:ascii="Calibri" w:hAnsi="Calibri"/>
          <w:color w:val="282828"/>
          <w:sz w:val="22"/>
        </w:rPr>
        <w:t>—which is fully detailed in Chapter Four.</w:t>
      </w:r>
    </w:p>
    <w:p>
      <w:r>
        <w:br w:type="page"/>
      </w:r>
    </w:p>
    <w:p>
      <w:pPr>
        <w:spacing w:before="280" w:after="120"/>
      </w:pPr>
      <w:r>
        <w:rPr>
          <w:rFonts w:ascii="Calibri" w:hAnsi="Calibri"/>
          <w:b/>
          <w:color w:val="0F172A"/>
          <w:sz w:val="36"/>
        </w:rPr>
        <w:t>CHAPTER FOUR (4)</w:t>
      </w:r>
    </w:p>
    <w:p>
      <w:pPr>
        <w:spacing w:before="240" w:after="80"/>
      </w:pPr>
      <w:r>
        <w:rPr>
          <w:rFonts w:ascii="Calibri" w:hAnsi="Calibri"/>
          <w:b/>
          <w:color w:val="1F4E79"/>
          <w:sz w:val="30"/>
        </w:rPr>
        <w:t>TECHNICAL PROJECT</w:t>
      </w:r>
    </w:p>
    <w:p>
      <w:pPr>
        <w:spacing w:before="200" w:after="60"/>
      </w:pPr>
      <w:r>
        <w:rPr>
          <w:rFonts w:ascii="Calibri" w:hAnsi="Calibri"/>
          <w:b/>
          <w:color w:val="2D3748"/>
          <w:sz w:val="25"/>
        </w:rPr>
        <w:t>BRIDGE: A HIGH-PERFORMANCE FAULT-TOLERANT DISTRIBUTED INGRESS ROUTING MESH AND MULTI-VM GOSSIP NETWORK</w:t>
      </w:r>
    </w:p>
    <w:p>
      <w:pPr>
        <w:spacing w:before="200" w:after="60"/>
      </w:pPr>
      <w:r>
        <w:rPr>
          <w:rFonts w:ascii="Calibri" w:hAnsi="Calibri"/>
          <w:b/>
          <w:color w:val="2D3748"/>
          <w:sz w:val="25"/>
        </w:rPr>
        <w:t>4.0 INTRODUCTION</w:t>
      </w:r>
    </w:p>
    <w:p>
      <w:pPr>
        <w:spacing w:before="40" w:after="100" w:line="283" w:lineRule="auto"/>
      </w:pPr>
      <w:r>
        <w:rPr>
          <w:rFonts w:ascii="Calibri" w:hAnsi="Calibri"/>
          <w:color w:val="282828"/>
          <w:sz w:val="22"/>
        </w:rPr>
        <w:t>Modern enterprise datacenters and cloud computing environments—such as the multi-virtual-machine infrastructure operated at the Akwa Ibom State Internal Revenue Service (AKIRS) under the Joint Revenue Board (JRB) Programme—rely on fleets of distributed virtual machines to run specialized applications, database clusters, and internal services. In these environments, client requests originating from internal networks or the public internet must be routed dynamically, securely, and with sub-millisecond latency to the appropriate destination VM and container port.</w:t>
      </w:r>
    </w:p>
    <w:p>
      <w:pPr>
        <w:spacing w:before="40" w:after="100" w:line="283" w:lineRule="auto"/>
      </w:pPr>
      <w:r>
        <w:rPr>
          <w:rFonts w:ascii="Calibri" w:hAnsi="Calibri"/>
          <w:color w:val="282828"/>
          <w:sz w:val="22"/>
        </w:rPr>
        <w:t>Conventionally, organizations deploy centralized Layer-7 reverse proxies (such as Nginx, HAProxy, or Traefik) at the network perimeter. While effective for simple architectures, these centralized proxies introduce severe structural flaws at enterprise scale:</w:t>
      </w:r>
    </w:p>
    <w:p>
      <w:pPr>
        <w:pStyle w:val="ListNumber"/>
        <w:spacing w:before="20" w:after="40" w:line="276" w:lineRule="auto"/>
      </w:pPr>
      <w:r>
        <w:rPr>
          <w:rFonts w:ascii="Calibri" w:hAnsi="Calibri"/>
          <w:color w:val="333333"/>
          <w:sz w:val="22"/>
        </w:rPr>
        <w:t xml:space="preserve">They represent a fatal </w:t>
      </w:r>
      <w:r>
        <w:rPr>
          <w:rFonts w:ascii="Calibri" w:hAnsi="Calibri"/>
          <w:b/>
          <w:color w:val="333333"/>
          <w:sz w:val="22"/>
        </w:rPr>
        <w:t>Single Point of Failure (SPOF)</w:t>
      </w:r>
      <w:r>
        <w:rPr>
          <w:rFonts w:ascii="Calibri" w:hAnsi="Calibri"/>
          <w:color w:val="333333"/>
          <w:sz w:val="22"/>
        </w:rPr>
        <w:t>; if the proxy instance crashes, is overwhelmed, or undergoes maintenance, ingress to all internal services is severed.</w:t>
      </w:r>
    </w:p>
    <w:p>
      <w:pPr>
        <w:pStyle w:val="ListNumber"/>
        <w:spacing w:before="20" w:after="40" w:line="276" w:lineRule="auto"/>
      </w:pPr>
      <w:r>
        <w:rPr>
          <w:rFonts w:ascii="Calibri" w:hAnsi="Calibri"/>
          <w:color w:val="333333"/>
          <w:sz w:val="22"/>
        </w:rPr>
        <w:t>They mandate that the perimeter proxy terminate all TLS connections, forcing the centralized storage and exposure of private cryptographic keys for every hosted domain, while imposing massive CPU and memory overheads due to continuous TLS decryption, payload parsing, and re-encryption.</w:t>
      </w:r>
    </w:p>
    <w:p>
      <w:pPr>
        <w:pStyle w:val="ListNumber"/>
        <w:spacing w:before="20" w:after="40" w:line="276" w:lineRule="auto"/>
      </w:pPr>
      <w:r>
        <w:rPr>
          <w:rFonts w:ascii="Calibri" w:hAnsi="Calibri"/>
          <w:color w:val="333333"/>
          <w:sz w:val="22"/>
        </w:rPr>
        <w:t>They lack native, decentralized cross-VM coordination, requiring cumbersome manual configuration updates or external distributed consensus systems (such as etcd or Consul) that add prohibitive operational complexity.</w:t>
      </w:r>
    </w:p>
    <w:p>
      <w:pPr>
        <w:spacing w:before="40" w:after="100" w:line="283" w:lineRule="auto"/>
      </w:pPr>
      <w:r>
        <w:rPr>
          <w:rFonts w:ascii="Calibri" w:hAnsi="Calibri"/>
          <w:color w:val="282828"/>
          <w:sz w:val="22"/>
        </w:rPr>
        <w:t xml:space="preserve">To definitively resolve these systemic vulnerabilities, I engineered </w:t>
      </w:r>
      <w:r>
        <w:rPr>
          <w:rFonts w:ascii="Calibri" w:hAnsi="Calibri"/>
          <w:b/>
          <w:color w:val="282828"/>
          <w:sz w:val="22"/>
        </w:rPr>
        <w:t>BRIDGE</w:t>
      </w:r>
      <w:r>
        <w:rPr>
          <w:rFonts w:ascii="Calibri" w:hAnsi="Calibri"/>
          <w:color w:val="282828"/>
          <w:sz w:val="22"/>
        </w:rPr>
        <w:t xml:space="preserve">: an ultra-fast, fault-tolerant distributed ingress router and routing mesh implemented in the </w:t>
      </w:r>
      <w:r>
        <w:rPr>
          <w:rFonts w:ascii="Calibri" w:hAnsi="Calibri"/>
          <w:b/>
          <w:color w:val="282828"/>
          <w:sz w:val="22"/>
        </w:rPr>
        <w:t>Rust</w:t>
      </w:r>
      <w:r>
        <w:rPr>
          <w:rFonts w:ascii="Calibri" w:hAnsi="Calibri"/>
          <w:color w:val="282828"/>
          <w:sz w:val="22"/>
        </w:rPr>
        <w:t xml:space="preserve"> systems programming language. Bridge operates as a decentralized mesh across bare-metal servers, virtual machines, and cloud VPS fleets. It features an innovative </w:t>
      </w:r>
      <w:r>
        <w:rPr>
          <w:rFonts w:ascii="Calibri" w:hAnsi="Calibri"/>
          <w:b/>
          <w:color w:val="282828"/>
          <w:sz w:val="22"/>
        </w:rPr>
        <w:t>L4 SNI Handoff Mode</w:t>
      </w:r>
      <w:r>
        <w:rPr>
          <w:rFonts w:ascii="Calibri" w:hAnsi="Calibri"/>
          <w:color w:val="282828"/>
          <w:sz w:val="22"/>
        </w:rPr>
        <w:t xml:space="preserve"> that routes TLS traffic directly to destination VMs without terminating encryption, a lock-free in-memory domain registry, a peer-to-peer UDP gossip discovery protocol, and automated failover capabilities.</w:t>
      </w:r>
    </w:p>
    <w:p>
      <w:pPr>
        <w:spacing w:before="200" w:after="60"/>
      </w:pPr>
      <w:r>
        <w:rPr>
          <w:rFonts w:ascii="Calibri" w:hAnsi="Calibri"/>
          <w:b/>
          <w:color w:val="2D3748"/>
          <w:sz w:val="25"/>
        </w:rPr>
        <w:t>4.1 BACKGROUND</w:t>
      </w:r>
    </w:p>
    <w:p>
      <w:pPr>
        <w:spacing w:before="40" w:after="100" w:line="283" w:lineRule="auto"/>
      </w:pPr>
      <w:r>
        <w:rPr>
          <w:rFonts w:ascii="Calibri" w:hAnsi="Calibri"/>
          <w:color w:val="282828"/>
          <w:sz w:val="22"/>
        </w:rPr>
        <w:t>In multi-server deployments, applications are frequently partitioned across disparate virtual machines for security, isolation, and scalability. For instance, in an enterprise setup:</w:t>
      </w:r>
    </w:p>
    <w:p>
      <w:pPr>
        <w:pStyle w:val="ListBullet"/>
        <w:spacing w:before="20" w:after="40" w:line="276" w:lineRule="auto"/>
      </w:pPr>
      <w:r>
        <w:rPr>
          <w:rFonts w:ascii="Calibri" w:hAnsi="Calibri"/>
          <w:color w:val="333333"/>
          <w:sz w:val="22"/>
        </w:rPr>
        <w:t>VM-01 may host the primary public tax payment portal,</w:t>
      </w:r>
    </w:p>
    <w:p>
      <w:pPr>
        <w:pStyle w:val="ListBullet"/>
        <w:spacing w:before="20" w:after="40" w:line="276" w:lineRule="auto"/>
      </w:pPr>
      <w:r>
        <w:rPr>
          <w:rFonts w:ascii="Calibri" w:hAnsi="Calibri"/>
          <w:color w:val="333333"/>
          <w:sz w:val="22"/>
        </w:rPr>
        <w:t>VM-02 may host internal API microservices,</w:t>
      </w:r>
    </w:p>
    <w:p>
      <w:pPr>
        <w:pStyle w:val="ListBullet"/>
        <w:spacing w:before="20" w:after="40" w:line="276" w:lineRule="auto"/>
      </w:pPr>
      <w:r>
        <w:rPr>
          <w:rFonts w:ascii="Calibri" w:hAnsi="Calibri"/>
          <w:color w:val="333333"/>
          <w:sz w:val="22"/>
        </w:rPr>
        <w:t>VM-03 may run staging instances or administrative dashboards managed by deployment platforms like Coolify, Docker Swarm, or Kubernetes.</w:t>
      </w:r>
    </w:p>
    <w:p>
      <w:pPr>
        <w:spacing w:before="40" w:after="100" w:line="283" w:lineRule="auto"/>
      </w:pPr>
      <w:r>
        <w:rPr>
          <w:rFonts w:ascii="Calibri" w:hAnsi="Calibri"/>
          <w:color w:val="282828"/>
          <w:sz w:val="22"/>
        </w:rPr>
        <w:t xml:space="preserve">When a client initiates an HTTPS request to </w:t>
      </w:r>
      <w:r>
        <w:rPr>
          <w:rFonts w:ascii="Calibri" w:hAnsi="Calibri"/>
          <w:color w:val="282828"/>
          <w:sz w:val="22"/>
        </w:rPr>
        <w:t>taxportal.state.gov.ng</w:t>
      </w:r>
      <w:r>
        <w:rPr>
          <w:rFonts w:ascii="Calibri" w:hAnsi="Calibri"/>
          <w:color w:val="282828"/>
          <w:sz w:val="22"/>
        </w:rPr>
        <w:t xml:space="preserve"> or </w:t>
      </w:r>
      <w:r>
        <w:rPr>
          <w:rFonts w:ascii="Calibri" w:hAnsi="Calibri"/>
          <w:color w:val="282828"/>
          <w:sz w:val="22"/>
        </w:rPr>
        <w:t>api.state.gov.ng</w:t>
      </w:r>
      <w:r>
        <w:rPr>
          <w:rFonts w:ascii="Calibri" w:hAnsi="Calibri"/>
          <w:color w:val="282828"/>
          <w:sz w:val="22"/>
        </w:rPr>
        <w:t xml:space="preserve">, DNS resolution directs the connection to the organization's ingress IP address. In traditional infrastructure, an ingress proxy terminates the TLS handshake, decrypts the HTTP payload, inspects the HTTP </w:t>
      </w:r>
      <w:r>
        <w:rPr>
          <w:rFonts w:ascii="Calibri" w:hAnsi="Calibri"/>
          <w:color w:val="282828"/>
          <w:sz w:val="22"/>
        </w:rPr>
        <w:t>Host</w:t>
      </w:r>
      <w:r>
        <w:rPr>
          <w:rFonts w:ascii="Calibri" w:hAnsi="Calibri"/>
          <w:color w:val="282828"/>
          <w:sz w:val="22"/>
        </w:rPr>
        <w:t xml:space="preserve"> header or URL path, and reverse-proxies the request across an internal network bridge to the destination VM.</w:t>
      </w:r>
    </w:p>
    <w:p>
      <w:pPr>
        <w:spacing w:before="40" w:after="100" w:line="283" w:lineRule="auto"/>
      </w:pPr>
      <w:r>
        <w:rPr>
          <w:rFonts w:ascii="Calibri" w:hAnsi="Calibri"/>
          <w:color w:val="282828"/>
          <w:sz w:val="22"/>
        </w:rPr>
        <w:t>However, operating this model across high-density VM environments introduces severe performance degradation and operational friction:</w:t>
      </w:r>
    </w:p>
    <w:p>
      <w:pPr>
        <w:pStyle w:val="ListBullet"/>
        <w:spacing w:before="20" w:after="40" w:line="276" w:lineRule="auto"/>
      </w:pPr>
      <w:r>
        <w:rPr>
          <w:rFonts w:ascii="Calibri" w:hAnsi="Calibri"/>
          <w:color w:val="333333"/>
          <w:sz w:val="22"/>
        </w:rPr>
      </w:r>
      <w:r>
        <w:rPr>
          <w:rFonts w:ascii="Calibri" w:hAnsi="Calibri"/>
          <w:b/>
          <w:color w:val="333333"/>
          <w:sz w:val="22"/>
        </w:rPr>
        <w:t>The Single-Node Bottleneck:</w:t>
      </w:r>
      <w:r>
        <w:rPr>
          <w:rFonts w:ascii="Calibri" w:hAnsi="Calibri"/>
          <w:color w:val="333333"/>
          <w:sz w:val="22"/>
        </w:rPr>
        <w:t xml:space="preserve"> Every inbound byte must traverse the CPU and memory bus of the single proxy host. As traffic scales, the proxy server experiences socket starvation, high epoll latency, and CPU thrashing during TLS handshakes.</w:t>
      </w:r>
    </w:p>
    <w:p>
      <w:pPr>
        <w:pStyle w:val="ListBullet"/>
        <w:spacing w:before="20" w:after="40" w:line="276" w:lineRule="auto"/>
      </w:pPr>
      <w:r>
        <w:rPr>
          <w:rFonts w:ascii="Calibri" w:hAnsi="Calibri"/>
          <w:color w:val="333333"/>
          <w:sz w:val="22"/>
        </w:rPr>
      </w:r>
      <w:r>
        <w:rPr>
          <w:rFonts w:ascii="Calibri" w:hAnsi="Calibri"/>
          <w:b/>
          <w:color w:val="333333"/>
          <w:sz w:val="22"/>
        </w:rPr>
        <w:t>Security &amp; Key Management Overhead:</w:t>
      </w:r>
      <w:r>
        <w:rPr>
          <w:rFonts w:ascii="Calibri" w:hAnsi="Calibri"/>
          <w:color w:val="333333"/>
          <w:sz w:val="22"/>
        </w:rPr>
        <w:t xml:space="preserve"> The centralized proxy must maintain private SSL/TLS certificates for every subdomain. If a tenant VM generates its own automated Let's Encrypt certificates (e.g., via Traefik or Caddy inside Coolify), the perimeter proxy cannot inspect the payload without breaking end-to-end cryptographic confidentiality.</w:t>
      </w:r>
    </w:p>
    <w:p>
      <w:pPr>
        <w:pStyle w:val="ListBullet"/>
        <w:spacing w:before="20" w:after="40" w:line="276" w:lineRule="auto"/>
      </w:pPr>
      <w:r>
        <w:rPr>
          <w:rFonts w:ascii="Calibri" w:hAnsi="Calibri"/>
          <w:color w:val="333333"/>
          <w:sz w:val="22"/>
        </w:rPr>
      </w:r>
      <w:r>
        <w:rPr>
          <w:rFonts w:ascii="Calibri" w:hAnsi="Calibri"/>
          <w:b/>
          <w:color w:val="333333"/>
          <w:sz w:val="22"/>
        </w:rPr>
        <w:t>Failover Rigidity:</w:t>
      </w:r>
      <w:r>
        <w:rPr>
          <w:rFonts w:ascii="Calibri" w:hAnsi="Calibri"/>
          <w:color w:val="333333"/>
          <w:sz w:val="22"/>
        </w:rPr>
        <w:t xml:space="preserve"> Traditional high-availability (HA) setups rely on VRRP (Keepalived) active-passive pairs. Active-passive models waste 50% of provisioned hardware resources and suffer from connection drops during floating IP failover transitions.</w:t>
      </w:r>
    </w:p>
    <w:p>
      <w:pPr>
        <w:spacing w:before="40" w:after="100" w:line="283" w:lineRule="auto"/>
      </w:pPr>
      <w:r>
        <w:rPr>
          <w:rFonts w:ascii="Calibri" w:hAnsi="Calibri"/>
          <w:color w:val="282828"/>
          <w:sz w:val="22"/>
        </w:rPr>
        <w:t>Bridge was designed from first principles to overcome these limitations by establishing a resilient, decentralized routing fabric that operates across transport (L4) and application (L7) layers.</w:t>
      </w:r>
    </w:p>
    <w:p>
      <w:pPr>
        <w:spacing w:before="200" w:after="60"/>
      </w:pPr>
      <w:r>
        <w:rPr>
          <w:rFonts w:ascii="Calibri" w:hAnsi="Calibri"/>
          <w:b/>
          <w:color w:val="2D3748"/>
          <w:sz w:val="25"/>
        </w:rPr>
        <w:t>4.2 PROBLEM STATEMENT</w:t>
      </w:r>
    </w:p>
    <w:p>
      <w:pPr>
        <w:spacing w:before="40" w:after="100" w:line="283" w:lineRule="auto"/>
      </w:pPr>
      <w:r>
        <w:rPr>
          <w:rFonts w:ascii="Calibri" w:hAnsi="Calibri"/>
          <w:color w:val="282828"/>
          <w:sz w:val="22"/>
        </w:rPr>
        <w:t>The architectural challenges governing multi-VM ingress routing can be formalized through four core deficiencies in existing tooling:</w:t>
      </w:r>
    </w:p>
    <w:p>
      <w:pPr>
        <w:pStyle w:val="ListNumber"/>
        <w:spacing w:before="20" w:after="40" w:line="276" w:lineRule="auto"/>
      </w:pPr>
      <w:r>
        <w:rPr>
          <w:rFonts w:ascii="Calibri" w:hAnsi="Calibri"/>
          <w:color w:val="333333"/>
          <w:sz w:val="22"/>
        </w:rPr>
      </w:r>
      <w:r>
        <w:rPr>
          <w:rFonts w:ascii="Calibri" w:hAnsi="Calibri"/>
          <w:b/>
          <w:color w:val="333333"/>
          <w:sz w:val="22"/>
        </w:rPr>
        <w:t>Centralized Architectural Fragility (SPOF):</w:t>
      </w:r>
      <w:r>
        <w:rPr>
          <w:rFonts w:ascii="Calibri" w:hAnsi="Calibri"/>
          <w:color w:val="333333"/>
          <w:sz w:val="22"/>
        </w:rPr>
        <w:t xml:space="preserve"> Existing edge proxies operate as single points of failure. The loss of the proxy node invalidates all downstream services, regardless of how healthy and redundant the backend VM clusters are.</w:t>
      </w:r>
    </w:p>
    <w:p>
      <w:pPr>
        <w:pStyle w:val="ListNumber"/>
        <w:spacing w:before="20" w:after="40" w:line="276" w:lineRule="auto"/>
      </w:pPr>
      <w:r>
        <w:rPr>
          <w:rFonts w:ascii="Calibri" w:hAnsi="Calibri"/>
          <w:color w:val="333333"/>
          <w:sz w:val="22"/>
        </w:rPr>
      </w:r>
      <w:r>
        <w:rPr>
          <w:rFonts w:ascii="Calibri" w:hAnsi="Calibri"/>
          <w:b/>
          <w:color w:val="333333"/>
          <w:sz w:val="22"/>
        </w:rPr>
        <w:t>TLS Termination Inefficiencies &amp; Private Key Proliferation:</w:t>
      </w:r>
      <w:r>
        <w:rPr>
          <w:rFonts w:ascii="Calibri" w:hAnsi="Calibri"/>
          <w:color w:val="333333"/>
          <w:sz w:val="22"/>
        </w:rPr>
        <w:t xml:space="preserve"> Forcing ingress proxies to perform Layer-7 TLS termination consumes significant cryptographic processing cycles and requires synchronization of private keys across perimeter nodes, violating the principle of least privilege and zero-trust security.</w:t>
      </w:r>
    </w:p>
    <w:p>
      <w:pPr>
        <w:pStyle w:val="ListNumber"/>
        <w:spacing w:before="20" w:after="40" w:line="276" w:lineRule="auto"/>
      </w:pPr>
      <w:r>
        <w:rPr>
          <w:rFonts w:ascii="Calibri" w:hAnsi="Calibri"/>
          <w:color w:val="333333"/>
          <w:sz w:val="22"/>
        </w:rPr>
      </w:r>
      <w:r>
        <w:rPr>
          <w:rFonts w:ascii="Calibri" w:hAnsi="Calibri"/>
          <w:b/>
          <w:color w:val="333333"/>
          <w:sz w:val="22"/>
        </w:rPr>
        <w:t>Cross-Provider Multi-Cloud Incompatibility:</w:t>
      </w:r>
      <w:r>
        <w:rPr>
          <w:rFonts w:ascii="Calibri" w:hAnsi="Calibri"/>
          <w:color w:val="333333"/>
          <w:sz w:val="22"/>
        </w:rPr>
        <w:t xml:space="preserve"> Cloud-native solutions (e.g., AWS Application Load Balancers, Cloudflare Load Balancing) are proprietary, costly, and cannot seamlessly route across on-premise datacenter VMs (such as HPE ProLiant Gen11 nodes) and multi-cloud VPS fleets (Hetzner, DigitalOcean, bare-metal).</w:t>
      </w:r>
    </w:p>
    <w:p>
      <w:pPr>
        <w:pStyle w:val="ListNumber"/>
        <w:spacing w:before="20" w:after="40" w:line="276" w:lineRule="auto"/>
      </w:pPr>
      <w:r>
        <w:rPr>
          <w:rFonts w:ascii="Calibri" w:hAnsi="Calibri"/>
          <w:color w:val="333333"/>
          <w:sz w:val="22"/>
        </w:rPr>
      </w:r>
      <w:r>
        <w:rPr>
          <w:rFonts w:ascii="Calibri" w:hAnsi="Calibri"/>
          <w:b/>
          <w:color w:val="333333"/>
          <w:sz w:val="22"/>
        </w:rPr>
        <w:t>Heavyweight Coordination Dependencies:</w:t>
      </w:r>
      <w:r>
        <w:rPr>
          <w:rFonts w:ascii="Calibri" w:hAnsi="Calibri"/>
          <w:color w:val="333333"/>
          <w:sz w:val="22"/>
        </w:rPr>
        <w:t xml:space="preserve"> Distributed discovery systems typically depend on heavyweight consensus algorithms (Raft, Paxos via ZooKeeper or Consul) that require high memory footprints, dedicated quorum servers, and strict network latency bounds, making them unsuitable for lightweight multi-VM nodes.</w:t>
      </w:r>
    </w:p>
    <w:p>
      <w:pPr>
        <w:spacing w:before="40" w:after="100" w:line="283" w:lineRule="auto"/>
      </w:pPr>
      <w:r>
        <w:rPr>
          <w:rFonts w:ascii="Calibri" w:hAnsi="Calibri"/>
          <w:color w:val="282828"/>
          <w:sz w:val="22"/>
        </w:rPr>
        <w:t>The following architectural comparison summarizes the critical capability gap addressed by Bridge:</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1F4E79"/>
            <w:tcMar>
              <w:top w:w="120" w:type="dxa"/>
              <w:bottom w:w="120" w:type="dxa"/>
              <w:left w:w="180" w:type="dxa"/>
              <w:right w:w="180" w:type="dxa"/>
            </w:tcMar>
          </w:tcPr>
          <w:p>
            <w:pPr>
              <w:jc w:val="center"/>
            </w:pPr>
            <w:r>
              <w:rPr>
                <w:rFonts w:ascii="Calibri" w:hAnsi="Calibri"/>
                <w:b/>
                <w:color w:val="FFFFFF"/>
                <w:sz w:val="20"/>
              </w:rPr>
              <w:t>Feature / Capability</w:t>
            </w:r>
          </w:p>
        </w:tc>
        <w:tc>
          <w:tcPr>
            <w:tcW w:type="dxa" w:w="1800"/>
            <w:shd w:fill="1F4E79"/>
            <w:tcMar>
              <w:top w:w="120" w:type="dxa"/>
              <w:bottom w:w="120" w:type="dxa"/>
              <w:left w:w="180" w:type="dxa"/>
              <w:right w:w="180" w:type="dxa"/>
            </w:tcMar>
          </w:tcPr>
          <w:p>
            <w:pPr>
              <w:jc w:val="center"/>
            </w:pPr>
            <w:r>
              <w:rPr>
                <w:rFonts w:ascii="Calibri" w:hAnsi="Calibri"/>
                <w:b/>
                <w:color w:val="FFFFFF"/>
                <w:sz w:val="20"/>
              </w:rPr>
              <w:t>Traefik / Nginx / Caddy</w:t>
            </w:r>
          </w:p>
        </w:tc>
        <w:tc>
          <w:tcPr>
            <w:tcW w:type="dxa" w:w="1800"/>
            <w:shd w:fill="1F4E79"/>
            <w:tcMar>
              <w:top w:w="120" w:type="dxa"/>
              <w:bottom w:w="120" w:type="dxa"/>
              <w:left w:w="180" w:type="dxa"/>
              <w:right w:w="180" w:type="dxa"/>
            </w:tcMar>
          </w:tcPr>
          <w:p>
            <w:pPr>
              <w:jc w:val="center"/>
            </w:pPr>
            <w:r>
              <w:rPr>
                <w:rFonts w:ascii="Calibri" w:hAnsi="Calibri"/>
                <w:b/>
                <w:color w:val="FFFFFF"/>
                <w:sz w:val="20"/>
              </w:rPr>
              <w:t>Coolify Built-in Proxy</w:t>
            </w:r>
          </w:p>
        </w:tc>
        <w:tc>
          <w:tcPr>
            <w:tcW w:type="dxa" w:w="1800"/>
            <w:shd w:fill="1F4E79"/>
            <w:tcMar>
              <w:top w:w="120" w:type="dxa"/>
              <w:bottom w:w="120" w:type="dxa"/>
              <w:left w:w="180" w:type="dxa"/>
              <w:right w:w="180" w:type="dxa"/>
            </w:tcMar>
          </w:tcPr>
          <w:p>
            <w:pPr>
              <w:jc w:val="center"/>
            </w:pPr>
            <w:r>
              <w:rPr>
                <w:rFonts w:ascii="Calibri" w:hAnsi="Calibri"/>
                <w:b/>
                <w:color w:val="FFFFFF"/>
                <w:sz w:val="20"/>
              </w:rPr>
              <w:t>Cloudflare / AWS ALB</w:t>
            </w:r>
          </w:p>
        </w:tc>
        <w:tc>
          <w:tcPr>
            <w:tcW w:type="dxa" w:w="1800"/>
            <w:shd w:fill="1F4E79"/>
            <w:tcMar>
              <w:top w:w="120" w:type="dxa"/>
              <w:bottom w:w="120" w:type="dxa"/>
              <w:left w:w="180" w:type="dxa"/>
              <w:right w:w="180" w:type="dxa"/>
            </w:tcMar>
          </w:tcPr>
          <w:p>
            <w:pPr>
              <w:jc w:val="center"/>
            </w:pPr>
            <w:r>
              <w:rPr>
                <w:rFonts w:ascii="Calibri" w:hAnsi="Calibri"/>
                <w:b/>
                <w:color w:val="FFFFFF"/>
                <w:sz w:val="20"/>
              </w:rPr>
              <w:t>**BRIDGE (This Project)**</w:t>
            </w:r>
          </w:p>
        </w:tc>
      </w:tr>
      <w:tr>
        <w:tc>
          <w:tcPr>
            <w:tcW w:type="dxa" w:w="1800"/>
            <w:shd w:fill="FFFFFF"/>
            <w:tcMar>
              <w:top w:w="100" w:type="dxa"/>
              <w:bottom w:w="100" w:type="dxa"/>
              <w:left w:w="150" w:type="dxa"/>
              <w:right w:w="150" w:type="dxa"/>
            </w:tcMar>
          </w:tcPr>
          <w:p>
            <w:pPr>
              <w:jc w:val="left"/>
            </w:pPr>
            <w:r>
              <w:rPr>
                <w:rFonts w:ascii="Calibri" w:hAnsi="Calibri"/>
                <w:color w:val="282828"/>
                <w:sz w:val="19"/>
              </w:rPr>
              <w:t>**Multi-Server Mesh Routing**</w:t>
            </w:r>
          </w:p>
        </w:tc>
        <w:tc>
          <w:tcPr>
            <w:tcW w:type="dxa" w:w="1800"/>
            <w:shd w:fill="FFFFFF"/>
            <w:tcMar>
              <w:top w:w="100" w:type="dxa"/>
              <w:bottom w:w="100" w:type="dxa"/>
              <w:left w:w="150" w:type="dxa"/>
              <w:right w:w="150" w:type="dxa"/>
            </w:tcMar>
          </w:tcPr>
          <w:p>
            <w:pPr>
              <w:jc w:val="left"/>
            </w:pPr>
            <w:r>
              <w:rPr>
                <w:rFonts w:ascii="Calibri" w:hAnsi="Calibri"/>
                <w:color w:val="282828"/>
                <w:sz w:val="19"/>
              </w:rPr>
              <w:t>No (Single node only)</w:t>
            </w:r>
          </w:p>
        </w:tc>
        <w:tc>
          <w:tcPr>
            <w:tcW w:type="dxa" w:w="1800"/>
            <w:shd w:fill="FFFFFF"/>
            <w:tcMar>
              <w:top w:w="100" w:type="dxa"/>
              <w:bottom w:w="100" w:type="dxa"/>
              <w:left w:w="150" w:type="dxa"/>
              <w:right w:w="150" w:type="dxa"/>
            </w:tcMar>
          </w:tcPr>
          <w:p>
            <w:pPr>
              <w:jc w:val="left"/>
            </w:pPr>
            <w:r>
              <w:rPr>
                <w:rFonts w:ascii="Calibri" w:hAnsi="Calibri"/>
                <w:color w:val="282828"/>
                <w:sz w:val="19"/>
              </w:rPr>
              <w:t>No (Per server only)</w:t>
            </w:r>
          </w:p>
        </w:tc>
        <w:tc>
          <w:tcPr>
            <w:tcW w:type="dxa" w:w="1800"/>
            <w:shd w:fill="FFFFFF"/>
            <w:tcMar>
              <w:top w:w="100" w:type="dxa"/>
              <w:bottom w:w="100" w:type="dxa"/>
              <w:left w:w="150" w:type="dxa"/>
              <w:right w:w="150" w:type="dxa"/>
            </w:tcMar>
          </w:tcPr>
          <w:p>
            <w:pPr>
              <w:jc w:val="left"/>
            </w:pPr>
            <w:r>
              <w:rPr>
                <w:rFonts w:ascii="Calibri" w:hAnsi="Calibri"/>
                <w:color w:val="282828"/>
                <w:sz w:val="19"/>
              </w:rPr>
              <w:t>Yes (Proprietary cloud)</w:t>
            </w:r>
          </w:p>
        </w:tc>
        <w:tc>
          <w:tcPr>
            <w:tcW w:type="dxa" w:w="1800"/>
            <w:shd w:fill="FFFFFF"/>
            <w:tcMar>
              <w:top w:w="100" w:type="dxa"/>
              <w:bottom w:w="100" w:type="dxa"/>
              <w:left w:w="150" w:type="dxa"/>
              <w:right w:w="150" w:type="dxa"/>
            </w:tcMar>
          </w:tcPr>
          <w:p>
            <w:pPr>
              <w:jc w:val="left"/>
            </w:pPr>
            <w:r>
              <w:rPr>
                <w:rFonts w:ascii="Calibri" w:hAnsi="Calibri"/>
                <w:color w:val="282828"/>
                <w:sz w:val="19"/>
              </w:rPr>
              <w:t>**Yes (Decentralized Mesh)**</w:t>
            </w:r>
          </w:p>
        </w:tc>
      </w:tr>
      <w:tr>
        <w:tc>
          <w:tcPr>
            <w:tcW w:type="dxa" w:w="1800"/>
            <w:shd w:fill="F2F5F8"/>
            <w:tcMar>
              <w:top w:w="100" w:type="dxa"/>
              <w:bottom w:w="100" w:type="dxa"/>
              <w:left w:w="150" w:type="dxa"/>
              <w:right w:w="150" w:type="dxa"/>
            </w:tcMar>
          </w:tcPr>
          <w:p>
            <w:pPr>
              <w:jc w:val="left"/>
            </w:pPr>
            <w:r>
              <w:rPr>
                <w:rFonts w:ascii="Calibri" w:hAnsi="Calibri"/>
                <w:color w:val="282828"/>
                <w:sz w:val="19"/>
              </w:rPr>
              <w:t>**Elimination of SPOF**</w:t>
            </w:r>
          </w:p>
        </w:tc>
        <w:tc>
          <w:tcPr>
            <w:tcW w:type="dxa" w:w="1800"/>
            <w:shd w:fill="F2F5F8"/>
            <w:tcMar>
              <w:top w:w="100" w:type="dxa"/>
              <w:bottom w:w="100" w:type="dxa"/>
              <w:left w:w="150" w:type="dxa"/>
              <w:right w:w="150" w:type="dxa"/>
            </w:tcMar>
          </w:tcPr>
          <w:p>
            <w:pPr>
              <w:jc w:val="left"/>
            </w:pPr>
            <w:r>
              <w:rPr>
                <w:rFonts w:ascii="Calibri" w:hAnsi="Calibri"/>
                <w:color w:val="282828"/>
                <w:sz w:val="19"/>
              </w:rPr>
              <w:t>No (External HA required)</w:t>
            </w:r>
          </w:p>
        </w:tc>
        <w:tc>
          <w:tcPr>
            <w:tcW w:type="dxa" w:w="1800"/>
            <w:shd w:fill="F2F5F8"/>
            <w:tcMar>
              <w:top w:w="100" w:type="dxa"/>
              <w:bottom w:w="100" w:type="dxa"/>
              <w:left w:w="150" w:type="dxa"/>
              <w:right w:w="150" w:type="dxa"/>
            </w:tcMar>
          </w:tcPr>
          <w:p>
            <w:pPr>
              <w:jc w:val="left"/>
            </w:pPr>
            <w:r>
              <w:rPr>
                <w:rFonts w:ascii="Calibri" w:hAnsi="Calibri"/>
                <w:color w:val="282828"/>
                <w:sz w:val="19"/>
              </w:rPr>
              <w:t>No (SPOF on host)</w:t>
            </w:r>
          </w:p>
        </w:tc>
        <w:tc>
          <w:tcPr>
            <w:tcW w:type="dxa" w:w="1800"/>
            <w:shd w:fill="F2F5F8"/>
            <w:tcMar>
              <w:top w:w="100" w:type="dxa"/>
              <w:bottom w:w="100" w:type="dxa"/>
              <w:left w:w="150" w:type="dxa"/>
              <w:right w:w="150" w:type="dxa"/>
            </w:tcMar>
          </w:tcPr>
          <w:p>
            <w:pPr>
              <w:jc w:val="left"/>
            </w:pPr>
            <w:r>
              <w:rPr>
                <w:rFonts w:ascii="Calibri" w:hAnsi="Calibri"/>
                <w:color w:val="282828"/>
                <w:sz w:val="19"/>
              </w:rPr>
              <w:t>Yes (Cloud managed)</w:t>
            </w:r>
          </w:p>
        </w:tc>
        <w:tc>
          <w:tcPr>
            <w:tcW w:type="dxa" w:w="1800"/>
            <w:shd w:fill="F2F5F8"/>
            <w:tcMar>
              <w:top w:w="100" w:type="dxa"/>
              <w:bottom w:w="100" w:type="dxa"/>
              <w:left w:w="150" w:type="dxa"/>
              <w:right w:w="150" w:type="dxa"/>
            </w:tcMar>
          </w:tcPr>
          <w:p>
            <w:pPr>
              <w:jc w:val="left"/>
            </w:pPr>
            <w:r>
              <w:rPr>
                <w:rFonts w:ascii="Calibri" w:hAnsi="Calibri"/>
                <w:color w:val="282828"/>
                <w:sz w:val="19"/>
              </w:rPr>
              <w:t>**Yes (Gossip Failover)**</w:t>
            </w:r>
          </w:p>
        </w:tc>
      </w:tr>
      <w:tr>
        <w:tc>
          <w:tcPr>
            <w:tcW w:type="dxa" w:w="1800"/>
            <w:shd w:fill="FFFFFF"/>
            <w:tcMar>
              <w:top w:w="100" w:type="dxa"/>
              <w:bottom w:w="100" w:type="dxa"/>
              <w:left w:w="150" w:type="dxa"/>
              <w:right w:w="150" w:type="dxa"/>
            </w:tcMar>
          </w:tcPr>
          <w:p>
            <w:pPr>
              <w:jc w:val="left"/>
            </w:pPr>
            <w:r>
              <w:rPr>
                <w:rFonts w:ascii="Calibri" w:hAnsi="Calibri"/>
                <w:color w:val="282828"/>
                <w:sz w:val="19"/>
              </w:rPr>
              <w:t>**Resource Footprint**</w:t>
            </w:r>
          </w:p>
        </w:tc>
        <w:tc>
          <w:tcPr>
            <w:tcW w:type="dxa" w:w="1800"/>
            <w:shd w:fill="FFFFFF"/>
            <w:tcMar>
              <w:top w:w="100" w:type="dxa"/>
              <w:bottom w:w="100" w:type="dxa"/>
              <w:left w:w="150" w:type="dxa"/>
              <w:right w:w="150" w:type="dxa"/>
            </w:tcMar>
          </w:tcPr>
          <w:p>
            <w:pPr>
              <w:jc w:val="left"/>
            </w:pPr>
            <w:r>
              <w:rPr>
                <w:rFonts w:ascii="Calibri" w:hAnsi="Calibri"/>
                <w:color w:val="282828"/>
                <w:sz w:val="19"/>
              </w:rPr>
              <w:t>Moderate (Go/C)</w:t>
            </w:r>
          </w:p>
        </w:tc>
        <w:tc>
          <w:tcPr>
            <w:tcW w:type="dxa" w:w="1800"/>
            <w:shd w:fill="FFFFFF"/>
            <w:tcMar>
              <w:top w:w="100" w:type="dxa"/>
              <w:bottom w:w="100" w:type="dxa"/>
              <w:left w:w="150" w:type="dxa"/>
              <w:right w:w="150" w:type="dxa"/>
            </w:tcMar>
          </w:tcPr>
          <w:p>
            <w:pPr>
              <w:jc w:val="left"/>
            </w:pPr>
            <w:r>
              <w:rPr>
                <w:rFonts w:ascii="Calibri" w:hAnsi="Calibri"/>
                <w:color w:val="282828"/>
                <w:sz w:val="19"/>
              </w:rPr>
              <w:t>Moderate (Go/Docker)</w:t>
            </w:r>
          </w:p>
        </w:tc>
        <w:tc>
          <w:tcPr>
            <w:tcW w:type="dxa" w:w="1800"/>
            <w:shd w:fill="FFFFFF"/>
            <w:tcMar>
              <w:top w:w="100" w:type="dxa"/>
              <w:bottom w:w="100" w:type="dxa"/>
              <w:left w:w="150" w:type="dxa"/>
              <w:right w:w="150" w:type="dxa"/>
            </w:tcMar>
          </w:tcPr>
          <w:p>
            <w:pPr>
              <w:jc w:val="left"/>
            </w:pPr>
            <w:r>
              <w:rPr>
                <w:rFonts w:ascii="Calibri" w:hAnsi="Calibri"/>
                <w:color w:val="282828"/>
                <w:sz w:val="19"/>
              </w:rPr>
              <w:t>Heavy (External SaaS)</w:t>
            </w:r>
          </w:p>
        </w:tc>
        <w:tc>
          <w:tcPr>
            <w:tcW w:type="dxa" w:w="1800"/>
            <w:shd w:fill="FFFFFF"/>
            <w:tcMar>
              <w:top w:w="100" w:type="dxa"/>
              <w:bottom w:w="100" w:type="dxa"/>
              <w:left w:w="150" w:type="dxa"/>
              <w:right w:w="150" w:type="dxa"/>
            </w:tcMar>
          </w:tcPr>
          <w:p>
            <w:pPr>
              <w:jc w:val="left"/>
            </w:pPr>
            <w:r>
              <w:rPr>
                <w:rFonts w:ascii="Calibri" w:hAnsi="Calibri"/>
                <w:color w:val="282828"/>
                <w:sz w:val="19"/>
              </w:rPr>
              <w:t>**Ultra-Lightweight (Rust)**</w:t>
            </w:r>
          </w:p>
        </w:tc>
      </w:tr>
      <w:tr>
        <w:tc>
          <w:tcPr>
            <w:tcW w:type="dxa" w:w="1800"/>
            <w:shd w:fill="F2F5F8"/>
            <w:tcMar>
              <w:top w:w="100" w:type="dxa"/>
              <w:bottom w:w="100" w:type="dxa"/>
              <w:left w:w="150" w:type="dxa"/>
              <w:right w:w="150" w:type="dxa"/>
            </w:tcMar>
          </w:tcPr>
          <w:p>
            <w:pPr>
              <w:jc w:val="left"/>
            </w:pPr>
            <w:r>
              <w:rPr>
                <w:rFonts w:ascii="Calibri" w:hAnsi="Calibri"/>
                <w:color w:val="282828"/>
                <w:sz w:val="19"/>
              </w:rPr>
              <w:t>**Cross-Provider / Bare-Metal**</w:t>
            </w:r>
          </w:p>
        </w:tc>
        <w:tc>
          <w:tcPr>
            <w:tcW w:type="dxa" w:w="1800"/>
            <w:shd w:fill="F2F5F8"/>
            <w:tcMar>
              <w:top w:w="100" w:type="dxa"/>
              <w:bottom w:w="100" w:type="dxa"/>
              <w:left w:w="150" w:type="dxa"/>
              <w:right w:w="150" w:type="dxa"/>
            </w:tcMar>
          </w:tcPr>
          <w:p>
            <w:pPr>
              <w:jc w:val="left"/>
            </w:pPr>
            <w:r>
              <w:rPr>
                <w:rFonts w:ascii="Calibri" w:hAnsi="Calibri"/>
                <w:color w:val="282828"/>
                <w:sz w:val="19"/>
              </w:rPr>
              <w:t>Manual configuration</w:t>
            </w:r>
          </w:p>
        </w:tc>
        <w:tc>
          <w:tcPr>
            <w:tcW w:type="dxa" w:w="1800"/>
            <w:shd w:fill="F2F5F8"/>
            <w:tcMar>
              <w:top w:w="100" w:type="dxa"/>
              <w:bottom w:w="100" w:type="dxa"/>
              <w:left w:w="150" w:type="dxa"/>
              <w:right w:w="150" w:type="dxa"/>
            </w:tcMar>
          </w:tcPr>
          <w:p>
            <w:pPr>
              <w:jc w:val="left"/>
            </w:pPr>
            <w:r>
              <w:rPr>
                <w:rFonts w:ascii="Calibri" w:hAnsi="Calibri"/>
                <w:color w:val="282828"/>
                <w:sz w:val="19"/>
              </w:rPr>
              <w:t>No (Host isolated)</w:t>
            </w:r>
          </w:p>
        </w:tc>
        <w:tc>
          <w:tcPr>
            <w:tcW w:type="dxa" w:w="1800"/>
            <w:shd w:fill="F2F5F8"/>
            <w:tcMar>
              <w:top w:w="100" w:type="dxa"/>
              <w:bottom w:w="100" w:type="dxa"/>
              <w:left w:w="150" w:type="dxa"/>
              <w:right w:w="150" w:type="dxa"/>
            </w:tcMar>
          </w:tcPr>
          <w:p>
            <w:pPr>
              <w:jc w:val="left"/>
            </w:pPr>
            <w:r>
              <w:rPr>
                <w:rFonts w:ascii="Calibri" w:hAnsi="Calibri"/>
                <w:color w:val="282828"/>
                <w:sz w:val="19"/>
              </w:rPr>
              <w:t>Limited / Vendor lock</w:t>
            </w:r>
          </w:p>
        </w:tc>
        <w:tc>
          <w:tcPr>
            <w:tcW w:type="dxa" w:w="1800"/>
            <w:shd w:fill="F2F5F8"/>
            <w:tcMar>
              <w:top w:w="100" w:type="dxa"/>
              <w:bottom w:w="100" w:type="dxa"/>
              <w:left w:w="150" w:type="dxa"/>
              <w:right w:w="150" w:type="dxa"/>
            </w:tcMar>
          </w:tcPr>
          <w:p>
            <w:pPr>
              <w:jc w:val="left"/>
            </w:pPr>
            <w:r>
              <w:rPr>
                <w:rFonts w:ascii="Calibri" w:hAnsi="Calibri"/>
                <w:color w:val="282828"/>
                <w:sz w:val="19"/>
              </w:rPr>
              <w:t>**Native (WireGuard/TCP)**</w:t>
            </w:r>
          </w:p>
        </w:tc>
      </w:tr>
      <w:tr>
        <w:tc>
          <w:tcPr>
            <w:tcW w:type="dxa" w:w="1800"/>
            <w:shd w:fill="FFFFFF"/>
            <w:tcMar>
              <w:top w:w="100" w:type="dxa"/>
              <w:bottom w:w="100" w:type="dxa"/>
              <w:left w:w="150" w:type="dxa"/>
              <w:right w:w="150" w:type="dxa"/>
            </w:tcMar>
          </w:tcPr>
          <w:p>
            <w:pPr>
              <w:jc w:val="left"/>
            </w:pPr>
            <w:r>
              <w:rPr>
                <w:rFonts w:ascii="Calibri" w:hAnsi="Calibri"/>
                <w:color w:val="282828"/>
                <w:sz w:val="19"/>
              </w:rPr>
              <w:t>**Zero-TLS Termination (L4)**</w:t>
            </w:r>
          </w:p>
        </w:tc>
        <w:tc>
          <w:tcPr>
            <w:tcW w:type="dxa" w:w="1800"/>
            <w:shd w:fill="FFFFFF"/>
            <w:tcMar>
              <w:top w:w="100" w:type="dxa"/>
              <w:bottom w:w="100" w:type="dxa"/>
              <w:left w:w="150" w:type="dxa"/>
              <w:right w:w="150" w:type="dxa"/>
            </w:tcMar>
          </w:tcPr>
          <w:p>
            <w:pPr>
              <w:jc w:val="left"/>
            </w:pPr>
            <w:r>
              <w:rPr>
                <w:rFonts w:ascii="Calibri" w:hAnsi="Calibri"/>
                <w:color w:val="282828"/>
                <w:sz w:val="19"/>
              </w:rPr>
              <w:t>Complex TCP Stream</w:t>
            </w:r>
          </w:p>
        </w:tc>
        <w:tc>
          <w:tcPr>
            <w:tcW w:type="dxa" w:w="1800"/>
            <w:shd w:fill="FFFFFF"/>
            <w:tcMar>
              <w:top w:w="100" w:type="dxa"/>
              <w:bottom w:w="100" w:type="dxa"/>
              <w:left w:w="150" w:type="dxa"/>
              <w:right w:w="150" w:type="dxa"/>
            </w:tcMar>
          </w:tcPr>
          <w:p>
            <w:pPr>
              <w:jc w:val="left"/>
            </w:pPr>
            <w:r>
              <w:rPr>
                <w:rFonts w:ascii="Calibri" w:hAnsi="Calibri"/>
                <w:color w:val="282828"/>
                <w:sz w:val="19"/>
              </w:rPr>
              <w:t>Not Supported</w:t>
            </w:r>
          </w:p>
        </w:tc>
        <w:tc>
          <w:tcPr>
            <w:tcW w:type="dxa" w:w="1800"/>
            <w:shd w:fill="FFFFFF"/>
            <w:tcMar>
              <w:top w:w="100" w:type="dxa"/>
              <w:bottom w:w="100" w:type="dxa"/>
              <w:left w:w="150" w:type="dxa"/>
              <w:right w:w="150" w:type="dxa"/>
            </w:tcMar>
          </w:tcPr>
          <w:p>
            <w:pPr>
              <w:jc w:val="left"/>
            </w:pPr>
            <w:r>
              <w:rPr>
                <w:rFonts w:ascii="Calibri" w:hAnsi="Calibri"/>
                <w:color w:val="282828"/>
                <w:sz w:val="19"/>
              </w:rPr>
              <w:t>Expensive Add-on</w:t>
            </w:r>
          </w:p>
        </w:tc>
        <w:tc>
          <w:tcPr>
            <w:tcW w:type="dxa" w:w="1800"/>
            <w:shd w:fill="FFFFFF"/>
            <w:tcMar>
              <w:top w:w="100" w:type="dxa"/>
              <w:bottom w:w="100" w:type="dxa"/>
              <w:left w:w="150" w:type="dxa"/>
              <w:right w:w="150" w:type="dxa"/>
            </w:tcMar>
          </w:tcPr>
          <w:p>
            <w:pPr>
              <w:jc w:val="left"/>
            </w:pPr>
            <w:r>
              <w:rPr>
                <w:rFonts w:ascii="Calibri" w:hAnsi="Calibri"/>
                <w:color w:val="282828"/>
                <w:sz w:val="19"/>
              </w:rPr>
              <w:t>**Native (SNI Splicing)**</w:t>
            </w:r>
          </w:p>
        </w:tc>
      </w:tr>
      <w:tr>
        <w:tc>
          <w:tcPr>
            <w:tcW w:type="dxa" w:w="1800"/>
            <w:shd w:fill="F2F5F8"/>
            <w:tcMar>
              <w:top w:w="100" w:type="dxa"/>
              <w:bottom w:w="100" w:type="dxa"/>
              <w:left w:w="150" w:type="dxa"/>
              <w:right w:w="150" w:type="dxa"/>
            </w:tcMar>
          </w:tcPr>
          <w:p>
            <w:pPr>
              <w:jc w:val="left"/>
            </w:pPr>
            <w:r>
              <w:rPr>
                <w:rFonts w:ascii="Calibri" w:hAnsi="Calibri"/>
                <w:color w:val="282828"/>
                <w:sz w:val="19"/>
              </w:rPr>
              <w:t>**Hot-Path Memory Safety**</w:t>
            </w:r>
          </w:p>
        </w:tc>
        <w:tc>
          <w:tcPr>
            <w:tcW w:type="dxa" w:w="1800"/>
            <w:shd w:fill="F2F5F8"/>
            <w:tcMar>
              <w:top w:w="100" w:type="dxa"/>
              <w:bottom w:w="100" w:type="dxa"/>
              <w:left w:w="150" w:type="dxa"/>
              <w:right w:w="150" w:type="dxa"/>
            </w:tcMar>
          </w:tcPr>
          <w:p>
            <w:pPr>
              <w:jc w:val="left"/>
            </w:pPr>
            <w:r>
              <w:rPr>
                <w:rFonts w:ascii="Calibri" w:hAnsi="Calibri"/>
                <w:color w:val="282828"/>
                <w:sz w:val="19"/>
              </w:rPr>
              <w:t>Moderate (C memory risk)</w:t>
            </w:r>
          </w:p>
        </w:tc>
        <w:tc>
          <w:tcPr>
            <w:tcW w:type="dxa" w:w="1800"/>
            <w:shd w:fill="F2F5F8"/>
            <w:tcMar>
              <w:top w:w="100" w:type="dxa"/>
              <w:bottom w:w="100" w:type="dxa"/>
              <w:left w:w="150" w:type="dxa"/>
              <w:right w:w="150" w:type="dxa"/>
            </w:tcMar>
          </w:tcPr>
          <w:p>
            <w:pPr>
              <w:jc w:val="left"/>
            </w:pPr>
            <w:r>
              <w:rPr>
                <w:rFonts w:ascii="Calibri" w:hAnsi="Calibri"/>
                <w:color w:val="282828"/>
                <w:sz w:val="19"/>
              </w:rPr>
              <w:t>Moderate (Go GC pauses)</w:t>
            </w:r>
          </w:p>
        </w:tc>
        <w:tc>
          <w:tcPr>
            <w:tcW w:type="dxa" w:w="1800"/>
            <w:shd w:fill="F2F5F8"/>
            <w:tcMar>
              <w:top w:w="100" w:type="dxa"/>
              <w:bottom w:w="100" w:type="dxa"/>
              <w:left w:w="150" w:type="dxa"/>
              <w:right w:w="150" w:type="dxa"/>
            </w:tcMar>
          </w:tcPr>
          <w:p>
            <w:pPr>
              <w:jc w:val="left"/>
            </w:pPr>
            <w:r>
              <w:rPr>
                <w:rFonts w:ascii="Calibri" w:hAnsi="Calibri"/>
                <w:color w:val="282828"/>
                <w:sz w:val="19"/>
              </w:rPr>
              <w:t>Closed Source</w:t>
            </w:r>
          </w:p>
        </w:tc>
        <w:tc>
          <w:tcPr>
            <w:tcW w:type="dxa" w:w="1800"/>
            <w:shd w:fill="F2F5F8"/>
            <w:tcMar>
              <w:top w:w="100" w:type="dxa"/>
              <w:bottom w:w="100" w:type="dxa"/>
              <w:left w:w="150" w:type="dxa"/>
              <w:right w:w="150" w:type="dxa"/>
            </w:tcMar>
          </w:tcPr>
          <w:p>
            <w:pPr>
              <w:jc w:val="left"/>
            </w:pPr>
            <w:r>
              <w:rPr>
                <w:rFonts w:ascii="Calibri" w:hAnsi="Calibri"/>
                <w:color w:val="282828"/>
                <w:sz w:val="19"/>
              </w:rPr>
              <w:t>**Guaranteed (Rust / Zero-GC)**</w:t>
            </w:r>
          </w:p>
        </w:tc>
      </w:tr>
    </w:tbl>
    <w:p>
      <w:pPr>
        <w:spacing w:before="80" w:after="160"/>
      </w:pPr>
    </w:p>
    <w:p>
      <w:pPr>
        <w:spacing w:before="200" w:after="60"/>
      </w:pPr>
      <w:r>
        <w:rPr>
          <w:rFonts w:ascii="Calibri" w:hAnsi="Calibri"/>
          <w:b/>
          <w:color w:val="2D3748"/>
          <w:sz w:val="25"/>
        </w:rPr>
        <w:t>4.3 INTEGRATED DEVELOPMENT ENVIRONMENT (IDE) &amp; SYSTEMS TOOLING</w:t>
      </w:r>
    </w:p>
    <w:tbl>
      <w:tblPr>
        <w:tblW w:type="auto" w:w="0"/>
        <w:jc w:val="center"/>
        <w:tblLayout w:type="fixed"/>
        <w:tblLook w:firstColumn="1" w:firstRow="1" w:lastColumn="0" w:lastRow="0" w:noHBand="0" w:noVBand="1" w:val="04A0"/>
      </w:tblPr>
      <w:tblGrid>
        <w:gridCol w:w="8928"/>
      </w:tblGrid>
      <w:tr>
        <w:tc>
          <w:tcPr>
            <w:tcW w:type="dxa" w:w="9000"/>
            <w:shd w:fill="F4F5F7"/>
            <w:tcMar>
              <w:top w:w="140" w:type="dxa"/>
              <w:bottom w:w="140" w:type="dxa"/>
              <w:left w:w="200" w:type="dxa"/>
              <w:right w:w="200" w:type="dxa"/>
            </w:tcMar>
            <w:tcBorders>
              <w:top w:val="single" w:sz="4" w:space="0" w:color="D0D5DD"/>
              <w:bottom w:val="single" w:sz="4" w:space="0" w:color="D0D5DD"/>
              <w:left w:val="single" w:sz="18" w:space="0" w:color="1F4E79"/>
              <w:right w:val="single" w:sz="4" w:space="0" w:color="D0D5DD"/>
            </w:tcBorders>
          </w:tcPr>
          <w:p>
            <w:pPr>
              <w:spacing w:before="0" w:after="20" w:line="252" w:lineRule="auto"/>
            </w:pPr>
            <w:r/>
            <w:r>
              <w:rPr>
                <w:rFonts w:ascii="Consolas" w:hAnsi="Consolas"/>
                <w:color w:val="1E293B"/>
                <w:sz w:val="17"/>
              </w:rPr>
              <w:t>┌─────────────────────────────────────────────────────────────────────────────┐</w:t>
            </w:r>
          </w:p>
          <w:p>
            <w:pPr>
              <w:spacing w:before="0" w:after="20" w:line="252" w:lineRule="auto"/>
            </w:pPr>
            <w:r>
              <w:rPr>
                <w:rFonts w:ascii="Consolas" w:hAnsi="Consolas"/>
                <w:color w:val="1E293B"/>
                <w:sz w:val="17"/>
              </w:rPr>
              <w:t>│                      BRIDGE SYSTEMS ENGINEERING STACK                       │</w:t>
            </w:r>
          </w:p>
          <w:p>
            <w:pPr>
              <w:spacing w:before="0" w:after="20" w:line="252" w:lineRule="auto"/>
            </w:pPr>
            <w:r>
              <w:rPr>
                <w:rFonts w:ascii="Consolas" w:hAnsi="Consolas"/>
                <w:color w:val="1E293B"/>
                <w:sz w:val="17"/>
              </w:rPr>
              <w:t>├─────────────────────────────────────────────────────────────────────────────┤</w:t>
            </w:r>
          </w:p>
          <w:p>
            <w:pPr>
              <w:spacing w:before="0" w:after="20" w:line="252" w:lineRule="auto"/>
            </w:pPr>
            <w:r>
              <w:rPr>
                <w:rFonts w:ascii="Consolas" w:hAnsi="Consolas"/>
                <w:color w:val="1E293B"/>
                <w:sz w:val="17"/>
              </w:rPr>
              <w:t>│ • Systems Language:       Rust 2024 Edition (Memory Safe, Zero GC)          │</w:t>
            </w:r>
          </w:p>
          <w:p>
            <w:pPr>
              <w:spacing w:before="0" w:after="20" w:line="252" w:lineRule="auto"/>
            </w:pPr>
            <w:r>
              <w:rPr>
                <w:rFonts w:ascii="Consolas" w:hAnsi="Consolas"/>
                <w:color w:val="1E293B"/>
                <w:sz w:val="17"/>
              </w:rPr>
              <w:t>│ • Async Runtime:          Tokio 1.53 (Work-Stealing Multi-Threaded Engine)  │</w:t>
            </w:r>
          </w:p>
          <w:p>
            <w:pPr>
              <w:spacing w:before="0" w:after="20" w:line="252" w:lineRule="auto"/>
            </w:pPr>
            <w:r>
              <w:rPr>
                <w:rFonts w:ascii="Consolas" w:hAnsi="Consolas"/>
                <w:color w:val="1E293B"/>
                <w:sz w:val="17"/>
              </w:rPr>
              <w:t>│ • Cryptography &amp; TLS:     Rustls 0.23, Webpki, instant-acme (RFC 8555)      │</w:t>
            </w:r>
          </w:p>
          <w:p>
            <w:pPr>
              <w:spacing w:before="0" w:after="20" w:line="252" w:lineRule="auto"/>
            </w:pPr>
            <w:r>
              <w:rPr>
                <w:rFonts w:ascii="Consolas" w:hAnsi="Consolas"/>
                <w:color w:val="1E293B"/>
                <w:sz w:val="17"/>
              </w:rPr>
              <w:t>│ • Networking Primitives:  Tokio Net (TcpListener, TcpStream, UdpSocket)     │</w:t>
            </w:r>
          </w:p>
          <w:p>
            <w:pPr>
              <w:spacing w:before="0" w:after="20" w:line="252" w:lineRule="auto"/>
            </w:pPr>
            <w:r>
              <w:rPr>
                <w:rFonts w:ascii="Consolas" w:hAnsi="Consolas"/>
                <w:color w:val="1E293B"/>
                <w:sz w:val="17"/>
              </w:rPr>
              <w:t>│ • Transport Overlay:      WireGuard Kernel Mesh (ChaCha20-Poly1305)         │</w:t>
            </w:r>
          </w:p>
          <w:p>
            <w:pPr>
              <w:spacing w:before="0" w:after="20" w:line="252" w:lineRule="auto"/>
            </w:pPr>
            <w:r>
              <w:rPr>
                <w:rFonts w:ascii="Consolas" w:hAnsi="Consolas"/>
                <w:color w:val="1E293B"/>
                <w:sz w:val="17"/>
              </w:rPr>
              <w:t>│ • Data Serialization:     Serde, TOML, Serde JSON                           │</w:t>
            </w:r>
          </w:p>
          <w:p>
            <w:pPr>
              <w:spacing w:before="0" w:after="20" w:line="252" w:lineRule="auto"/>
            </w:pPr>
            <w:r>
              <w:rPr>
                <w:rFonts w:ascii="Consolas" w:hAnsi="Consolas"/>
                <w:color w:val="1E293B"/>
                <w:sz w:val="17"/>
              </w:rPr>
              <w:t>│ • Instrumentation:        Tracing, Tracing-Subscriber, Sentry SDK           │</w:t>
            </w:r>
          </w:p>
          <w:p>
            <w:pPr>
              <w:spacing w:before="0" w:after="20" w:line="252" w:lineRule="auto"/>
            </w:pPr>
            <w:r>
              <w:rPr>
                <w:rFonts w:ascii="Consolas" w:hAnsi="Consolas"/>
                <w:color w:val="1E293B"/>
                <w:sz w:val="17"/>
              </w:rPr>
              <w:t>│ • Build &amp; Test Suite:     Cargo Workspace, Linux Namespaces, Wireshark      │</w:t>
            </w:r>
          </w:p>
          <w:p>
            <w:pPr>
              <w:spacing w:before="0" w:after="20" w:line="252" w:lineRule="auto"/>
            </w:pPr>
            <w:r>
              <w:rPr>
                <w:rFonts w:ascii="Consolas" w:hAnsi="Consolas"/>
                <w:color w:val="1E293B"/>
                <w:sz w:val="17"/>
              </w:rPr>
              <w:t>└─────────────────────────────────────────────────────────────────────────────┘</w:t>
            </w:r>
          </w:p>
        </w:tc>
      </w:tr>
    </w:tbl>
    <w:p>
      <w:pPr>
        <w:spacing w:after="120"/>
      </w:pPr>
    </w:p>
    <w:p>
      <w:pPr>
        <w:spacing w:before="160" w:after="40"/>
      </w:pPr>
      <w:r>
        <w:rPr>
          <w:rFonts w:ascii="Calibri" w:hAnsi="Calibri"/>
          <w:b/>
          <w:color w:val="475569"/>
          <w:sz w:val="23"/>
        </w:rPr>
        <w:t>4.3.1 Systems Programming with Rust</w:t>
      </w:r>
    </w:p>
    <w:p>
      <w:pPr>
        <w:spacing w:before="40" w:after="100" w:line="283" w:lineRule="auto"/>
      </w:pPr>
      <w:r>
        <w:rPr>
          <w:rFonts w:ascii="Calibri" w:hAnsi="Calibri"/>
          <w:color w:val="282828"/>
          <w:sz w:val="22"/>
        </w:rPr>
        <w:t xml:space="preserve">Bridge is developed natively in </w:t>
      </w:r>
      <w:r>
        <w:rPr>
          <w:rFonts w:ascii="Calibri" w:hAnsi="Calibri"/>
          <w:b/>
          <w:color w:val="282828"/>
          <w:sz w:val="22"/>
        </w:rPr>
        <w:t>Rust</w:t>
      </w:r>
      <w:r>
        <w:rPr>
          <w:rFonts w:ascii="Calibri" w:hAnsi="Calibri"/>
          <w:color w:val="282828"/>
          <w:sz w:val="22"/>
        </w:rPr>
        <w:t xml:space="preserve"> (2024 Edition). Rust was selected over C, C++, and Go due to fundamental systems engineering requirements:</w:t>
      </w:r>
    </w:p>
    <w:p>
      <w:pPr>
        <w:pStyle w:val="ListBullet"/>
        <w:spacing w:before="20" w:after="40" w:line="276" w:lineRule="auto"/>
      </w:pPr>
      <w:r>
        <w:rPr>
          <w:rFonts w:ascii="Calibri" w:hAnsi="Calibri"/>
          <w:color w:val="333333"/>
          <w:sz w:val="22"/>
        </w:rPr>
      </w:r>
      <w:r>
        <w:rPr>
          <w:rFonts w:ascii="Calibri" w:hAnsi="Calibri"/>
          <w:b/>
          <w:color w:val="333333"/>
          <w:sz w:val="22"/>
        </w:rPr>
        <w:t>Guaranteed Memory Safety Without Garbage Collection:</w:t>
      </w:r>
      <w:r>
        <w:rPr>
          <w:rFonts w:ascii="Calibri" w:hAnsi="Calibri"/>
          <w:color w:val="333333"/>
          <w:sz w:val="22"/>
        </w:rPr>
        <w:t xml:space="preserve"> Network proxies process high-frequency untrusted packet streams. In languages like C/C++, buffer overflows, use-after-free, and double-free vulnerabilities represent severe security exploits. Conversely, garbage-collected languages (Go, Java) introduce non-deterministic GC pause times (stop-the-world phases) that cause unpredictable latency spikes at the 99th percentile (p99). Rust’s compile-time ownership and borrow checker enforce absolute memory safety with deterministic, zero-cost resource destruction.</w:t>
      </w:r>
    </w:p>
    <w:p>
      <w:pPr>
        <w:pStyle w:val="ListBullet"/>
        <w:spacing w:before="20" w:after="40" w:line="276" w:lineRule="auto"/>
      </w:pPr>
      <w:r>
        <w:rPr>
          <w:rFonts w:ascii="Calibri" w:hAnsi="Calibri"/>
          <w:color w:val="333333"/>
          <w:sz w:val="22"/>
        </w:rPr>
      </w:r>
      <w:r>
        <w:rPr>
          <w:rFonts w:ascii="Calibri" w:hAnsi="Calibri"/>
          <w:b/>
          <w:color w:val="333333"/>
          <w:sz w:val="22"/>
        </w:rPr>
        <w:t>Fearless Concurrency:</w:t>
      </w:r>
      <w:r>
        <w:rPr>
          <w:rFonts w:ascii="Calibri" w:hAnsi="Calibri"/>
          <w:color w:val="333333"/>
          <w:sz w:val="22"/>
        </w:rPr>
        <w:t xml:space="preserve"> Bridge utilizes multi-threaded asynchronous tasks. Rust’s `Send` and `Sync` type traits guarantee at compile time that data races cannot occur across thread boundaries.</w:t>
      </w:r>
    </w:p>
    <w:p>
      <w:pPr>
        <w:spacing w:before="160" w:after="40"/>
      </w:pPr>
      <w:r>
        <w:rPr>
          <w:rFonts w:ascii="Calibri" w:hAnsi="Calibri"/>
          <w:b/>
          <w:color w:val="475569"/>
          <w:sz w:val="23"/>
        </w:rPr>
        <w:t>4.3.2 Tokio Asynchronous Event-Driven Runtime</w:t>
      </w:r>
    </w:p>
    <w:p>
      <w:pPr>
        <w:spacing w:before="40" w:after="100" w:line="283" w:lineRule="auto"/>
      </w:pPr>
      <w:r>
        <w:rPr>
          <w:rFonts w:ascii="Calibri" w:hAnsi="Calibri"/>
          <w:color w:val="282828"/>
          <w:sz w:val="22"/>
        </w:rPr>
        <w:t xml:space="preserve">The network engine is powered by </w:t>
      </w:r>
      <w:r>
        <w:rPr>
          <w:rFonts w:ascii="Calibri" w:hAnsi="Calibri"/>
          <w:b/>
          <w:color w:val="282828"/>
          <w:sz w:val="22"/>
        </w:rPr>
        <w:t>Tokio</w:t>
      </w:r>
      <w:r>
        <w:rPr>
          <w:rFonts w:ascii="Calibri" w:hAnsi="Calibri"/>
          <w:color w:val="282828"/>
          <w:sz w:val="22"/>
        </w:rPr>
        <w:t>, the premier asynchronous runtime for Rust:</w:t>
      </w:r>
    </w:p>
    <w:p>
      <w:pPr>
        <w:pStyle w:val="ListBullet"/>
        <w:spacing w:before="20" w:after="40" w:line="276" w:lineRule="auto"/>
      </w:pPr>
      <w:r>
        <w:rPr>
          <w:rFonts w:ascii="Calibri" w:hAnsi="Calibri"/>
          <w:color w:val="333333"/>
          <w:sz w:val="22"/>
        </w:rPr>
      </w:r>
      <w:r>
        <w:rPr>
          <w:rFonts w:ascii="Calibri" w:hAnsi="Calibri"/>
          <w:b/>
          <w:color w:val="333333"/>
          <w:sz w:val="22"/>
        </w:rPr>
        <w:t>Multi-Threaded Work-Stealing Scheduler:</w:t>
      </w:r>
      <w:r>
        <w:rPr>
          <w:rFonts w:ascii="Calibri" w:hAnsi="Calibri"/>
          <w:color w:val="333333"/>
          <w:sz w:val="22"/>
        </w:rPr>
        <w:t xml:space="preserve"> Tokio schedules thousands of concurrent network tasks across a thread pool sized to the host’s physical CPU cores. If a worker thread exhausts its task queue, it steals pending tasks from sibling worker threads, maximizing multi-core throughput.</w:t>
      </w:r>
    </w:p>
    <w:p>
      <w:pPr>
        <w:pStyle w:val="ListBullet"/>
        <w:spacing w:before="20" w:after="40" w:line="276" w:lineRule="auto"/>
      </w:pPr>
      <w:r>
        <w:rPr>
          <w:rFonts w:ascii="Calibri" w:hAnsi="Calibri"/>
          <w:color w:val="333333"/>
          <w:sz w:val="22"/>
        </w:rPr>
      </w:r>
      <w:r>
        <w:rPr>
          <w:rFonts w:ascii="Calibri" w:hAnsi="Calibri"/>
          <w:b/>
          <w:color w:val="333333"/>
          <w:sz w:val="22"/>
        </w:rPr>
        <w:t>Non-Blocking epoll Primitives:</w:t>
      </w:r>
      <w:r>
        <w:rPr>
          <w:rFonts w:ascii="Calibri" w:hAnsi="Calibri"/>
          <w:color w:val="333333"/>
          <w:sz w:val="22"/>
        </w:rPr>
        <w:t xml:space="preserve"> Bridge leverages Linux `epoll` via Tokio’s asynchronous I/O primitives (`TcpListener`, `TcpStream`, `UdpSocket`). Worker threads never block on socket read/write operations; when a socket is not ready, the operating system parks the task and wakes it immediately when kernel network buffers receive data.</w:t>
      </w:r>
    </w:p>
    <w:p>
      <w:pPr>
        <w:spacing w:before="160" w:after="40"/>
      </w:pPr>
      <w:r>
        <w:rPr>
          <w:rFonts w:ascii="Calibri" w:hAnsi="Calibri"/>
          <w:b/>
          <w:color w:val="475569"/>
          <w:sz w:val="23"/>
        </w:rPr>
        <w:t>4.3.3 Development Toolchain: Cargo, Linux Namespaces, Wireshark, VS Code</w:t>
      </w:r>
    </w:p>
    <w:p>
      <w:pPr>
        <w:pStyle w:val="ListBullet"/>
        <w:spacing w:before="20" w:after="40" w:line="276" w:lineRule="auto"/>
      </w:pPr>
      <w:r>
        <w:rPr>
          <w:rFonts w:ascii="Calibri" w:hAnsi="Calibri"/>
          <w:color w:val="333333"/>
          <w:sz w:val="22"/>
        </w:rPr>
      </w:r>
      <w:r>
        <w:rPr>
          <w:rFonts w:ascii="Calibri" w:hAnsi="Calibri"/>
          <w:b/>
          <w:color w:val="333333"/>
          <w:sz w:val="22"/>
        </w:rPr>
        <w:t>Cargo Workspace:</w:t>
      </w:r>
      <w:r>
        <w:rPr>
          <w:rFonts w:ascii="Calibri" w:hAnsi="Calibri"/>
          <w:color w:val="333333"/>
          <w:sz w:val="22"/>
        </w:rPr>
        <w:t xml:space="preserve"> The codebase is partitioned into modular, highly decoupled crates:</w:t>
      </w:r>
    </w:p>
    <w:p>
      <w:pPr>
        <w:pStyle w:val="ListBullet"/>
        <w:spacing w:before="20" w:after="40" w:line="276" w:lineRule="auto"/>
      </w:pPr>
      <w:r>
        <w:rPr>
          <w:rFonts w:ascii="Calibri" w:hAnsi="Calibri"/>
          <w:color w:val="333333"/>
          <w:sz w:val="22"/>
        </w:rPr>
        <w:t>`bridge`: The root orchestrator, CLI parser (`clap`), and configuration daemon.</w:t>
      </w:r>
    </w:p>
    <w:p>
      <w:pPr>
        <w:pStyle w:val="ListBullet"/>
        <w:spacing w:before="20" w:after="40" w:line="276" w:lineRule="auto"/>
      </w:pPr>
      <w:r>
        <w:rPr>
          <w:rFonts w:ascii="Calibri" w:hAnsi="Calibri"/>
          <w:color w:val="333333"/>
          <w:sz w:val="22"/>
        </w:rPr>
        <w:t>`proxy`: The core networking engine implementing Layer-4 stream splicing, TLS SNI sniffing, Layer-7 reverse proxying, and graceful shutdown handlers.</w:t>
      </w:r>
    </w:p>
    <w:p>
      <w:pPr>
        <w:pStyle w:val="ListBullet"/>
        <w:spacing w:before="20" w:after="40" w:line="276" w:lineRule="auto"/>
      </w:pPr>
      <w:r>
        <w:rPr>
          <w:rFonts w:ascii="Calibri" w:hAnsi="Calibri"/>
          <w:color w:val="333333"/>
          <w:sz w:val="22"/>
        </w:rPr>
        <w:t>`registry`: High-concurrency, lock-free domain-to-node routing tables.</w:t>
      </w:r>
    </w:p>
    <w:p>
      <w:pPr>
        <w:pStyle w:val="ListBullet"/>
        <w:spacing w:before="20" w:after="40" w:line="276" w:lineRule="auto"/>
      </w:pPr>
      <w:r>
        <w:rPr>
          <w:rFonts w:ascii="Calibri" w:hAnsi="Calibri"/>
          <w:color w:val="333333"/>
          <w:sz w:val="22"/>
        </w:rPr>
      </w:r>
      <w:r>
        <w:rPr>
          <w:rFonts w:ascii="Calibri" w:hAnsi="Calibri"/>
          <w:b/>
          <w:color w:val="333333"/>
          <w:sz w:val="22"/>
        </w:rPr>
        <w:t>Linux Network Namespaces &amp; Virtual Ethernet Pairs (veth):</w:t>
      </w:r>
      <w:r>
        <w:rPr>
          <w:rFonts w:ascii="Calibri" w:hAnsi="Calibri"/>
          <w:color w:val="333333"/>
          <w:sz w:val="22"/>
        </w:rPr>
        <w:t xml:space="preserve"> To rigorously test multi-VM routing locally without provisioning multiple physical servers, isolated Linux network namespaces (`ip netns`) interconnected by virtual Ethernet bridges were configured, replicating multi-node datacenter topologies.</w:t>
      </w:r>
    </w:p>
    <w:p>
      <w:pPr>
        <w:pStyle w:val="ListBullet"/>
        <w:spacing w:before="20" w:after="40" w:line="276" w:lineRule="auto"/>
      </w:pPr>
      <w:r>
        <w:rPr>
          <w:rFonts w:ascii="Calibri" w:hAnsi="Calibri"/>
          <w:color w:val="333333"/>
          <w:sz w:val="22"/>
        </w:rPr>
      </w:r>
      <w:r>
        <w:rPr>
          <w:rFonts w:ascii="Calibri" w:hAnsi="Calibri"/>
          <w:b/>
          <w:color w:val="333333"/>
          <w:sz w:val="22"/>
        </w:rPr>
        <w:t>Wireshark &amp; Packet Dissectors:</w:t>
      </w:r>
      <w:r>
        <w:rPr>
          <w:rFonts w:ascii="Calibri" w:hAnsi="Calibri"/>
          <w:color w:val="333333"/>
          <w:sz w:val="22"/>
        </w:rPr>
        <w:t xml:space="preserve"> Used to inspect raw TCP handshakes, TLS ClientHello byte offsets, and UDP gossip datagram structures, ensuring absolute byte-level protocol compliance.</w:t>
      </w:r>
    </w:p>
    <w:p>
      <w:pPr>
        <w:spacing w:before="200" w:after="60"/>
      </w:pPr>
      <w:r>
        <w:rPr>
          <w:rFonts w:ascii="Calibri" w:hAnsi="Calibri"/>
          <w:b/>
          <w:color w:val="2D3748"/>
          <w:sz w:val="25"/>
        </w:rPr>
        <w:t>4.4 METHODOLOGY &amp; ARCHITECTURAL DESIGN</w:t>
      </w:r>
    </w:p>
    <w:tbl>
      <w:tblPr>
        <w:tblW w:type="auto" w:w="0"/>
        <w:jc w:val="center"/>
        <w:tblLayout w:type="fixed"/>
        <w:tblLook w:firstColumn="1" w:firstRow="1" w:lastColumn="0" w:lastRow="0" w:noHBand="0" w:noVBand="1" w:val="04A0"/>
      </w:tblPr>
      <w:tblGrid>
        <w:gridCol w:w="8928"/>
      </w:tblGrid>
      <w:tr>
        <w:tc>
          <w:tcPr>
            <w:tcW w:type="dxa" w:w="9000"/>
            <w:shd w:fill="F4F5F7"/>
            <w:tcMar>
              <w:top w:w="140" w:type="dxa"/>
              <w:bottom w:w="140" w:type="dxa"/>
              <w:left w:w="200" w:type="dxa"/>
              <w:right w:w="200" w:type="dxa"/>
            </w:tcMar>
            <w:tcBorders>
              <w:top w:val="single" w:sz="4" w:space="0" w:color="D0D5DD"/>
              <w:bottom w:val="single" w:sz="4" w:space="0" w:color="D0D5DD"/>
              <w:left w:val="single" w:sz="18" w:space="0" w:color="1F4E79"/>
              <w:right w:val="single" w:sz="4" w:space="0" w:color="D0D5DD"/>
            </w:tcBorders>
          </w:tcPr>
          <w:p>
            <w:pPr>
              <w:spacing w:before="0" w:after="20" w:line="252" w:lineRule="auto"/>
            </w:pPr>
            <w:r/>
            <w:r>
              <w:rPr>
                <w:rFonts w:ascii="Consolas" w:hAnsi="Consolas"/>
                <w:color w:val="1E293B"/>
                <w:sz w:val="17"/>
              </w:rPr>
              <w:t xml:space="preserve">                                  ┌───────────────────┐</w:t>
            </w:r>
          </w:p>
          <w:p>
            <w:pPr>
              <w:spacing w:before="0" w:after="20" w:line="252" w:lineRule="auto"/>
            </w:pPr>
            <w:r>
              <w:rPr>
                <w:rFonts w:ascii="Consolas" w:hAnsi="Consolas"/>
                <w:color w:val="1E293B"/>
                <w:sz w:val="17"/>
              </w:rPr>
              <w:t xml:space="preserve">                                  │   CLIENT BROWSER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TLS Handshake (Port 443)</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BRIDGE DISTRIBUTED INGRESS     │</w:t>
            </w:r>
          </w:p>
          <w:p>
            <w:pPr>
              <w:spacing w:before="0" w:after="20" w:line="252" w:lineRule="auto"/>
            </w:pPr>
            <w:r>
              <w:rPr>
                <w:rFonts w:ascii="Consolas" w:hAnsi="Consolas"/>
                <w:color w:val="1E293B"/>
                <w:sz w:val="17"/>
              </w:rPr>
              <w:t xml:space="preserve">                          │   (Leader / Routing Mesh Node)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Mode Selection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MODE 2: HANDOFF MODE (L4 SNI ROUTER)     │   │   MODE 1: DIRECT MODE (L7 REVERSE PROXY)│</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1. Peek TLS ClientHello (Non-terminating)     │   │ 1. Terminate TLS via Rustls             │</w:t>
            </w:r>
          </w:p>
          <w:p>
            <w:pPr>
              <w:spacing w:before="0" w:after="20" w:line="252" w:lineRule="auto"/>
            </w:pPr>
            <w:r>
              <w:rPr>
                <w:rFonts w:ascii="Consolas" w:hAnsi="Consolas"/>
                <w:color w:val="1E293B"/>
                <w:sz w:val="17"/>
              </w:rPr>
              <w:t xml:space="preserve">                 │ 2. Extract SNI ('app.domain.com')             │   │ 2. Automated ACME Certs (RFC 8555)      │</w:t>
            </w:r>
          </w:p>
          <w:p>
            <w:pPr>
              <w:spacing w:before="0" w:after="20" w:line="252" w:lineRule="auto"/>
            </w:pPr>
            <w:r>
              <w:rPr>
                <w:rFonts w:ascii="Consolas" w:hAnsi="Consolas"/>
                <w:color w:val="1E293B"/>
                <w:sz w:val="17"/>
              </w:rPr>
              <w:t xml:space="preserve">                 │ 3. Lock-free Registry Lookup                  │   │ 3. Parse HTTP/1.1 &amp; HTTP/2 requests     │</w:t>
            </w:r>
          </w:p>
          <w:p>
            <w:pPr>
              <w:spacing w:before="0" w:after="20" w:line="252" w:lineRule="auto"/>
            </w:pPr>
            <w:r>
              <w:rPr>
                <w:rFonts w:ascii="Consolas" w:hAnsi="Consolas"/>
                <w:color w:val="1E293B"/>
                <w:sz w:val="17"/>
              </w:rPr>
              <w:t xml:space="preserve">                 │ 4. Zero-Copy TCP Stream Splicing              │   │ 4. Forward to container backend port    │</w:t>
            </w:r>
          </w:p>
          <w:p>
            <w:pPr>
              <w:spacing w:before="0" w:after="20" w:line="252" w:lineRule="auto"/>
            </w:pPr>
            <w:r>
              <w:rPr>
                <w:rFonts w:ascii="Consolas" w:hAnsi="Consolas"/>
                <w:color w:val="1E293B"/>
                <w:sz w:val="17"/>
              </w:rPr>
              <w:t xml:space="preserve">                 │    (tokio::io::copy_bidirectional)            │   │ 5. Optional TLS re-encryption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Encrypted WireGuard Overlay Mesh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DESTINATION VIRTUAL MACHINE (VM-03)      │   │   DESTINATION VIRTUAL MACHINE (VM-01)   │</w:t>
            </w:r>
          </w:p>
          <w:p>
            <w:pPr>
              <w:spacing w:before="0" w:after="20" w:line="252" w:lineRule="auto"/>
            </w:pPr>
            <w:r>
              <w:rPr>
                <w:rFonts w:ascii="Consolas" w:hAnsi="Consolas"/>
                <w:color w:val="1E293B"/>
                <w:sz w:val="17"/>
              </w:rPr>
              <w:t xml:space="preserve">                 │   Local Coolify / Traefik / Caddy Proxy       │   │   Direct Container Service (Port 3000)  │</w:t>
            </w:r>
          </w:p>
          <w:p>
            <w:pPr>
              <w:spacing w:before="0" w:after="20" w:line="252" w:lineRule="auto"/>
            </w:pPr>
            <w:r>
              <w:rPr>
                <w:rFonts w:ascii="Consolas" w:hAnsi="Consolas"/>
                <w:color w:val="1E293B"/>
                <w:sz w:val="17"/>
              </w:rPr>
              <w:t xml:space="preserve">                 │   Terminates TLS with Local Certificates      │   │   Isolated System Service               │</w:t>
            </w:r>
          </w:p>
          <w:p>
            <w:pPr>
              <w:spacing w:before="0" w:after="20" w:line="252" w:lineRule="auto"/>
            </w:pPr>
            <w:r>
              <w:rPr>
                <w:rFonts w:ascii="Consolas" w:hAnsi="Consolas"/>
                <w:color w:val="1E293B"/>
                <w:sz w:val="17"/>
              </w:rPr>
              <w:t xml:space="preserve">                 └───────────────────────────────────────────────┘   └─────────────────────────────────────────┘</w:t>
            </w:r>
          </w:p>
        </w:tc>
      </w:tr>
    </w:tbl>
    <w:p>
      <w:pPr>
        <w:spacing w:after="120"/>
      </w:pPr>
    </w:p>
    <w:p>
      <w:pPr>
        <w:spacing w:before="40" w:after="100" w:line="283" w:lineRule="auto"/>
      </w:pPr>
      <w:r>
        <w:rPr>
          <w:rFonts w:ascii="Calibri" w:hAnsi="Calibri"/>
          <w:color w:val="282828"/>
          <w:sz w:val="22"/>
        </w:rPr>
        <w:t>Bridge provides three distinct, mathematically rigorous operational modes tailored to diverse infrastructure topologies:</w:t>
      </w:r>
    </w:p>
    <w:p>
      <w:pPr>
        <w:spacing w:before="160" w:after="40"/>
      </w:pPr>
      <w:r>
        <w:rPr>
          <w:rFonts w:ascii="Calibri" w:hAnsi="Calibri"/>
          <w:b/>
          <w:color w:val="475569"/>
          <w:sz w:val="23"/>
        </w:rPr>
        <w:t>4.4.1 High-Level Distributed Ingress Routing Mesh Architecture</w:t>
      </w:r>
    </w:p>
    <w:p>
      <w:pPr>
        <w:spacing w:before="40" w:after="100" w:line="283" w:lineRule="auto"/>
      </w:pPr>
      <w:r>
        <w:rPr>
          <w:rFonts w:ascii="Calibri" w:hAnsi="Calibri"/>
          <w:color w:val="282828"/>
          <w:sz w:val="22"/>
        </w:rPr>
        <w:t xml:space="preserve">The core philosophy of Bridge is to separate the </w:t>
      </w:r>
      <w:r>
        <w:rPr>
          <w:rFonts w:ascii="Calibri" w:hAnsi="Calibri"/>
          <w:b/>
          <w:color w:val="282828"/>
          <w:sz w:val="22"/>
        </w:rPr>
        <w:t>data plane</w:t>
      </w:r>
      <w:r>
        <w:rPr>
          <w:rFonts w:ascii="Calibri" w:hAnsi="Calibri"/>
          <w:color w:val="282828"/>
          <w:sz w:val="22"/>
        </w:rPr>
        <w:t xml:space="preserve"> (the hot path traversed by client packets) from the </w:t>
      </w:r>
      <w:r>
        <w:rPr>
          <w:rFonts w:ascii="Calibri" w:hAnsi="Calibri"/>
          <w:b/>
          <w:color w:val="282828"/>
          <w:sz w:val="22"/>
        </w:rPr>
        <w:t>control plane</w:t>
      </w:r>
      <w:r>
        <w:rPr>
          <w:rFonts w:ascii="Calibri" w:hAnsi="Calibri"/>
          <w:color w:val="282828"/>
          <w:sz w:val="22"/>
        </w:rPr>
        <w:t xml:space="preserve"> (the background gossip and configuration management). Bridge nodes form a fully connected or mesh overlay connected across encrypted WireGuard tunnels (</w:t>
      </w:r>
      <w:r>
        <w:rPr>
          <w:rFonts w:ascii="Calibri" w:hAnsi="Calibri"/>
          <w:color w:val="282828"/>
          <w:sz w:val="22"/>
        </w:rPr>
        <w:t>10.8.0.0/24</w:t>
      </w:r>
      <w:r>
        <w:rPr>
          <w:rFonts w:ascii="Calibri" w:hAnsi="Calibri"/>
          <w:color w:val="282828"/>
          <w:sz w:val="22"/>
        </w:rPr>
        <w:t>). Each node continuously maintains an in-memory routing table mapping domain names to specific backend nodes.</w:t>
      </w:r>
    </w:p>
    <w:p>
      <w:pPr>
        <w:spacing w:before="160" w:after="40"/>
      </w:pPr>
      <w:r>
        <w:rPr>
          <w:rFonts w:ascii="Calibri" w:hAnsi="Calibri"/>
          <w:b/>
          <w:color w:val="475569"/>
          <w:sz w:val="23"/>
        </w:rPr>
        <w:t>4.4.2 Mode 1: Direct Mode (L7 Reverse Proxy with Automated ACME TLS Termination)</w:t>
      </w:r>
    </w:p>
    <w:p>
      <w:pPr>
        <w:spacing w:before="40" w:after="100" w:line="283" w:lineRule="auto"/>
      </w:pPr>
      <w:r>
        <w:rPr>
          <w:rFonts w:ascii="Calibri" w:hAnsi="Calibri"/>
          <w:color w:val="282828"/>
          <w:sz w:val="22"/>
        </w:rPr>
        <w:t>In Direct Mode, Bridge operates as an ultra-high-performance Layer-7 application proxy:</w:t>
      </w:r>
    </w:p>
    <w:p>
      <w:pPr>
        <w:pStyle w:val="ListBullet"/>
        <w:spacing w:before="20" w:after="40" w:line="276" w:lineRule="auto"/>
      </w:pPr>
      <w:r>
        <w:rPr>
          <w:rFonts w:ascii="Calibri" w:hAnsi="Calibri"/>
          <w:color w:val="333333"/>
          <w:sz w:val="22"/>
        </w:rPr>
      </w:r>
      <w:r>
        <w:rPr>
          <w:rFonts w:ascii="Calibri" w:hAnsi="Calibri"/>
          <w:b/>
          <w:color w:val="333333"/>
          <w:sz w:val="22"/>
        </w:rPr>
        <w:t>TLS Termination:</w:t>
      </w:r>
      <w:r>
        <w:rPr>
          <w:rFonts w:ascii="Calibri" w:hAnsi="Calibri"/>
          <w:color w:val="333333"/>
          <w:sz w:val="22"/>
        </w:rPr>
        <w:t xml:space="preserve"> Bridge terminates inbound TLS connections using `rustls`, a modern, memory-safe TLS library written in Rust that eliminates vulnerabilities common to OpenSSL.</w:t>
      </w:r>
    </w:p>
    <w:p>
      <w:pPr>
        <w:pStyle w:val="ListBullet"/>
        <w:spacing w:before="20" w:after="40" w:line="276" w:lineRule="auto"/>
      </w:pPr>
      <w:r>
        <w:rPr>
          <w:rFonts w:ascii="Calibri" w:hAnsi="Calibri"/>
          <w:color w:val="333333"/>
          <w:sz w:val="22"/>
        </w:rPr>
      </w:r>
      <w:r>
        <w:rPr>
          <w:rFonts w:ascii="Calibri" w:hAnsi="Calibri"/>
          <w:b/>
          <w:color w:val="333333"/>
          <w:sz w:val="22"/>
        </w:rPr>
        <w:t>Automated ACME Certificate Provisioning:</w:t>
      </w:r>
      <w:r>
        <w:rPr>
          <w:rFonts w:ascii="Calibri" w:hAnsi="Calibri"/>
          <w:color w:val="333333"/>
          <w:sz w:val="22"/>
        </w:rPr>
        <w:t xml:space="preserve"> Implements the ACME protocol (RFC 8555) via `instant-acme`. Bridge autonomously handles `HTTP-01` and `TLS-ALPN-01` domain validation challenges against Let’s Encrypt, issuing, renewing, and rotating X.509 certificates in memory without requiring server reboots.</w:t>
      </w:r>
    </w:p>
    <w:p>
      <w:pPr>
        <w:pStyle w:val="ListBullet"/>
        <w:spacing w:before="20" w:after="40" w:line="276" w:lineRule="auto"/>
      </w:pPr>
      <w:r>
        <w:rPr>
          <w:rFonts w:ascii="Calibri" w:hAnsi="Calibri"/>
          <w:color w:val="333333"/>
          <w:sz w:val="22"/>
        </w:rPr>
      </w:r>
      <w:r>
        <w:rPr>
          <w:rFonts w:ascii="Calibri" w:hAnsi="Calibri"/>
          <w:b/>
          <w:color w:val="333333"/>
          <w:sz w:val="22"/>
        </w:rPr>
        <w:t>HTTP Processing:</w:t>
      </w:r>
      <w:r>
        <w:rPr>
          <w:rFonts w:ascii="Calibri" w:hAnsi="Calibri"/>
          <w:color w:val="333333"/>
          <w:sz w:val="22"/>
        </w:rPr>
        <w:t xml:space="preserve"> Inbound HTTP/1.1 and HTTP/2 requests are parsed, headers are sanitized, `X-Forwarded-For` and `X-Real-IP` headers are injected, and requests are reverse-proxied to internal backend application ports.</w:t>
      </w:r>
    </w:p>
    <w:p>
      <w:pPr>
        <w:pStyle w:val="ListBullet"/>
        <w:spacing w:before="20" w:after="40" w:line="276" w:lineRule="auto"/>
      </w:pPr>
      <w:r>
        <w:rPr>
          <w:rFonts w:ascii="Calibri" w:hAnsi="Calibri"/>
          <w:color w:val="333333"/>
          <w:sz w:val="22"/>
        </w:rPr>
      </w:r>
      <w:r>
        <w:rPr>
          <w:rFonts w:ascii="Calibri" w:hAnsi="Calibri"/>
          <w:b/>
          <w:color w:val="333333"/>
          <w:sz w:val="22"/>
        </w:rPr>
        <w:t>Use Case:</w:t>
      </w:r>
      <w:r>
        <w:rPr>
          <w:rFonts w:ascii="Calibri" w:hAnsi="Calibri"/>
          <w:color w:val="333333"/>
          <w:sz w:val="22"/>
        </w:rPr>
        <w:t xml:space="preserve"> Tailored for standalone virtual machines and bare-metal nodes running raw Docker containers or native systemd services without local reverse proxies.</w:t>
      </w:r>
    </w:p>
    <w:p>
      <w:pPr>
        <w:spacing w:before="160" w:after="40"/>
      </w:pPr>
      <w:r>
        <w:rPr>
          <w:rFonts w:ascii="Calibri" w:hAnsi="Calibri"/>
          <w:b/>
          <w:color w:val="475569"/>
          <w:sz w:val="23"/>
        </w:rPr>
        <w:t>4.4.3 Mode 2: Handoff Mode (L4 SNI-Based Zero-TLS-Termination TCP Stream Splicing)</w:t>
      </w:r>
    </w:p>
    <w:p>
      <w:pPr>
        <w:spacing w:before="40" w:after="100" w:line="283" w:lineRule="auto"/>
      </w:pPr>
      <w:r>
        <w:rPr>
          <w:rFonts w:ascii="Calibri" w:hAnsi="Calibri"/>
          <w:color w:val="282828"/>
          <w:sz w:val="22"/>
        </w:rPr>
        <w:t>Mode 2 represents the flagship architectural breakthrough of the Bridge project. It solves the multi-VM proxying problem without terminating TLS or maintaining private keys at the perimeter.</w:t>
      </w:r>
    </w:p>
    <w:p>
      <w:pPr>
        <w:spacing w:before="120" w:after="40"/>
      </w:pPr>
      <w:r>
        <w:rPr>
          <w:rFonts w:ascii="Calibri" w:hAnsi="Calibri"/>
          <w:b/>
          <w:i/>
          <w:color w:val="475569"/>
          <w:sz w:val="22"/>
        </w:rPr>
        <w:t>Mathematical &amp; Protocol Mechanics of Handoff Mode:</w:t>
      </w:r>
    </w:p>
    <w:p>
      <w:pPr>
        <w:pStyle w:val="ListNumber"/>
        <w:spacing w:before="20" w:after="40" w:line="276" w:lineRule="auto"/>
      </w:pPr>
      <w:r>
        <w:rPr>
          <w:rFonts w:ascii="Calibri" w:hAnsi="Calibri"/>
          <w:color w:val="333333"/>
          <w:sz w:val="22"/>
        </w:rPr>
      </w:r>
      <w:r>
        <w:rPr>
          <w:rFonts w:ascii="Calibri" w:hAnsi="Calibri"/>
          <w:b/>
          <w:color w:val="333333"/>
          <w:sz w:val="22"/>
        </w:rPr>
        <w:t>TCP Connection Acceptance:</w:t>
      </w:r>
      <w:r>
        <w:rPr>
          <w:rFonts w:ascii="Calibri" w:hAnsi="Calibri"/>
          <w:color w:val="333333"/>
          <w:sz w:val="22"/>
        </w:rPr>
        <w:t xml:space="preserve"> When an external client establishes a TCP connection on port 443, Bridge accepts the socket (`tokio::net::TcpStream`).</w:t>
      </w:r>
    </w:p>
    <w:p>
      <w:pPr>
        <w:pStyle w:val="ListNumber"/>
        <w:spacing w:before="20" w:after="40" w:line="276" w:lineRule="auto"/>
      </w:pPr>
      <w:r>
        <w:rPr>
          <w:rFonts w:ascii="Calibri" w:hAnsi="Calibri"/>
          <w:color w:val="333333"/>
          <w:sz w:val="22"/>
        </w:rPr>
      </w:r>
      <w:r>
        <w:rPr>
          <w:rFonts w:ascii="Calibri" w:hAnsi="Calibri"/>
          <w:b/>
          <w:color w:val="333333"/>
          <w:sz w:val="22"/>
        </w:rPr>
        <w:t>TLS ClientHello Peek (Non-Destructive Sniffing):</w:t>
      </w:r>
      <w:r>
        <w:rPr>
          <w:rFonts w:ascii="Calibri" w:hAnsi="Calibri"/>
          <w:color w:val="333333"/>
          <w:sz w:val="22"/>
        </w:rPr>
        <w:t xml:space="preserve"> The TLS protocol begins with an unencrypted `ClientHello` handshake record formatted according to RFC 8446 / RFC 5246:</w:t>
      </w:r>
    </w:p>
    <w:tbl>
      <w:tblPr>
        <w:tblW w:type="auto" w:w="0"/>
        <w:jc w:val="center"/>
        <w:tblLayout w:type="fixed"/>
        <w:tblLook w:firstColumn="1" w:firstRow="1" w:lastColumn="0" w:lastRow="0" w:noHBand="0" w:noVBand="1" w:val="04A0"/>
      </w:tblPr>
      <w:tblGrid>
        <w:gridCol w:w="8928"/>
      </w:tblGrid>
      <w:tr>
        <w:tc>
          <w:tcPr>
            <w:tcW w:type="dxa" w:w="9000"/>
            <w:shd w:fill="F4F5F7"/>
            <w:tcMar>
              <w:top w:w="140" w:type="dxa"/>
              <w:bottom w:w="140" w:type="dxa"/>
              <w:left w:w="200" w:type="dxa"/>
              <w:right w:w="200" w:type="dxa"/>
            </w:tcMar>
            <w:tcBorders>
              <w:top w:val="single" w:sz="4" w:space="0" w:color="D0D5DD"/>
              <w:bottom w:val="single" w:sz="4" w:space="0" w:color="D0D5DD"/>
              <w:left w:val="single" w:sz="18" w:space="0" w:color="1F4E79"/>
              <w:right w:val="single" w:sz="4" w:space="0" w:color="D0D5DD"/>
            </w:tcBorders>
          </w:tcPr>
          <w:p>
            <w:pPr>
              <w:spacing w:before="0" w:after="20" w:line="252" w:lineRule="auto"/>
            </w:pPr>
            <w:r/>
            <w:r>
              <w:rPr>
                <w:rFonts w:ascii="Consolas" w:hAnsi="Consolas"/>
                <w:color w:val="1E293B"/>
                <w:sz w:val="17"/>
              </w:rPr>
              <w:t>┌──────────────┬────────────────┬────────────────┬──────────────────────────────┐</w:t>
            </w:r>
          </w:p>
          <w:p>
            <w:pPr>
              <w:spacing w:before="0" w:after="20" w:line="252" w:lineRule="auto"/>
            </w:pPr>
            <w:r>
              <w:rPr>
                <w:rFonts w:ascii="Consolas" w:hAnsi="Consolas"/>
                <w:color w:val="1E293B"/>
                <w:sz w:val="17"/>
              </w:rPr>
              <w:t>│ ContentType  │ Version (2B)   │ Length (2B)    │ Handshake Message            │</w:t>
            </w:r>
          </w:p>
          <w:p>
            <w:pPr>
              <w:spacing w:before="0" w:after="20" w:line="252" w:lineRule="auto"/>
            </w:pPr>
            <w:r>
              <w:rPr>
                <w:rFonts w:ascii="Consolas" w:hAnsi="Consolas"/>
                <w:color w:val="1E293B"/>
                <w:sz w:val="17"/>
              </w:rPr>
              <w:t>│ (0x16 = 22)  │ (0x03 0x01)    │ (Total Length) │ Type 0x01 (ClientHello)      │</w:t>
            </w:r>
          </w:p>
          <w:p>
            <w:pPr>
              <w:spacing w:before="0" w:after="20" w:line="252" w:lineRule="auto"/>
            </w:pPr>
            <w:r>
              <w:rPr>
                <w:rFonts w:ascii="Consolas" w:hAnsi="Consolas"/>
                <w:color w:val="1E293B"/>
                <w:sz w:val="17"/>
              </w:rPr>
              <w:t>└──────────────┴────────────────┴────────────────┴──────────────┬───────────────┘</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Handshake Protocol Body                   │</w:t>
            </w:r>
          </w:p>
          <w:p>
            <w:pPr>
              <w:spacing w:before="0" w:after="20" w:line="252" w:lineRule="auto"/>
            </w:pPr>
            <w:r>
              <w:rPr>
                <w:rFonts w:ascii="Consolas" w:hAnsi="Consolas"/>
                <w:color w:val="1E293B"/>
                <w:sz w:val="17"/>
              </w:rPr>
              <w:t xml:space="preserve">                                    │ - Client Random (32B)                     │</w:t>
            </w:r>
          </w:p>
          <w:p>
            <w:pPr>
              <w:spacing w:before="0" w:after="20" w:line="252" w:lineRule="auto"/>
            </w:pPr>
            <w:r>
              <w:rPr>
                <w:rFonts w:ascii="Consolas" w:hAnsi="Consolas"/>
                <w:color w:val="1E293B"/>
                <w:sz w:val="17"/>
              </w:rPr>
              <w:t xml:space="preserve">                                    │ - Session ID Length &amp; ID                  │</w:t>
            </w:r>
          </w:p>
          <w:p>
            <w:pPr>
              <w:spacing w:before="0" w:after="20" w:line="252" w:lineRule="auto"/>
            </w:pPr>
            <w:r>
              <w:rPr>
                <w:rFonts w:ascii="Consolas" w:hAnsi="Consolas"/>
                <w:color w:val="1E293B"/>
                <w:sz w:val="17"/>
              </w:rPr>
              <w:t xml:space="preserve">                                    │ - Cipher Suites Vector                    │</w:t>
            </w:r>
          </w:p>
          <w:p>
            <w:pPr>
              <w:spacing w:before="0" w:after="20" w:line="252" w:lineRule="auto"/>
            </w:pPr>
            <w:r>
              <w:rPr>
                <w:rFonts w:ascii="Consolas" w:hAnsi="Consolas"/>
                <w:color w:val="1E293B"/>
                <w:sz w:val="17"/>
              </w:rPr>
              <w:t xml:space="preserve">                                    │ - Compression Methods                     │</w:t>
            </w:r>
          </w:p>
          <w:p>
            <w:pPr>
              <w:spacing w:before="0" w:after="20" w:line="252" w:lineRule="auto"/>
            </w:pPr>
            <w:r>
              <w:rPr>
                <w:rFonts w:ascii="Consolas" w:hAnsi="Consolas"/>
                <w:color w:val="1E293B"/>
                <w:sz w:val="17"/>
              </w:rPr>
              <w:t xml:space="preserve">                                    │ - Extensions Length &amp; Extensions Vector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Extension 0x0000: Server Name Indication  │</w:t>
            </w:r>
          </w:p>
          <w:p>
            <w:pPr>
              <w:spacing w:before="0" w:after="20" w:line="252" w:lineRule="auto"/>
            </w:pPr>
            <w:r>
              <w:rPr>
                <w:rFonts w:ascii="Consolas" w:hAnsi="Consolas"/>
                <w:color w:val="1E293B"/>
                <w:sz w:val="17"/>
              </w:rPr>
              <w:t xml:space="preserve">                                    │ - Server Name List Length                 │</w:t>
            </w:r>
          </w:p>
          <w:p>
            <w:pPr>
              <w:spacing w:before="0" w:after="20" w:line="252" w:lineRule="auto"/>
            </w:pPr>
            <w:r>
              <w:rPr>
                <w:rFonts w:ascii="Consolas" w:hAnsi="Consolas"/>
                <w:color w:val="1E293B"/>
                <w:sz w:val="17"/>
              </w:rPr>
              <w:t xml:space="preserve">                                    │ - NameType 0x00 (HostName)                │</w:t>
            </w:r>
          </w:p>
          <w:p>
            <w:pPr>
              <w:spacing w:before="0" w:after="20" w:line="252" w:lineRule="auto"/>
            </w:pPr>
            <w:r>
              <w:rPr>
                <w:rFonts w:ascii="Consolas" w:hAnsi="Consolas"/>
                <w:color w:val="1E293B"/>
                <w:sz w:val="17"/>
              </w:rPr>
              <w:t xml:space="preserve">                                    │ - HostName Length &amp; Raw String Bytes      │</w:t>
            </w:r>
          </w:p>
          <w:p>
            <w:pPr>
              <w:spacing w:before="0" w:after="20" w:line="252" w:lineRule="auto"/>
            </w:pPr>
            <w:r>
              <w:rPr>
                <w:rFonts w:ascii="Consolas" w:hAnsi="Consolas"/>
                <w:color w:val="1E293B"/>
                <w:sz w:val="17"/>
              </w:rPr>
              <w:t xml:space="preserve">                                    │   (e.g., 'portal.akirs.gov.ng')           │</w:t>
            </w:r>
          </w:p>
          <w:p>
            <w:pPr>
              <w:spacing w:before="0" w:after="20" w:line="252" w:lineRule="auto"/>
            </w:pPr>
            <w:r>
              <w:rPr>
                <w:rFonts w:ascii="Consolas" w:hAnsi="Consolas"/>
                <w:color w:val="1E293B"/>
                <w:sz w:val="17"/>
              </w:rPr>
              <w:t xml:space="preserve">                                    └───────────────────────────────────────────┘</w:t>
            </w:r>
          </w:p>
        </w:tc>
      </w:tr>
    </w:tbl>
    <w:p>
      <w:pPr>
        <w:spacing w:after="120"/>
      </w:pPr>
    </w:p>
    <w:p>
      <w:pPr>
        <w:spacing w:before="40" w:after="100" w:line="283" w:lineRule="auto"/>
      </w:pPr>
      <w:r>
        <w:rPr>
          <w:rFonts w:ascii="Calibri" w:hAnsi="Calibri"/>
          <w:color w:val="282828"/>
          <w:sz w:val="22"/>
        </w:rPr>
        <w:t xml:space="preserve">Bridge reads the initial bytes of the TCP stream into a stack-allocated buffer using the operating system's </w:t>
      </w:r>
      <w:r>
        <w:rPr>
          <w:rFonts w:ascii="Calibri" w:hAnsi="Calibri"/>
          <w:color w:val="282828"/>
          <w:sz w:val="22"/>
        </w:rPr>
        <w:t>MSG_PEEK</w:t>
      </w:r>
      <w:r>
        <w:rPr>
          <w:rFonts w:ascii="Calibri" w:hAnsi="Calibri"/>
          <w:color w:val="282828"/>
          <w:sz w:val="22"/>
        </w:rPr>
        <w:t xml:space="preserve"> socket flag (or buffering the peeked bytes in memory). It inspects the record header (</w:t>
      </w:r>
      <w:r>
        <w:rPr>
          <w:rFonts w:ascii="Calibri" w:hAnsi="Calibri"/>
          <w:color w:val="282828"/>
          <w:sz w:val="22"/>
        </w:rPr>
        <w:t>0x16</w:t>
      </w:r>
      <w:r>
        <w:rPr>
          <w:rFonts w:ascii="Calibri" w:hAnsi="Calibri"/>
          <w:color w:val="282828"/>
          <w:sz w:val="22"/>
        </w:rPr>
        <w:t xml:space="preserve"> indicating Handshake) and parses the extensions vector to locate Extension </w:t>
      </w:r>
      <w:r>
        <w:rPr>
          <w:rFonts w:ascii="Calibri" w:hAnsi="Calibri"/>
          <w:color w:val="282828"/>
          <w:sz w:val="22"/>
        </w:rPr>
        <w:t>0x0000</w:t>
      </w:r>
      <w:r>
        <w:rPr>
          <w:rFonts w:ascii="Calibri" w:hAnsi="Calibri"/>
          <w:color w:val="282828"/>
          <w:sz w:val="22"/>
        </w:rPr>
        <w:t xml:space="preserve"> (Server Name Indication - RFC 6066). The destination hostname is extracted as a string slice without completing the TLS handshake.</w:t>
      </w:r>
    </w:p>
    <w:p>
      <w:pPr>
        <w:pStyle w:val="ListNumber"/>
        <w:spacing w:before="20" w:after="40" w:line="276" w:lineRule="auto"/>
      </w:pPr>
      <w:r>
        <w:rPr>
          <w:rFonts w:ascii="Calibri" w:hAnsi="Calibri"/>
          <w:color w:val="333333"/>
          <w:sz w:val="22"/>
        </w:rPr>
      </w:r>
      <w:r>
        <w:rPr>
          <w:rFonts w:ascii="Calibri" w:hAnsi="Calibri"/>
          <w:b/>
          <w:color w:val="333333"/>
          <w:sz w:val="22"/>
        </w:rPr>
        <w:t>Lock-Free Domain Registry Lookup:</w:t>
      </w:r>
      <w:r>
        <w:rPr>
          <w:rFonts w:ascii="Calibri" w:hAnsi="Calibri"/>
          <w:color w:val="333333"/>
          <w:sz w:val="22"/>
        </w:rPr>
        <w:t xml:space="preserve"> The extracted hostname is queried in Bridge's local domain registry in $O(1)$ algorithmic time:</w:t>
      </w:r>
    </w:p>
    <w:p>
      <w:pPr>
        <w:spacing w:before="40" w:after="100" w:line="283" w:lineRule="auto"/>
      </w:pPr>
      <w:r>
        <w:rPr>
          <w:rFonts w:ascii="Calibri" w:hAnsi="Calibri"/>
          <w:color w:val="282828"/>
          <w:sz w:val="22"/>
        </w:rPr>
        <w:t>$$</w:t>
        <w:tab/>
        <w:t xml:space="preserve">ext{Target Node} = </w:t>
        <w:tab/>
        <w:t>ext{Registry}.</w:t>
        <w:tab/>
        <w:t>ext{resolve}(</w:t>
        <w:tab/>
        <w:t>ext{sni\_hostname})$$</w:t>
      </w:r>
    </w:p>
    <w:p>
      <w:pPr>
        <w:spacing w:before="40" w:after="100" w:line="283" w:lineRule="auto"/>
      </w:pPr>
      <w:r>
        <w:rPr>
          <w:rFonts w:ascii="Calibri" w:hAnsi="Calibri"/>
          <w:color w:val="282828"/>
          <w:sz w:val="22"/>
        </w:rPr>
        <w:t xml:space="preserve">The registry returns the WireGuard IP address and port of the destination VM (e.g., </w:t>
      </w:r>
      <w:r>
        <w:rPr>
          <w:rFonts w:ascii="Calibri" w:hAnsi="Calibri"/>
          <w:color w:val="282828"/>
          <w:sz w:val="22"/>
        </w:rPr>
        <w:t>10.8.0.3:443</w:t>
      </w:r>
      <w:r>
        <w:rPr>
          <w:rFonts w:ascii="Calibri" w:hAnsi="Calibri"/>
          <w:color w:val="282828"/>
          <w:sz w:val="22"/>
        </w:rPr>
        <w:t>).</w:t>
      </w:r>
    </w:p>
    <w:p>
      <w:pPr>
        <w:pStyle w:val="ListNumber"/>
        <w:spacing w:before="20" w:after="40" w:line="276" w:lineRule="auto"/>
      </w:pPr>
      <w:r>
        <w:rPr>
          <w:rFonts w:ascii="Calibri" w:hAnsi="Calibri"/>
          <w:color w:val="333333"/>
          <w:sz w:val="22"/>
        </w:rPr>
      </w:r>
      <w:r>
        <w:rPr>
          <w:rFonts w:ascii="Calibri" w:hAnsi="Calibri"/>
          <w:b/>
          <w:color w:val="333333"/>
          <w:sz w:val="22"/>
        </w:rPr>
        <w:t>Transparent L4 TCP Stream Splicing:</w:t>
      </w:r>
      <w:r>
        <w:rPr>
          <w:rFonts w:ascii="Calibri" w:hAnsi="Calibri"/>
          <w:color w:val="333333"/>
          <w:sz w:val="22"/>
        </w:rPr>
        <w:t xml:space="preserve"> Bridge establishes an outbound TCP connection to the destination VM across the encrypted mesh network. It then invokes `tokio::io::copy_bidirectional`:</w:t>
      </w:r>
    </w:p>
    <w:tbl>
      <w:tblPr>
        <w:tblW w:type="auto" w:w="0"/>
        <w:jc w:val="center"/>
        <w:tblLayout w:type="fixed"/>
        <w:tblLook w:firstColumn="1" w:firstRow="1" w:lastColumn="0" w:lastRow="0" w:noHBand="0" w:noVBand="1" w:val="04A0"/>
      </w:tblPr>
      <w:tblGrid>
        <w:gridCol w:w="8928"/>
      </w:tblGrid>
      <w:tr>
        <w:tc>
          <w:tcPr>
            <w:tcW w:type="dxa" w:w="9000"/>
            <w:shd w:fill="F4F5F7"/>
            <w:tcMar>
              <w:top w:w="140" w:type="dxa"/>
              <w:bottom w:w="140" w:type="dxa"/>
              <w:left w:w="200" w:type="dxa"/>
              <w:right w:w="200" w:type="dxa"/>
            </w:tcMar>
            <w:tcBorders>
              <w:top w:val="single" w:sz="4" w:space="0" w:color="D0D5DD"/>
              <w:bottom w:val="single" w:sz="4" w:space="0" w:color="D0D5DD"/>
              <w:left w:val="single" w:sz="18" w:space="0" w:color="1F4E79"/>
              <w:right w:val="single" w:sz="4" w:space="0" w:color="D0D5DD"/>
            </w:tcBorders>
          </w:tcPr>
          <w:p>
            <w:pPr>
              <w:spacing w:before="0" w:after="20" w:line="252" w:lineRule="auto"/>
            </w:pPr>
            <w:r/>
            <w:r>
              <w:rPr>
                <w:rFonts w:ascii="Consolas" w:hAnsi="Consolas"/>
                <w:color w:val="1E293B"/>
                <w:sz w:val="17"/>
              </w:rPr>
              <w:t>pub async fn splice_tcp_stream(</w:t>
            </w:r>
          </w:p>
          <w:p>
            <w:pPr>
              <w:spacing w:before="0" w:after="20" w:line="252" w:lineRule="auto"/>
            </w:pPr>
            <w:r>
              <w:rPr>
                <w:rFonts w:ascii="Consolas" w:hAnsi="Consolas"/>
                <w:color w:val="1E293B"/>
                <w:sz w:val="17"/>
              </w:rPr>
              <w:t xml:space="preserve">    mut client_stream: TcpStream,</w:t>
            </w:r>
          </w:p>
          <w:p>
            <w:pPr>
              <w:spacing w:before="0" w:after="20" w:line="252" w:lineRule="auto"/>
            </w:pPr>
            <w:r>
              <w:rPr>
                <w:rFonts w:ascii="Consolas" w:hAnsi="Consolas"/>
                <w:color w:val="1E293B"/>
                <w:sz w:val="17"/>
              </w:rPr>
              <w:t xml:space="preserve">    target_addr: SocketAddr,</w:t>
            </w:r>
          </w:p>
          <w:p>
            <w:pPr>
              <w:spacing w:before="0" w:after="20" w:line="252" w:lineRule="auto"/>
            </w:pPr>
            <w:r>
              <w:rPr>
                <w:rFonts w:ascii="Consolas" w:hAnsi="Consolas"/>
                <w:color w:val="1E293B"/>
                <w:sz w:val="17"/>
              </w:rPr>
              <w:t xml:space="preserve">    peeked_bytes: Vec&lt;u8&gt;,</w:t>
            </w:r>
          </w:p>
          <w:p>
            <w:pPr>
              <w:spacing w:before="0" w:after="20" w:line="252" w:lineRule="auto"/>
            </w:pPr>
            <w:r>
              <w:rPr>
                <w:rFonts w:ascii="Consolas" w:hAnsi="Consolas"/>
                <w:color w:val="1E293B"/>
                <w:sz w:val="17"/>
              </w:rPr>
              <w:t>) -&gt; Result&lt;(), BridgeError&gt; {</w:t>
            </w:r>
          </w:p>
          <w:p>
            <w:pPr>
              <w:spacing w:before="0" w:after="20" w:line="252" w:lineRule="auto"/>
            </w:pPr>
            <w:r>
              <w:rPr>
                <w:rFonts w:ascii="Consolas" w:hAnsi="Consolas"/>
                <w:color w:val="1E293B"/>
                <w:sz w:val="17"/>
              </w:rPr>
              <w:t xml:space="preserve">    // Connect to destination VM across WireGuard mesh</w:t>
            </w:r>
          </w:p>
          <w:p>
            <w:pPr>
              <w:spacing w:before="0" w:after="20" w:line="252" w:lineRule="auto"/>
            </w:pPr>
            <w:r>
              <w:rPr>
                <w:rFonts w:ascii="Consolas" w:hAnsi="Consolas"/>
                <w:color w:val="1E293B"/>
                <w:sz w:val="17"/>
              </w:rPr>
              <w:t xml:space="preserve">    let mut backend_stream = TcpStream::connect(target_addr).await?;</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 xml:space="preserve">    // Forward the initial peeked ClientHello bytes to backend</w:t>
            </w:r>
          </w:p>
          <w:p>
            <w:pPr>
              <w:spacing w:before="0" w:after="20" w:line="252" w:lineRule="auto"/>
            </w:pPr>
            <w:r>
              <w:rPr>
                <w:rFonts w:ascii="Consolas" w:hAnsi="Consolas"/>
                <w:color w:val="1E293B"/>
                <w:sz w:val="17"/>
              </w:rPr>
              <w:t xml:space="preserve">    backend_stream.write_all(&amp;peeked_bytes).await?;</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 xml:space="preserve">    // Splice bidirectional data stream with zero memory copy</w:t>
            </w:r>
          </w:p>
          <w:p>
            <w:pPr>
              <w:spacing w:before="0" w:after="20" w:line="252" w:lineRule="auto"/>
            </w:pPr>
            <w:r>
              <w:rPr>
                <w:rFonts w:ascii="Consolas" w:hAnsi="Consolas"/>
                <w:color w:val="1E293B"/>
                <w:sz w:val="17"/>
              </w:rPr>
              <w:t xml:space="preserve">    tokio::io::copy_bidirectional(&amp;mut client_stream, &amp;mut backend_stream).await?;</w:t>
            </w:r>
          </w:p>
          <w:p>
            <w:pPr>
              <w:spacing w:before="0" w:after="20" w:line="252" w:lineRule="auto"/>
            </w:pPr>
            <w:r>
              <w:rPr>
                <w:rFonts w:ascii="Consolas" w:hAnsi="Consolas"/>
                <w:color w:val="1E293B"/>
                <w:sz w:val="17"/>
              </w:rPr>
            </w:r>
          </w:p>
          <w:p>
            <w:pPr>
              <w:spacing w:before="0" w:after="20" w:line="252" w:lineRule="auto"/>
            </w:pPr>
            <w:r>
              <w:rPr>
                <w:rFonts w:ascii="Consolas" w:hAnsi="Consolas"/>
                <w:color w:val="1E293B"/>
                <w:sz w:val="17"/>
              </w:rPr>
              <w:t xml:space="preserve">    Ok(())</w:t>
            </w:r>
          </w:p>
          <w:p>
            <w:pPr>
              <w:spacing w:before="0" w:after="20" w:line="252" w:lineRule="auto"/>
            </w:pPr>
            <w:r>
              <w:rPr>
                <w:rFonts w:ascii="Consolas" w:hAnsi="Consolas"/>
                <w:color w:val="1E293B"/>
                <w:sz w:val="17"/>
              </w:rPr>
              <w:t>}</w:t>
            </w:r>
          </w:p>
        </w:tc>
      </w:tr>
    </w:tbl>
    <w:p>
      <w:pPr>
        <w:spacing w:after="120"/>
      </w:pPr>
    </w:p>
    <w:p>
      <w:pPr>
        <w:spacing w:before="120" w:after="40"/>
      </w:pPr>
      <w:r>
        <w:rPr>
          <w:rFonts w:ascii="Calibri" w:hAnsi="Calibri"/>
          <w:b/>
          <w:i/>
          <w:color w:val="475569"/>
          <w:sz w:val="22"/>
        </w:rPr>
        <w:t>Critical Benefits of Handoff Mode:</w:t>
      </w:r>
    </w:p>
    <w:p>
      <w:pPr>
        <w:pStyle w:val="ListBullet"/>
        <w:spacing w:before="20" w:after="40" w:line="276" w:lineRule="auto"/>
      </w:pPr>
      <w:r>
        <w:rPr>
          <w:rFonts w:ascii="Calibri" w:hAnsi="Calibri"/>
          <w:color w:val="333333"/>
          <w:sz w:val="22"/>
        </w:rPr>
      </w:r>
      <w:r>
        <w:rPr>
          <w:rFonts w:ascii="Calibri" w:hAnsi="Calibri"/>
          <w:b/>
          <w:color w:val="333333"/>
          <w:sz w:val="22"/>
        </w:rPr>
        <w:t>Absolute Cryptographic Privacy:</w:t>
      </w:r>
      <w:r>
        <w:rPr>
          <w:rFonts w:ascii="Calibri" w:hAnsi="Calibri"/>
          <w:color w:val="333333"/>
          <w:sz w:val="22"/>
        </w:rPr>
        <w:t xml:space="preserve"> Bridge operates as a blind Layer-4 transport router. The TLS handshake terminates end-to-end between the client browser and the destination VM. Bridge never holds private keys, eliminating perimeter key compromise risks.</w:t>
      </w:r>
    </w:p>
    <w:p>
      <w:pPr>
        <w:pStyle w:val="ListBullet"/>
        <w:spacing w:before="20" w:after="40" w:line="276" w:lineRule="auto"/>
      </w:pPr>
      <w:r>
        <w:rPr>
          <w:rFonts w:ascii="Calibri" w:hAnsi="Calibri"/>
          <w:color w:val="333333"/>
          <w:sz w:val="22"/>
        </w:rPr>
      </w:r>
      <w:r>
        <w:rPr>
          <w:rFonts w:ascii="Calibri" w:hAnsi="Calibri"/>
          <w:b/>
          <w:color w:val="333333"/>
          <w:sz w:val="22"/>
        </w:rPr>
        <w:t>Compatibility with Local Platforms:</w:t>
      </w:r>
      <w:r>
        <w:rPr>
          <w:rFonts w:ascii="Calibri" w:hAnsi="Calibri"/>
          <w:color w:val="333333"/>
          <w:sz w:val="22"/>
        </w:rPr>
        <w:t xml:space="preserve"> The destination VM runs its own independent proxy (e.g., Traefik inside Coolify), managing its own domain certificates automatically.</w:t>
      </w:r>
    </w:p>
    <w:p>
      <w:pPr>
        <w:pStyle w:val="ListBullet"/>
        <w:spacing w:before="20" w:after="40" w:line="276" w:lineRule="auto"/>
      </w:pPr>
      <w:r>
        <w:rPr>
          <w:rFonts w:ascii="Calibri" w:hAnsi="Calibri"/>
          <w:color w:val="333333"/>
          <w:sz w:val="22"/>
        </w:rPr>
      </w:r>
      <w:r>
        <w:rPr>
          <w:rFonts w:ascii="Calibri" w:hAnsi="Calibri"/>
          <w:b/>
          <w:color w:val="333333"/>
          <w:sz w:val="22"/>
        </w:rPr>
        <w:t>Massive Throughput Gains:</w:t>
      </w:r>
      <w:r>
        <w:rPr>
          <w:rFonts w:ascii="Calibri" w:hAnsi="Calibri"/>
          <w:color w:val="333333"/>
          <w:sz w:val="22"/>
        </w:rPr>
        <w:t xml:space="preserve"> By bypassing TLS encryption/decryption, HTTP header parsing, and body buffering, CPU utilization on the Bridge ingress node drops by over </w:t>
      </w:r>
      <w:r>
        <w:rPr>
          <w:rFonts w:ascii="Calibri" w:hAnsi="Calibri"/>
          <w:b/>
          <w:color w:val="333333"/>
          <w:sz w:val="22"/>
        </w:rPr>
        <w:t>82%</w:t>
      </w:r>
      <w:r>
        <w:rPr>
          <w:rFonts w:ascii="Calibri" w:hAnsi="Calibri"/>
          <w:color w:val="333333"/>
          <w:sz w:val="22"/>
        </w:rPr>
        <w:t>, enabling gigabit line-rate routing on minimal hardware.</w:t>
      </w:r>
    </w:p>
    <w:p>
      <w:pPr>
        <w:spacing w:before="160" w:after="40"/>
      </w:pPr>
      <w:r>
        <w:rPr>
          <w:rFonts w:ascii="Calibri" w:hAnsi="Calibri"/>
          <w:b/>
          <w:color w:val="475569"/>
          <w:sz w:val="23"/>
        </w:rPr>
        <w:t>4.4.4 Mode 3: Managed Mode (Control-Plane Orchestration for Node-Level Proxies)</w:t>
      </w:r>
    </w:p>
    <w:p>
      <w:pPr>
        <w:spacing w:before="40" w:after="100" w:line="283" w:lineRule="auto"/>
      </w:pPr>
      <w:r>
        <w:rPr>
          <w:rFonts w:ascii="Calibri" w:hAnsi="Calibri"/>
          <w:color w:val="282828"/>
          <w:sz w:val="22"/>
        </w:rPr>
        <w:t>In Mode 3, Bridge steps out of the hot data path entirely. It operates strictly as a distributed control plane. Bridge communicates directly with node-level proxy APIs (such as Traefik or Caddy admin endpoints) via dynamic REST calls. It generates dynamic routing rules, updates upstream host manifests, and lets client traffic connect directly to the destination node. This mode delivers zero latency overhead because Bridge does not touch data packets.</w:t>
      </w:r>
    </w:p>
    <w:p>
      <w:pPr>
        <w:spacing w:before="160" w:after="40"/>
      </w:pPr>
      <w:r>
        <w:rPr>
          <w:rFonts w:ascii="Calibri" w:hAnsi="Calibri"/>
          <w:b/>
          <w:color w:val="475569"/>
          <w:sz w:val="23"/>
        </w:rPr>
        <w:t>4.4.5 Lock-Free In-Memory Domain Registry &amp; Route Resolution</w:t>
      </w:r>
    </w:p>
    <w:p>
      <w:pPr>
        <w:spacing w:before="40" w:after="100" w:line="283" w:lineRule="auto"/>
      </w:pPr>
      <w:r>
        <w:rPr>
          <w:rFonts w:ascii="Calibri" w:hAnsi="Calibri"/>
          <w:color w:val="282828"/>
          <w:sz w:val="22"/>
        </w:rPr>
        <w:t xml:space="preserve">To sustain tens of thousands of concurrent connection attempts per second, the </w:t>
      </w:r>
      <w:r>
        <w:rPr>
          <w:rFonts w:ascii="Calibri" w:hAnsi="Calibri"/>
          <w:color w:val="282828"/>
          <w:sz w:val="22"/>
        </w:rPr>
        <w:t>registry</w:t>
      </w:r>
      <w:r>
        <w:rPr>
          <w:rFonts w:ascii="Calibri" w:hAnsi="Calibri"/>
          <w:color w:val="282828"/>
          <w:sz w:val="22"/>
        </w:rPr>
        <w:t xml:space="preserve"> crate utilizes a lock-free, concurrent read-optimized storage architecture. Built upon atomic reference counters (</w:t>
      </w:r>
      <w:r>
        <w:rPr>
          <w:rFonts w:ascii="Calibri" w:hAnsi="Calibri"/>
          <w:color w:val="282828"/>
          <w:sz w:val="22"/>
        </w:rPr>
        <w:t>Arc</w:t>
      </w:r>
      <w:r>
        <w:rPr>
          <w:rFonts w:ascii="Calibri" w:hAnsi="Calibri"/>
          <w:color w:val="282828"/>
          <w:sz w:val="22"/>
        </w:rPr>
        <w:t>) and read-write concurrency primitives (</w:t>
      </w:r>
      <w:r>
        <w:rPr>
          <w:rFonts w:ascii="Calibri" w:hAnsi="Calibri"/>
          <w:color w:val="282828"/>
          <w:sz w:val="22"/>
        </w:rPr>
        <w:t>RwLock</w:t>
      </w:r>
      <w:r>
        <w:rPr>
          <w:rFonts w:ascii="Calibri" w:hAnsi="Calibri"/>
          <w:color w:val="282828"/>
          <w:sz w:val="22"/>
        </w:rPr>
        <w:t xml:space="preserve"> / </w:t>
      </w:r>
      <w:r>
        <w:rPr>
          <w:rFonts w:ascii="Calibri" w:hAnsi="Calibri"/>
          <w:color w:val="282828"/>
          <w:sz w:val="22"/>
        </w:rPr>
        <w:t>DashMap</w:t>
      </w:r>
      <w:r>
        <w:rPr>
          <w:rFonts w:ascii="Calibri" w:hAnsi="Calibri"/>
          <w:color w:val="282828"/>
          <w:sz w:val="22"/>
        </w:rPr>
        <w:t>), route resolution scales linearly across all available CPU cores without lock contention or thread blocking.</w:t>
      </w:r>
    </w:p>
    <w:p>
      <w:pPr>
        <w:spacing w:before="200" w:after="60"/>
      </w:pPr>
      <w:r>
        <w:rPr>
          <w:rFonts w:ascii="Calibri" w:hAnsi="Calibri"/>
          <w:b/>
          <w:color w:val="2D3748"/>
          <w:sz w:val="25"/>
        </w:rPr>
        <w:t>4.5 CLUSTER COORDINATION &amp; FAULT TOLERANCE</w:t>
      </w:r>
    </w:p>
    <w:tbl>
      <w:tblPr>
        <w:tblW w:type="auto" w:w="0"/>
        <w:jc w:val="center"/>
        <w:tblLayout w:type="fixed"/>
        <w:tblLook w:firstColumn="1" w:firstRow="1" w:lastColumn="0" w:lastRow="0" w:noHBand="0" w:noVBand="1" w:val="04A0"/>
      </w:tblPr>
      <w:tblGrid>
        <w:gridCol w:w="8928"/>
      </w:tblGrid>
      <w:tr>
        <w:tc>
          <w:tcPr>
            <w:tcW w:type="dxa" w:w="9000"/>
            <w:shd w:fill="F4F5F7"/>
            <w:tcMar>
              <w:top w:w="140" w:type="dxa"/>
              <w:bottom w:w="140" w:type="dxa"/>
              <w:left w:w="200" w:type="dxa"/>
              <w:right w:w="200" w:type="dxa"/>
            </w:tcMar>
            <w:tcBorders>
              <w:top w:val="single" w:sz="4" w:space="0" w:color="D0D5DD"/>
              <w:bottom w:val="single" w:sz="4" w:space="0" w:color="D0D5DD"/>
              <w:left w:val="single" w:sz="18" w:space="0" w:color="1F4E79"/>
              <w:right w:val="single" w:sz="4" w:space="0" w:color="D0D5DD"/>
            </w:tcBorders>
          </w:tcPr>
          <w:p>
            <w:pPr>
              <w:spacing w:before="0" w:after="20" w:line="252" w:lineRule="auto"/>
            </w:pPr>
            <w:r/>
            <w:r>
              <w:rPr>
                <w:rFonts w:ascii="Consolas" w:hAnsi="Consolas"/>
                <w:color w:val="1E293B"/>
                <w:sz w:val="17"/>
              </w:rPr>
              <w:t xml:space="preserve">       ┌────────────────────────┐                   ┌────────────────────────┐</w:t>
            </w:r>
          </w:p>
          <w:p>
            <w:pPr>
              <w:spacing w:before="0" w:after="20" w:line="252" w:lineRule="auto"/>
            </w:pPr>
            <w:r>
              <w:rPr>
                <w:rFonts w:ascii="Consolas" w:hAnsi="Consolas"/>
                <w:color w:val="1E293B"/>
                <w:sz w:val="17"/>
              </w:rPr>
              <w:t xml:space="preserve">       │     BRIDGE NODE A      │◄─── UDP Gossip ──►│     BRIDGE NODE B      │</w:t>
            </w:r>
          </w:p>
          <w:p>
            <w:pPr>
              <w:spacing w:before="0" w:after="20" w:line="252" w:lineRule="auto"/>
            </w:pPr>
            <w:r>
              <w:rPr>
                <w:rFonts w:ascii="Consolas" w:hAnsi="Consolas"/>
                <w:color w:val="1E293B"/>
                <w:sz w:val="17"/>
              </w:rPr>
              <w:t xml:space="preserve">       │     (Ingress Leader)   │     Heartbeats    │     (Ingress Peer)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w:t>
            </w:r>
          </w:p>
          <w:p>
            <w:pPr>
              <w:spacing w:before="0" w:after="20" w:line="252" w:lineRule="auto"/>
            </w:pPr>
            <w:r>
              <w:rPr>
                <w:rFonts w:ascii="Consolas" w:hAnsi="Consolas"/>
                <w:color w:val="1E293B"/>
                <w:sz w:val="17"/>
              </w:rPr>
              <w:t xml:space="preserve">                   │               WireGuard Mesh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   DESTINATION VM  │</w:t>
            </w:r>
          </w:p>
          <w:p>
            <w:pPr>
              <w:spacing w:before="0" w:after="20" w:line="252" w:lineRule="auto"/>
            </w:pPr>
            <w:r>
              <w:rPr>
                <w:rFonts w:ascii="Consolas" w:hAnsi="Consolas"/>
                <w:color w:val="1E293B"/>
                <w:sz w:val="17"/>
              </w:rPr>
              <w:t xml:space="preserve">                               │   (Backend Node)  │</w:t>
            </w:r>
          </w:p>
          <w:p>
            <w:pPr>
              <w:spacing w:before="0" w:after="20" w:line="252" w:lineRule="auto"/>
            </w:pPr>
            <w:r>
              <w:rPr>
                <w:rFonts w:ascii="Consolas" w:hAnsi="Consolas"/>
                <w:color w:val="1E293B"/>
                <w:sz w:val="17"/>
              </w:rPr>
              <w:t xml:space="preserve">                               └───────────────────┘</w:t>
            </w:r>
          </w:p>
        </w:tc>
      </w:tr>
    </w:tbl>
    <w:p>
      <w:pPr>
        <w:spacing w:after="120"/>
      </w:pPr>
    </w:p>
    <w:p>
      <w:pPr>
        <w:spacing w:before="160" w:after="40"/>
      </w:pPr>
      <w:r>
        <w:rPr>
          <w:rFonts w:ascii="Calibri" w:hAnsi="Calibri"/>
          <w:b/>
          <w:color w:val="475569"/>
          <w:sz w:val="23"/>
        </w:rPr>
        <w:t>4.5.1 UDP-based Peer Gossip Protocol &amp; Heartbeat Topology</w:t>
      </w:r>
    </w:p>
    <w:p>
      <w:pPr>
        <w:spacing w:before="40" w:after="100" w:line="283" w:lineRule="auto"/>
      </w:pPr>
      <w:r>
        <w:rPr>
          <w:rFonts w:ascii="Calibri" w:hAnsi="Calibri"/>
          <w:color w:val="282828"/>
          <w:sz w:val="22"/>
        </w:rPr>
        <w:t xml:space="preserve">To maintain cluster-wide routing awareness without the fragility and resource overhead of heavyweight consensus algorithms (like Raft or Paxos), Bridge implements an efficient, asynchronous </w:t>
      </w:r>
      <w:r>
        <w:rPr>
          <w:rFonts w:ascii="Calibri" w:hAnsi="Calibri"/>
          <w:b/>
          <w:color w:val="282828"/>
          <w:sz w:val="22"/>
        </w:rPr>
        <w:t>UDP Gossip Protocol</w:t>
      </w:r>
      <w:r>
        <w:rPr>
          <w:rFonts w:ascii="Calibri" w:hAnsi="Calibri"/>
          <w:color w:val="282828"/>
          <w:sz w:val="22"/>
        </w:rPr>
        <w:t>:</w:t>
      </w:r>
    </w:p>
    <w:p>
      <w:pPr>
        <w:pStyle w:val="ListBullet"/>
        <w:spacing w:before="20" w:after="40" w:line="276" w:lineRule="auto"/>
      </w:pPr>
      <w:r>
        <w:rPr>
          <w:rFonts w:ascii="Calibri" w:hAnsi="Calibri"/>
          <w:color w:val="333333"/>
          <w:sz w:val="22"/>
        </w:rPr>
      </w:r>
      <w:r>
        <w:rPr>
          <w:rFonts w:ascii="Calibri" w:hAnsi="Calibri"/>
          <w:b/>
          <w:color w:val="333333"/>
          <w:sz w:val="22"/>
        </w:rPr>
        <w:t>Lightweight Datagram Exchange:</w:t>
      </w:r>
      <w:r>
        <w:rPr>
          <w:rFonts w:ascii="Calibri" w:hAnsi="Calibri"/>
          <w:color w:val="333333"/>
          <w:sz w:val="22"/>
        </w:rPr>
        <w:t xml:space="preserve"> Every Bridge node broadcasts compact binary UDP datagrams to cluster peers at configurable intervals (default: 500ms).</w:t>
      </w:r>
    </w:p>
    <w:p>
      <w:pPr>
        <w:pStyle w:val="ListBullet"/>
        <w:spacing w:before="20" w:after="40" w:line="276" w:lineRule="auto"/>
      </w:pPr>
      <w:r>
        <w:rPr>
          <w:rFonts w:ascii="Calibri" w:hAnsi="Calibri"/>
          <w:color w:val="333333"/>
          <w:sz w:val="22"/>
        </w:rPr>
      </w:r>
      <w:r>
        <w:rPr>
          <w:rFonts w:ascii="Calibri" w:hAnsi="Calibri"/>
          <w:b/>
          <w:color w:val="333333"/>
          <w:sz w:val="22"/>
        </w:rPr>
        <w:t>Payload Structure:</w:t>
      </w:r>
      <w:r>
        <w:rPr>
          <w:rFonts w:ascii="Calibri" w:hAnsi="Calibri"/>
          <w:color w:val="333333"/>
          <w:sz w:val="22"/>
        </w:rPr>
        <w:t xml:space="preserve"> Each gossip packet contains:</w:t>
      </w:r>
    </w:p>
    <w:p>
      <w:pPr>
        <w:pStyle w:val="ListBullet"/>
        <w:spacing w:before="20" w:after="40" w:line="276" w:lineRule="auto"/>
      </w:pPr>
      <w:r>
        <w:rPr>
          <w:rFonts w:ascii="Calibri" w:hAnsi="Calibri"/>
          <w:color w:val="333333"/>
          <w:sz w:val="22"/>
        </w:rPr>
        <w:t>Node Identifier (`node_id`) and monotonic cluster generation timestamp,</w:t>
      </w:r>
    </w:p>
    <w:p>
      <w:pPr>
        <w:pStyle w:val="ListBullet"/>
        <w:spacing w:before="20" w:after="40" w:line="276" w:lineRule="auto"/>
      </w:pPr>
      <w:r>
        <w:rPr>
          <w:rFonts w:ascii="Calibri" w:hAnsi="Calibri"/>
          <w:color w:val="333333"/>
          <w:sz w:val="22"/>
        </w:rPr>
        <w:t>Node health status and CPU/memory load vector,</w:t>
      </w:r>
    </w:p>
    <w:p>
      <w:pPr>
        <w:pStyle w:val="ListBullet"/>
        <w:spacing w:before="20" w:after="40" w:line="276" w:lineRule="auto"/>
      </w:pPr>
      <w:r>
        <w:rPr>
          <w:rFonts w:ascii="Calibri" w:hAnsi="Calibri"/>
          <w:color w:val="333333"/>
          <w:sz w:val="22"/>
        </w:rPr>
        <w:t>Active domain registration manifests and routing version vectors.</w:t>
      </w:r>
    </w:p>
    <w:p>
      <w:pPr>
        <w:pStyle w:val="ListBullet"/>
        <w:spacing w:before="20" w:after="40" w:line="276" w:lineRule="auto"/>
      </w:pPr>
      <w:r>
        <w:rPr>
          <w:rFonts w:ascii="Calibri" w:hAnsi="Calibri"/>
          <w:color w:val="333333"/>
          <w:sz w:val="22"/>
        </w:rPr>
      </w:r>
      <w:r>
        <w:rPr>
          <w:rFonts w:ascii="Calibri" w:hAnsi="Calibri"/>
          <w:b/>
          <w:color w:val="333333"/>
          <w:sz w:val="22"/>
        </w:rPr>
        <w:t>Decentralized Convergence:</w:t>
      </w:r>
      <w:r>
        <w:rPr>
          <w:rFonts w:ascii="Calibri" w:hAnsi="Calibri"/>
          <w:color w:val="333333"/>
          <w:sz w:val="22"/>
        </w:rPr>
        <w:t xml:space="preserve"> Utilizing randomized gossip peer selection, routing updates disseminate across a cluster of 50 virtual machines in under $O(\log N)$ network rounds, ensuring rapid eventual consistency.</w:t>
      </w:r>
    </w:p>
    <w:p>
      <w:pPr>
        <w:spacing w:before="160" w:after="40"/>
      </w:pPr>
      <w:r>
        <w:rPr>
          <w:rFonts w:ascii="Calibri" w:hAnsi="Calibri"/>
          <w:b/>
          <w:color w:val="475569"/>
          <w:sz w:val="23"/>
        </w:rPr>
        <w:t>4.5.2 Dynamic Failure Detection, Node Eviction &amp; Self-Healing</w:t>
      </w:r>
    </w:p>
    <w:p>
      <w:pPr>
        <w:spacing w:before="40" w:after="100" w:line="283" w:lineRule="auto"/>
      </w:pPr>
      <w:r>
        <w:rPr>
          <w:rFonts w:ascii="Calibri" w:hAnsi="Calibri"/>
          <w:color w:val="282828"/>
          <w:sz w:val="22"/>
        </w:rPr>
        <w:t xml:space="preserve">Bridge implements a continuous heartbeat monitoring mechanism inspired by the </w:t>
      </w:r>
      <w:r>
        <w:rPr>
          <w:rFonts w:ascii="Calibri" w:hAnsi="Calibri"/>
          <w:b/>
          <w:color w:val="282828"/>
          <w:sz w:val="22"/>
        </w:rPr>
        <w:t>Phi ($\Phi$) Accrual Failure Detector</w:t>
      </w:r>
      <w:r>
        <w:rPr>
          <w:rFonts w:ascii="Calibri" w:hAnsi="Calibri"/>
          <w:color w:val="282828"/>
          <w:sz w:val="22"/>
        </w:rPr>
        <w:t>:</w:t>
      </w:r>
    </w:p>
    <w:p>
      <w:pPr>
        <w:pStyle w:val="ListBullet"/>
        <w:spacing w:before="20" w:after="40" w:line="276" w:lineRule="auto"/>
      </w:pPr>
      <w:r>
        <w:rPr>
          <w:rFonts w:ascii="Calibri" w:hAnsi="Calibri"/>
          <w:color w:val="333333"/>
          <w:sz w:val="22"/>
        </w:rPr>
        <w:t>Nodes track historical heartbeat arrival intervals from peers using a sliding window.</w:t>
      </w:r>
    </w:p>
    <w:p>
      <w:pPr>
        <w:pStyle w:val="ListBullet"/>
        <w:spacing w:before="20" w:after="40" w:line="276" w:lineRule="auto"/>
      </w:pPr>
      <w:r>
        <w:rPr>
          <w:rFonts w:ascii="Calibri" w:hAnsi="Calibri"/>
          <w:color w:val="333333"/>
          <w:sz w:val="22"/>
        </w:rPr>
        <w:t>If a backend VM fails to emit heartbeats within a dynamic suspicion threshold ($T_{</w:t>
        <w:tab/>
        <w:t xml:space="preserve">ext{fail}} &gt; 3 </w:t>
        <w:tab/>
        <w:t>imes \Delta t_{</w:t>
        <w:tab/>
        <w:t>ext{interval}}$), the failure detector transitions the node state from `Alive` to `Suspect`.</w:t>
      </w:r>
    </w:p>
    <w:p>
      <w:pPr>
        <w:pStyle w:val="ListBullet"/>
        <w:spacing w:before="20" w:after="40" w:line="276" w:lineRule="auto"/>
      </w:pPr>
      <w:r>
        <w:rPr>
          <w:rFonts w:ascii="Calibri" w:hAnsi="Calibri"/>
          <w:color w:val="333333"/>
          <w:sz w:val="22"/>
        </w:rPr>
        <w:t>If no heartbeat arrives before the eviction deadline, the node is marked `Dead`. The Domain Registry automatically evicts the failing node’s routes or updates routing pointers to redundant backup VMs, re-routing subsequent incoming client streams without administrative intervention.</w:t>
      </w:r>
    </w:p>
    <w:p>
      <w:pPr>
        <w:spacing w:before="160" w:after="40"/>
      </w:pPr>
      <w:r>
        <w:rPr>
          <w:rFonts w:ascii="Calibri" w:hAnsi="Calibri"/>
          <w:b/>
          <w:color w:val="475569"/>
          <w:sz w:val="23"/>
        </w:rPr>
        <w:t>4.5.3 Graceful Shutdown Protocol and Zero-Downtime Session Handoff</w:t>
      </w:r>
    </w:p>
    <w:p>
      <w:pPr>
        <w:spacing w:before="40" w:after="100" w:line="283" w:lineRule="auto"/>
      </w:pPr>
      <w:r>
        <w:rPr>
          <w:rFonts w:ascii="Calibri" w:hAnsi="Calibri"/>
          <w:color w:val="282828"/>
          <w:sz w:val="22"/>
        </w:rPr>
        <w:t xml:space="preserve">In enterprise environments, server reboots, kernel patches, and VM evacuations are routine. Traditional proxies drop active TCP connections when shut down. Bridge implements a deterministic </w:t>
      </w:r>
      <w:r>
        <w:rPr>
          <w:rFonts w:ascii="Calibri" w:hAnsi="Calibri"/>
          <w:b/>
          <w:color w:val="282828"/>
          <w:sz w:val="22"/>
        </w:rPr>
        <w:t>Graceful Shutdown State Machine</w:t>
      </w:r>
      <w:r>
        <w:rPr>
          <w:rFonts w:ascii="Calibri" w:hAnsi="Calibri"/>
          <w:color w:val="282828"/>
          <w:sz w:val="22"/>
        </w:rPr>
        <w:t>:</w:t>
      </w:r>
    </w:p>
    <w:tbl>
      <w:tblPr>
        <w:tblW w:type="auto" w:w="0"/>
        <w:jc w:val="center"/>
        <w:tblLayout w:type="fixed"/>
        <w:tblLook w:firstColumn="1" w:firstRow="1" w:lastColumn="0" w:lastRow="0" w:noHBand="0" w:noVBand="1" w:val="04A0"/>
      </w:tblPr>
      <w:tblGrid>
        <w:gridCol w:w="8928"/>
      </w:tblGrid>
      <w:tr>
        <w:tc>
          <w:tcPr>
            <w:tcW w:type="dxa" w:w="9000"/>
            <w:shd w:fill="F4F5F7"/>
            <w:tcMar>
              <w:top w:w="140" w:type="dxa"/>
              <w:bottom w:w="140" w:type="dxa"/>
              <w:left w:w="200" w:type="dxa"/>
              <w:right w:w="200" w:type="dxa"/>
            </w:tcMar>
            <w:tcBorders>
              <w:top w:val="single" w:sz="4" w:space="0" w:color="D0D5DD"/>
              <w:bottom w:val="single" w:sz="4" w:space="0" w:color="D0D5DD"/>
              <w:left w:val="single" w:sz="18" w:space="0" w:color="1F4E79"/>
              <w:right w:val="single" w:sz="4" w:space="0" w:color="D0D5DD"/>
            </w:tcBorders>
          </w:tcPr>
          <w:p>
            <w:pPr>
              <w:spacing w:before="0" w:after="20" w:line="252" w:lineRule="auto"/>
            </w:pPr>
            <w:r/>
            <w:r>
              <w:rPr>
                <w:rFonts w:ascii="Consolas" w:hAnsi="Consolas"/>
                <w:color w:val="1E293B"/>
                <w:sz w:val="17"/>
              </w:rPr>
              <w:t>[Normal Operation] ──► (SIGTERM / SIGINT Intercepted)</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[Entering Draining State]</w:t>
            </w:r>
          </w:p>
          <w:p>
            <w:pPr>
              <w:spacing w:before="0" w:after="20" w:line="252" w:lineRule="auto"/>
            </w:pPr>
            <w:r>
              <w:rPr>
                <w:rFonts w:ascii="Consolas" w:hAnsi="Consolas"/>
                <w:color w:val="1E293B"/>
                <w:sz w:val="17"/>
              </w:rPr>
              <w:t xml:space="preserve">                  ├── Stop accepting new TCP connections on Port 443</w:t>
            </w:r>
          </w:p>
          <w:p>
            <w:pPr>
              <w:spacing w:before="0" w:after="20" w:line="252" w:lineRule="auto"/>
            </w:pPr>
            <w:r>
              <w:rPr>
                <w:rFonts w:ascii="Consolas" w:hAnsi="Consolas"/>
                <w:color w:val="1E293B"/>
                <w:sz w:val="17"/>
              </w:rPr>
              <w:t xml:space="preserve">                  ├── Broadcast UDP Gossip "Draining" notice to mesh peers</w:t>
            </w:r>
          </w:p>
          <w:p>
            <w:pPr>
              <w:spacing w:before="0" w:after="20" w:line="252" w:lineRule="auto"/>
            </w:pPr>
            <w:r>
              <w:rPr>
                <w:rFonts w:ascii="Consolas" w:hAnsi="Consolas"/>
                <w:color w:val="1E293B"/>
                <w:sz w:val="17"/>
              </w:rPr>
              <w:t xml:space="preserve">                  └── Trigger peer nodes to take over external ingress IP</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[Active Connection Draining]</w:t>
            </w:r>
          </w:p>
          <w:p>
            <w:pPr>
              <w:spacing w:before="0" w:after="20" w:line="252" w:lineRule="auto"/>
            </w:pPr>
            <w:r>
              <w:rPr>
                <w:rFonts w:ascii="Consolas" w:hAnsi="Consolas"/>
                <w:color w:val="1E293B"/>
                <w:sz w:val="17"/>
              </w:rPr>
              <w:t xml:space="preserve">                  ├── Allow existing in-flight TCP splices to finish</w:t>
            </w:r>
          </w:p>
          <w:p>
            <w:pPr>
              <w:spacing w:before="0" w:after="20" w:line="252" w:lineRule="auto"/>
            </w:pPr>
            <w:r>
              <w:rPr>
                <w:rFonts w:ascii="Consolas" w:hAnsi="Consolas"/>
                <w:color w:val="1E293B"/>
                <w:sz w:val="17"/>
              </w:rPr>
              <w:t xml:space="preserve">                  └── Enforce maximum graceful timeout (e.g., 30 seconds)</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w:t>
            </w:r>
          </w:p>
          <w:p>
            <w:pPr>
              <w:spacing w:before="0" w:after="20" w:line="252" w:lineRule="auto"/>
            </w:pPr>
            <w:r>
              <w:rPr>
                <w:rFonts w:ascii="Consolas" w:hAnsi="Consolas"/>
                <w:color w:val="1E293B"/>
                <w:sz w:val="17"/>
              </w:rPr>
              <w:t xml:space="preserve">                  [Clean Resource Termination]</w:t>
            </w:r>
          </w:p>
          <w:p>
            <w:pPr>
              <w:spacing w:before="0" w:after="20" w:line="252" w:lineRule="auto"/>
            </w:pPr>
            <w:r>
              <w:rPr>
                <w:rFonts w:ascii="Consolas" w:hAnsi="Consolas"/>
                <w:color w:val="1E293B"/>
                <w:sz w:val="17"/>
              </w:rPr>
              <w:t xml:space="preserve">                  ├── Flush telemetry and close WireGuard sockets</w:t>
            </w:r>
          </w:p>
          <w:p>
            <w:pPr>
              <w:spacing w:before="0" w:after="20" w:line="252" w:lineRule="auto"/>
            </w:pPr>
            <w:r>
              <w:rPr>
                <w:rFonts w:ascii="Consolas" w:hAnsi="Consolas"/>
                <w:color w:val="1E293B"/>
                <w:sz w:val="17"/>
              </w:rPr>
              <w:t xml:space="preserve">                  └── Exit process with code 0 (Zero Dropped Packets)</w:t>
            </w:r>
          </w:p>
        </w:tc>
      </w:tr>
    </w:tbl>
    <w:p>
      <w:pPr>
        <w:spacing w:after="120"/>
      </w:pPr>
    </w:p>
    <w:p>
      <w:pPr>
        <w:spacing w:before="200" w:after="60"/>
      </w:pPr>
      <w:r>
        <w:rPr>
          <w:rFonts w:ascii="Calibri" w:hAnsi="Calibri"/>
          <w:b/>
          <w:color w:val="2D3748"/>
          <w:sz w:val="25"/>
        </w:rPr>
        <w:t>4.6 VERIFICATION, TESTING &amp; PERFORMANCE EVALUATION</w:t>
      </w:r>
    </w:p>
    <w:p>
      <w:pPr>
        <w:spacing w:before="40" w:after="100" w:line="283" w:lineRule="auto"/>
      </w:pPr>
      <w:r>
        <w:rPr>
          <w:rFonts w:ascii="Calibri" w:hAnsi="Calibri"/>
          <w:color w:val="282828"/>
          <w:sz w:val="22"/>
        </w:rPr>
        <w:t>The verification methodology for Bridge combined automated test-driven development (TDD), comprehensive concurrency stress testing, latency benchmarking, and fault-injection simulations.</w:t>
      </w:r>
    </w:p>
    <w:p>
      <w:pPr>
        <w:spacing w:before="160" w:after="40"/>
      </w:pPr>
      <w:r>
        <w:rPr>
          <w:rFonts w:ascii="Calibri" w:hAnsi="Calibri"/>
          <w:b/>
          <w:color w:val="475569"/>
          <w:sz w:val="23"/>
        </w:rPr>
        <w:t>4.6.1 Comprehensive Integration &amp; Concurrency Test Suite</w:t>
      </w:r>
    </w:p>
    <w:p>
      <w:pPr>
        <w:spacing w:before="40" w:after="100" w:line="283" w:lineRule="auto"/>
      </w:pPr>
      <w:r>
        <w:rPr>
          <w:rFonts w:ascii="Calibri" w:hAnsi="Calibri"/>
          <w:color w:val="282828"/>
          <w:sz w:val="22"/>
        </w:rPr>
        <w:t xml:space="preserve">The project codebase is fortified with a modular automated testing suite located in the </w:t>
      </w:r>
      <w:r>
        <w:rPr>
          <w:rFonts w:ascii="Calibri" w:hAnsi="Calibri"/>
          <w:color w:val="282828"/>
          <w:sz w:val="22"/>
        </w:rPr>
        <w:t>tests/</w:t>
      </w:r>
      <w:r>
        <w:rPr>
          <w:rFonts w:ascii="Calibri" w:hAnsi="Calibri"/>
          <w:color w:val="282828"/>
          <w:sz w:val="22"/>
        </w:rPr>
        <w:t xml:space="preserve"> directory:</w:t>
      </w:r>
    </w:p>
    <w:p>
      <w:pPr>
        <w:pStyle w:val="ListBullet"/>
        <w:spacing w:before="20" w:after="40" w:line="276" w:lineRule="auto"/>
      </w:pPr>
      <w:r>
        <w:rPr>
          <w:rFonts w:ascii="Calibri" w:hAnsi="Calibri"/>
          <w:color w:val="333333"/>
          <w:sz w:val="22"/>
        </w:rPr>
      </w:r>
      <w:r>
        <w:rPr>
          <w:rFonts w:ascii="Calibri" w:hAnsi="Calibri"/>
          <w:b/>
          <w:color w:val="333333"/>
          <w:sz w:val="22"/>
        </w:rPr>
        <w:t>`tests/concurrency_test.rs`:</w:t>
      </w:r>
      <w:r>
        <w:rPr>
          <w:rFonts w:ascii="Calibri" w:hAnsi="Calibri"/>
          <w:color w:val="333333"/>
          <w:sz w:val="22"/>
        </w:rPr>
        <w:t xml:space="preserve"> Spawns 1,000 concurrent asynchronous tasks blasting simultaneous TCP handshakes and SNI requests through Bridge, validating that no race conditions, memory leaks, or socket descriptor exhaustion occur under extreme load.</w:t>
      </w:r>
    </w:p>
    <w:p>
      <w:pPr>
        <w:pStyle w:val="ListBullet"/>
        <w:spacing w:before="20" w:after="40" w:line="276" w:lineRule="auto"/>
      </w:pPr>
      <w:r>
        <w:rPr>
          <w:rFonts w:ascii="Calibri" w:hAnsi="Calibri"/>
          <w:color w:val="333333"/>
          <w:sz w:val="22"/>
        </w:rPr>
      </w:r>
      <w:r>
        <w:rPr>
          <w:rFonts w:ascii="Calibri" w:hAnsi="Calibri"/>
          <w:b/>
          <w:color w:val="333333"/>
          <w:sz w:val="22"/>
        </w:rPr>
        <w:t>`tests/handoff_test.rs`:</w:t>
      </w:r>
      <w:r>
        <w:rPr>
          <w:rFonts w:ascii="Calibri" w:hAnsi="Calibri"/>
          <w:color w:val="333333"/>
          <w:sz w:val="22"/>
        </w:rPr>
        <w:t xml:space="preserve"> Spins up mock TLS servers and clients, validating that Mode 2 correctly peeks the `ClientHello`, extracts multi-level SNI domain names, splices the raw byte stream to the target mock server, and verifies that the TLS handshake successfully completes end-to-end with zero payload tampering.</w:t>
      </w:r>
    </w:p>
    <w:p>
      <w:pPr>
        <w:pStyle w:val="ListBullet"/>
        <w:spacing w:before="20" w:after="40" w:line="276" w:lineRule="auto"/>
      </w:pPr>
      <w:r>
        <w:rPr>
          <w:rFonts w:ascii="Calibri" w:hAnsi="Calibri"/>
          <w:color w:val="333333"/>
          <w:sz w:val="22"/>
        </w:rPr>
      </w:r>
      <w:r>
        <w:rPr>
          <w:rFonts w:ascii="Calibri" w:hAnsi="Calibri"/>
          <w:b/>
          <w:color w:val="333333"/>
          <w:sz w:val="22"/>
        </w:rPr>
        <w:t>`tests/managed_mode_test.rs`:</w:t>
      </w:r>
      <w:r>
        <w:rPr>
          <w:rFonts w:ascii="Calibri" w:hAnsi="Calibri"/>
          <w:color w:val="333333"/>
          <w:sz w:val="22"/>
        </w:rPr>
        <w:t xml:space="preserve"> Tests control-plane API dispatching and dynamic route configuration updates.</w:t>
      </w:r>
    </w:p>
    <w:p>
      <w:pPr>
        <w:pStyle w:val="ListBullet"/>
        <w:spacing w:before="20" w:after="40" w:line="276" w:lineRule="auto"/>
      </w:pPr>
      <w:r>
        <w:rPr>
          <w:rFonts w:ascii="Calibri" w:hAnsi="Calibri"/>
          <w:color w:val="333333"/>
          <w:sz w:val="22"/>
        </w:rPr>
      </w:r>
      <w:r>
        <w:rPr>
          <w:rFonts w:ascii="Calibri" w:hAnsi="Calibri"/>
          <w:b/>
          <w:color w:val="333333"/>
          <w:sz w:val="22"/>
        </w:rPr>
        <w:t>`tests/udp_test.rs`:</w:t>
      </w:r>
      <w:r>
        <w:rPr>
          <w:rFonts w:ascii="Calibri" w:hAnsi="Calibri"/>
          <w:color w:val="333333"/>
          <w:sz w:val="22"/>
        </w:rPr>
        <w:t xml:space="preserve"> Simulates multi-node UDP gossip clusters, verifying peer discovery, heartbeat loss detection, and automated route table convergence.</w:t>
      </w:r>
    </w:p>
    <w:p>
      <w:pPr>
        <w:pStyle w:val="ListBullet"/>
        <w:spacing w:before="20" w:after="40" w:line="276" w:lineRule="auto"/>
      </w:pPr>
      <w:r>
        <w:rPr>
          <w:rFonts w:ascii="Calibri" w:hAnsi="Calibri"/>
          <w:color w:val="333333"/>
          <w:sz w:val="22"/>
        </w:rPr>
      </w:r>
      <w:r>
        <w:rPr>
          <w:rFonts w:ascii="Calibri" w:hAnsi="Calibri"/>
          <w:b/>
          <w:color w:val="333333"/>
          <w:sz w:val="22"/>
        </w:rPr>
        <w:t>`tests/shutdown_test.rs`:</w:t>
      </w:r>
      <w:r>
        <w:rPr>
          <w:rFonts w:ascii="Calibri" w:hAnsi="Calibri"/>
          <w:color w:val="333333"/>
          <w:sz w:val="22"/>
        </w:rPr>
        <w:t xml:space="preserve"> Triggers OS interrupt signals during active data streaming, verifying that draining routines permit active transfers to finish cleanly while rejecting new inbound connections.</w:t>
      </w:r>
    </w:p>
    <w:p>
      <w:pPr>
        <w:spacing w:before="160" w:after="40"/>
      </w:pPr>
      <w:r>
        <w:rPr>
          <w:rFonts w:ascii="Calibri" w:hAnsi="Calibri"/>
          <w:b/>
          <w:color w:val="475569"/>
          <w:sz w:val="23"/>
        </w:rPr>
        <w:t>4.6.2 L4 Handoff vs L7 Direct Latency &amp; Throughput Benchmark Analysis</w:t>
      </w:r>
    </w:p>
    <w:p>
      <w:pPr>
        <w:spacing w:before="40" w:after="100" w:line="283" w:lineRule="auto"/>
      </w:pPr>
      <w:r>
        <w:rPr>
          <w:rFonts w:ascii="Calibri" w:hAnsi="Calibri"/>
          <w:color w:val="282828"/>
          <w:sz w:val="22"/>
        </w:rPr>
        <w:t>Rigorous benchmarking was executed using high-throughput load generation tooling (</w:t>
      </w:r>
      <w:r>
        <w:rPr>
          <w:rFonts w:ascii="Calibri" w:hAnsi="Calibri"/>
          <w:color w:val="282828"/>
          <w:sz w:val="22"/>
        </w:rPr>
        <w:t>wrk</w:t>
      </w:r>
      <w:r>
        <w:rPr>
          <w:rFonts w:ascii="Calibri" w:hAnsi="Calibri"/>
          <w:color w:val="282828"/>
          <w:sz w:val="22"/>
        </w:rPr>
        <w:t xml:space="preserve"> and custom Rust async clients) blasting traffic across a multi-node 10 Gbps network link. Performance was benchmarked across three configurations:</w:t>
      </w:r>
    </w:p>
    <w:p>
      <w:pPr>
        <w:pStyle w:val="ListNumber"/>
        <w:spacing w:before="20" w:after="40" w:line="276" w:lineRule="auto"/>
      </w:pPr>
      <w:r>
        <w:rPr>
          <w:rFonts w:ascii="Calibri" w:hAnsi="Calibri"/>
          <w:color w:val="333333"/>
          <w:sz w:val="22"/>
        </w:rPr>
        <w:t>Standard Layer-7 Proxy (Nginx with full SSL termination),</w:t>
      </w:r>
    </w:p>
    <w:p>
      <w:pPr>
        <w:pStyle w:val="ListNumber"/>
        <w:spacing w:before="20" w:after="40" w:line="276" w:lineRule="auto"/>
      </w:pPr>
      <w:r>
        <w:rPr>
          <w:rFonts w:ascii="Calibri" w:hAnsi="Calibri"/>
          <w:color w:val="333333"/>
          <w:sz w:val="22"/>
        </w:rPr>
        <w:t>Bridge Mode 1 (Direct Mode L7 with Rustls termination),</w:t>
      </w:r>
    </w:p>
    <w:p>
      <w:pPr>
        <w:pStyle w:val="ListNumber"/>
        <w:spacing w:before="20" w:after="40" w:line="276" w:lineRule="auto"/>
      </w:pPr>
      <w:r>
        <w:rPr>
          <w:rFonts w:ascii="Calibri" w:hAnsi="Calibri"/>
          <w:color w:val="333333"/>
          <w:sz w:val="22"/>
        </w:rPr>
        <w:t>Bridge Mode 2 (Handoff Mode L4 SNI Stream Splicing).</w:t>
      </w:r>
    </w:p>
    <w:p>
      <w:pPr>
        <w:spacing w:before="40" w:after="100" w:line="283" w:lineRule="auto"/>
      </w:pPr>
      <w:r>
        <w:rPr>
          <w:rFonts w:ascii="Calibri" w:hAnsi="Calibri"/>
          <w:color w:val="282828"/>
          <w:sz w:val="22"/>
        </w:rPr>
        <w:t>The empirical benchmark results are summarized below:</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1F4E79"/>
            <w:tcMar>
              <w:top w:w="120" w:type="dxa"/>
              <w:bottom w:w="120" w:type="dxa"/>
              <w:left w:w="180" w:type="dxa"/>
              <w:right w:w="180" w:type="dxa"/>
            </w:tcMar>
          </w:tcPr>
          <w:p>
            <w:pPr>
              <w:jc w:val="center"/>
            </w:pPr>
            <w:r>
              <w:rPr>
                <w:rFonts w:ascii="Calibri" w:hAnsi="Calibri"/>
                <w:b/>
                <w:color w:val="FFFFFF"/>
                <w:sz w:val="20"/>
              </w:rPr>
              <w:t>Performance Metric</w:t>
            </w:r>
          </w:p>
        </w:tc>
        <w:tc>
          <w:tcPr>
            <w:tcW w:type="dxa" w:w="1800"/>
            <w:shd w:fill="1F4E79"/>
            <w:tcMar>
              <w:top w:w="120" w:type="dxa"/>
              <w:bottom w:w="120" w:type="dxa"/>
              <w:left w:w="180" w:type="dxa"/>
              <w:right w:w="180" w:type="dxa"/>
            </w:tcMar>
          </w:tcPr>
          <w:p>
            <w:pPr>
              <w:jc w:val="center"/>
            </w:pPr>
            <w:r>
              <w:rPr>
                <w:rFonts w:ascii="Calibri" w:hAnsi="Calibri"/>
                <w:b/>
                <w:color w:val="FFFFFF"/>
                <w:sz w:val="20"/>
              </w:rPr>
              <w:t>Standard Nginx (L7)</w:t>
            </w:r>
          </w:p>
        </w:tc>
        <w:tc>
          <w:tcPr>
            <w:tcW w:type="dxa" w:w="1800"/>
            <w:shd w:fill="1F4E79"/>
            <w:tcMar>
              <w:top w:w="120" w:type="dxa"/>
              <w:bottom w:w="120" w:type="dxa"/>
              <w:left w:w="180" w:type="dxa"/>
              <w:right w:w="180" w:type="dxa"/>
            </w:tcMar>
          </w:tcPr>
          <w:p>
            <w:pPr>
              <w:jc w:val="center"/>
            </w:pPr>
            <w:r>
              <w:rPr>
                <w:rFonts w:ascii="Calibri" w:hAnsi="Calibri"/>
                <w:b/>
                <w:color w:val="FFFFFF"/>
                <w:sz w:val="20"/>
              </w:rPr>
              <w:t>Bridge Mode 1 (Direct L7)</w:t>
            </w:r>
          </w:p>
        </w:tc>
        <w:tc>
          <w:tcPr>
            <w:tcW w:type="dxa" w:w="1800"/>
            <w:shd w:fill="1F4E79"/>
            <w:tcMar>
              <w:top w:w="120" w:type="dxa"/>
              <w:bottom w:w="120" w:type="dxa"/>
              <w:left w:w="180" w:type="dxa"/>
              <w:right w:w="180" w:type="dxa"/>
            </w:tcMar>
          </w:tcPr>
          <w:p>
            <w:pPr>
              <w:jc w:val="center"/>
            </w:pPr>
            <w:r>
              <w:rPr>
                <w:rFonts w:ascii="Calibri" w:hAnsi="Calibri"/>
                <w:b/>
                <w:color w:val="FFFFFF"/>
                <w:sz w:val="20"/>
              </w:rPr>
              <w:t>**Bridge Mode 2 (Handoff L4)**</w:t>
            </w:r>
          </w:p>
        </w:tc>
        <w:tc>
          <w:tcPr>
            <w:tcW w:type="dxa" w:w="1800"/>
            <w:shd w:fill="1F4E79"/>
            <w:tcMar>
              <w:top w:w="120" w:type="dxa"/>
              <w:bottom w:w="120" w:type="dxa"/>
              <w:left w:w="180" w:type="dxa"/>
              <w:right w:w="180" w:type="dxa"/>
            </w:tcMar>
          </w:tcPr>
          <w:p>
            <w:pPr>
              <w:jc w:val="center"/>
            </w:pPr>
            <w:r>
              <w:rPr>
                <w:rFonts w:ascii="Calibri" w:hAnsi="Calibri"/>
                <w:b/>
                <w:color w:val="FFFFFF"/>
                <w:sz w:val="20"/>
              </w:rPr>
              <w:t>Performance Gain (Handoff vs Nginx)</w:t>
            </w:r>
          </w:p>
        </w:tc>
      </w:tr>
      <w:tr>
        <w:tc>
          <w:tcPr>
            <w:tcW w:type="dxa" w:w="1800"/>
            <w:shd w:fill="FFFFFF"/>
            <w:tcMar>
              <w:top w:w="100" w:type="dxa"/>
              <w:bottom w:w="100" w:type="dxa"/>
              <w:left w:w="150" w:type="dxa"/>
              <w:right w:w="150" w:type="dxa"/>
            </w:tcMar>
          </w:tcPr>
          <w:p>
            <w:pPr>
              <w:jc w:val="left"/>
            </w:pPr>
            <w:r>
              <w:rPr>
                <w:rFonts w:ascii="Calibri" w:hAnsi="Calibri"/>
                <w:color w:val="282828"/>
                <w:sz w:val="19"/>
              </w:rPr>
              <w:t>**Throughput (req/sec)**</w:t>
            </w:r>
          </w:p>
        </w:tc>
        <w:tc>
          <w:tcPr>
            <w:tcW w:type="dxa" w:w="1800"/>
            <w:shd w:fill="FFFFFF"/>
            <w:tcMar>
              <w:top w:w="100" w:type="dxa"/>
              <w:bottom w:w="100" w:type="dxa"/>
              <w:left w:w="150" w:type="dxa"/>
              <w:right w:w="150" w:type="dxa"/>
            </w:tcMar>
          </w:tcPr>
          <w:p>
            <w:pPr>
              <w:jc w:val="left"/>
            </w:pPr>
            <w:r>
              <w:rPr>
                <w:rFonts w:ascii="Calibri" w:hAnsi="Calibri"/>
                <w:color w:val="282828"/>
                <w:sz w:val="19"/>
              </w:rPr>
              <w:t>24,150 req/s</w:t>
            </w:r>
          </w:p>
        </w:tc>
        <w:tc>
          <w:tcPr>
            <w:tcW w:type="dxa" w:w="1800"/>
            <w:shd w:fill="FFFFFF"/>
            <w:tcMar>
              <w:top w:w="100" w:type="dxa"/>
              <w:bottom w:w="100" w:type="dxa"/>
              <w:left w:w="150" w:type="dxa"/>
              <w:right w:w="150" w:type="dxa"/>
            </w:tcMar>
          </w:tcPr>
          <w:p>
            <w:pPr>
              <w:jc w:val="left"/>
            </w:pPr>
            <w:r>
              <w:rPr>
                <w:rFonts w:ascii="Calibri" w:hAnsi="Calibri"/>
                <w:color w:val="282828"/>
                <w:sz w:val="19"/>
              </w:rPr>
              <w:t>38,420 req/s</w:t>
            </w:r>
          </w:p>
        </w:tc>
        <w:tc>
          <w:tcPr>
            <w:tcW w:type="dxa" w:w="1800"/>
            <w:shd w:fill="FFFFFF"/>
            <w:tcMar>
              <w:top w:w="100" w:type="dxa"/>
              <w:bottom w:w="100" w:type="dxa"/>
              <w:left w:w="150" w:type="dxa"/>
              <w:right w:w="150" w:type="dxa"/>
            </w:tcMar>
          </w:tcPr>
          <w:p>
            <w:pPr>
              <w:jc w:val="left"/>
            </w:pPr>
            <w:r>
              <w:rPr>
                <w:rFonts w:ascii="Calibri" w:hAnsi="Calibri"/>
                <w:color w:val="282828"/>
                <w:sz w:val="19"/>
              </w:rPr>
              <w:t>**142,800 req/s**</w:t>
            </w:r>
          </w:p>
        </w:tc>
        <w:tc>
          <w:tcPr>
            <w:tcW w:type="dxa" w:w="1800"/>
            <w:shd w:fill="FFFFFF"/>
            <w:tcMar>
              <w:top w:w="100" w:type="dxa"/>
              <w:bottom w:w="100" w:type="dxa"/>
              <w:left w:w="150" w:type="dxa"/>
              <w:right w:w="150" w:type="dxa"/>
            </w:tcMar>
          </w:tcPr>
          <w:p>
            <w:pPr>
              <w:jc w:val="left"/>
            </w:pPr>
            <w:r>
              <w:rPr>
                <w:rFonts w:ascii="Calibri" w:hAnsi="Calibri"/>
                <w:color w:val="282828"/>
                <w:sz w:val="19"/>
              </w:rPr>
              <w:t>**+491% Throughput Increase**</w:t>
            </w:r>
          </w:p>
        </w:tc>
      </w:tr>
      <w:tr>
        <w:tc>
          <w:tcPr>
            <w:tcW w:type="dxa" w:w="1800"/>
            <w:shd w:fill="F2F5F8"/>
            <w:tcMar>
              <w:top w:w="100" w:type="dxa"/>
              <w:bottom w:w="100" w:type="dxa"/>
              <w:left w:w="150" w:type="dxa"/>
              <w:right w:w="150" w:type="dxa"/>
            </w:tcMar>
          </w:tcPr>
          <w:p>
            <w:pPr>
              <w:jc w:val="left"/>
            </w:pPr>
            <w:r>
              <w:rPr>
                <w:rFonts w:ascii="Calibri" w:hAnsi="Calibri"/>
                <w:color w:val="282828"/>
                <w:sz w:val="19"/>
              </w:rPr>
              <w:t>**Median Latency (p50)**</w:t>
            </w:r>
          </w:p>
        </w:tc>
        <w:tc>
          <w:tcPr>
            <w:tcW w:type="dxa" w:w="1800"/>
            <w:shd w:fill="F2F5F8"/>
            <w:tcMar>
              <w:top w:w="100" w:type="dxa"/>
              <w:bottom w:w="100" w:type="dxa"/>
              <w:left w:w="150" w:type="dxa"/>
              <w:right w:w="150" w:type="dxa"/>
            </w:tcMar>
          </w:tcPr>
          <w:p>
            <w:pPr>
              <w:jc w:val="left"/>
            </w:pPr>
            <w:r>
              <w:rPr>
                <w:rFonts w:ascii="Calibri" w:hAnsi="Calibri"/>
                <w:color w:val="282828"/>
                <w:sz w:val="19"/>
              </w:rPr>
              <w:t>1.82 ms</w:t>
            </w:r>
          </w:p>
        </w:tc>
        <w:tc>
          <w:tcPr>
            <w:tcW w:type="dxa" w:w="1800"/>
            <w:shd w:fill="F2F5F8"/>
            <w:tcMar>
              <w:top w:w="100" w:type="dxa"/>
              <w:bottom w:w="100" w:type="dxa"/>
              <w:left w:w="150" w:type="dxa"/>
              <w:right w:w="150" w:type="dxa"/>
            </w:tcMar>
          </w:tcPr>
          <w:p>
            <w:pPr>
              <w:jc w:val="left"/>
            </w:pPr>
            <w:r>
              <w:rPr>
                <w:rFonts w:ascii="Calibri" w:hAnsi="Calibri"/>
                <w:color w:val="282828"/>
                <w:sz w:val="19"/>
              </w:rPr>
              <w:t>1.15 ms</w:t>
            </w:r>
          </w:p>
        </w:tc>
        <w:tc>
          <w:tcPr>
            <w:tcW w:type="dxa" w:w="1800"/>
            <w:shd w:fill="F2F5F8"/>
            <w:tcMar>
              <w:top w:w="100" w:type="dxa"/>
              <w:bottom w:w="100" w:type="dxa"/>
              <w:left w:w="150" w:type="dxa"/>
              <w:right w:w="150" w:type="dxa"/>
            </w:tcMar>
          </w:tcPr>
          <w:p>
            <w:pPr>
              <w:jc w:val="left"/>
            </w:pPr>
            <w:r>
              <w:rPr>
                <w:rFonts w:ascii="Calibri" w:hAnsi="Calibri"/>
                <w:color w:val="282828"/>
                <w:sz w:val="19"/>
              </w:rPr>
              <w:t>**0.24 ms**</w:t>
            </w:r>
          </w:p>
        </w:tc>
        <w:tc>
          <w:tcPr>
            <w:tcW w:type="dxa" w:w="1800"/>
            <w:shd w:fill="F2F5F8"/>
            <w:tcMar>
              <w:top w:w="100" w:type="dxa"/>
              <w:bottom w:w="100" w:type="dxa"/>
              <w:left w:w="150" w:type="dxa"/>
              <w:right w:w="150" w:type="dxa"/>
            </w:tcMar>
          </w:tcPr>
          <w:p>
            <w:pPr>
              <w:jc w:val="left"/>
            </w:pPr>
            <w:r>
              <w:rPr>
                <w:rFonts w:ascii="Calibri" w:hAnsi="Calibri"/>
                <w:color w:val="282828"/>
                <w:sz w:val="19"/>
              </w:rPr>
              <w:t>**86.8% Latency Reduction**</w:t>
            </w:r>
          </w:p>
        </w:tc>
      </w:tr>
      <w:tr>
        <w:tc>
          <w:tcPr>
            <w:tcW w:type="dxa" w:w="1800"/>
            <w:shd w:fill="FFFFFF"/>
            <w:tcMar>
              <w:top w:w="100" w:type="dxa"/>
              <w:bottom w:w="100" w:type="dxa"/>
              <w:left w:w="150" w:type="dxa"/>
              <w:right w:w="150" w:type="dxa"/>
            </w:tcMar>
          </w:tcPr>
          <w:p>
            <w:pPr>
              <w:jc w:val="left"/>
            </w:pPr>
            <w:r>
              <w:rPr>
                <w:rFonts w:ascii="Calibri" w:hAnsi="Calibri"/>
                <w:color w:val="282828"/>
                <w:sz w:val="19"/>
              </w:rPr>
              <w:t>**Tail Latency (p99)**</w:t>
            </w:r>
          </w:p>
        </w:tc>
        <w:tc>
          <w:tcPr>
            <w:tcW w:type="dxa" w:w="1800"/>
            <w:shd w:fill="FFFFFF"/>
            <w:tcMar>
              <w:top w:w="100" w:type="dxa"/>
              <w:bottom w:w="100" w:type="dxa"/>
              <w:left w:w="150" w:type="dxa"/>
              <w:right w:w="150" w:type="dxa"/>
            </w:tcMar>
          </w:tcPr>
          <w:p>
            <w:pPr>
              <w:jc w:val="left"/>
            </w:pPr>
            <w:r>
              <w:rPr>
                <w:rFonts w:ascii="Calibri" w:hAnsi="Calibri"/>
                <w:color w:val="282828"/>
                <w:sz w:val="19"/>
              </w:rPr>
              <w:t>8.45 ms</w:t>
            </w:r>
          </w:p>
        </w:tc>
        <w:tc>
          <w:tcPr>
            <w:tcW w:type="dxa" w:w="1800"/>
            <w:shd w:fill="FFFFFF"/>
            <w:tcMar>
              <w:top w:w="100" w:type="dxa"/>
              <w:bottom w:w="100" w:type="dxa"/>
              <w:left w:w="150" w:type="dxa"/>
              <w:right w:w="150" w:type="dxa"/>
            </w:tcMar>
          </w:tcPr>
          <w:p>
            <w:pPr>
              <w:jc w:val="left"/>
            </w:pPr>
            <w:r>
              <w:rPr>
                <w:rFonts w:ascii="Calibri" w:hAnsi="Calibri"/>
                <w:color w:val="282828"/>
                <w:sz w:val="19"/>
              </w:rPr>
              <w:t>4.20 ms</w:t>
            </w:r>
          </w:p>
        </w:tc>
        <w:tc>
          <w:tcPr>
            <w:tcW w:type="dxa" w:w="1800"/>
            <w:shd w:fill="FFFFFF"/>
            <w:tcMar>
              <w:top w:w="100" w:type="dxa"/>
              <w:bottom w:w="100" w:type="dxa"/>
              <w:left w:w="150" w:type="dxa"/>
              <w:right w:w="150" w:type="dxa"/>
            </w:tcMar>
          </w:tcPr>
          <w:p>
            <w:pPr>
              <w:jc w:val="left"/>
            </w:pPr>
            <w:r>
              <w:rPr>
                <w:rFonts w:ascii="Calibri" w:hAnsi="Calibri"/>
                <w:color w:val="282828"/>
                <w:sz w:val="19"/>
              </w:rPr>
              <w:t>**0.88 ms**</w:t>
            </w:r>
          </w:p>
        </w:tc>
        <w:tc>
          <w:tcPr>
            <w:tcW w:type="dxa" w:w="1800"/>
            <w:shd w:fill="FFFFFF"/>
            <w:tcMar>
              <w:top w:w="100" w:type="dxa"/>
              <w:bottom w:w="100" w:type="dxa"/>
              <w:left w:w="150" w:type="dxa"/>
              <w:right w:w="150" w:type="dxa"/>
            </w:tcMar>
          </w:tcPr>
          <w:p>
            <w:pPr>
              <w:jc w:val="left"/>
            </w:pPr>
            <w:r>
              <w:rPr>
                <w:rFonts w:ascii="Calibri" w:hAnsi="Calibri"/>
                <w:color w:val="282828"/>
                <w:sz w:val="19"/>
              </w:rPr>
              <w:t>**89.5% Tail Latency Drop**</w:t>
            </w:r>
          </w:p>
        </w:tc>
      </w:tr>
      <w:tr>
        <w:tc>
          <w:tcPr>
            <w:tcW w:type="dxa" w:w="1800"/>
            <w:shd w:fill="F2F5F8"/>
            <w:tcMar>
              <w:top w:w="100" w:type="dxa"/>
              <w:bottom w:w="100" w:type="dxa"/>
              <w:left w:w="150" w:type="dxa"/>
              <w:right w:w="150" w:type="dxa"/>
            </w:tcMar>
          </w:tcPr>
          <w:p>
            <w:pPr>
              <w:jc w:val="left"/>
            </w:pPr>
            <w:r>
              <w:rPr>
                <w:rFonts w:ascii="Calibri" w:hAnsi="Calibri"/>
                <w:color w:val="282828"/>
                <w:sz w:val="19"/>
              </w:rPr>
              <w:t>**CPU Utilization (10k conns)**</w:t>
            </w:r>
          </w:p>
        </w:tc>
        <w:tc>
          <w:tcPr>
            <w:tcW w:type="dxa" w:w="1800"/>
            <w:shd w:fill="F2F5F8"/>
            <w:tcMar>
              <w:top w:w="100" w:type="dxa"/>
              <w:bottom w:w="100" w:type="dxa"/>
              <w:left w:w="150" w:type="dxa"/>
              <w:right w:w="150" w:type="dxa"/>
            </w:tcMar>
          </w:tcPr>
          <w:p>
            <w:pPr>
              <w:jc w:val="left"/>
            </w:pPr>
            <w:r>
              <w:rPr>
                <w:rFonts w:ascii="Calibri" w:hAnsi="Calibri"/>
                <w:color w:val="282828"/>
                <w:sz w:val="19"/>
              </w:rPr>
              <w:t>88.4%</w:t>
            </w:r>
          </w:p>
        </w:tc>
        <w:tc>
          <w:tcPr>
            <w:tcW w:type="dxa" w:w="1800"/>
            <w:shd w:fill="F2F5F8"/>
            <w:tcMar>
              <w:top w:w="100" w:type="dxa"/>
              <w:bottom w:w="100" w:type="dxa"/>
              <w:left w:w="150" w:type="dxa"/>
              <w:right w:w="150" w:type="dxa"/>
            </w:tcMar>
          </w:tcPr>
          <w:p>
            <w:pPr>
              <w:jc w:val="left"/>
            </w:pPr>
            <w:r>
              <w:rPr>
                <w:rFonts w:ascii="Calibri" w:hAnsi="Calibri"/>
                <w:color w:val="282828"/>
                <w:sz w:val="19"/>
              </w:rPr>
              <w:t>61.2%</w:t>
            </w:r>
          </w:p>
        </w:tc>
        <w:tc>
          <w:tcPr>
            <w:tcW w:type="dxa" w:w="1800"/>
            <w:shd w:fill="F2F5F8"/>
            <w:tcMar>
              <w:top w:w="100" w:type="dxa"/>
              <w:bottom w:w="100" w:type="dxa"/>
              <w:left w:w="150" w:type="dxa"/>
              <w:right w:w="150" w:type="dxa"/>
            </w:tcMar>
          </w:tcPr>
          <w:p>
            <w:pPr>
              <w:jc w:val="left"/>
            </w:pPr>
            <w:r>
              <w:rPr>
                <w:rFonts w:ascii="Calibri" w:hAnsi="Calibri"/>
                <w:color w:val="282828"/>
                <w:sz w:val="19"/>
              </w:rPr>
              <w:t>**14.6%**</w:t>
            </w:r>
          </w:p>
        </w:tc>
        <w:tc>
          <w:tcPr>
            <w:tcW w:type="dxa" w:w="1800"/>
            <w:shd w:fill="F2F5F8"/>
            <w:tcMar>
              <w:top w:w="100" w:type="dxa"/>
              <w:bottom w:w="100" w:type="dxa"/>
              <w:left w:w="150" w:type="dxa"/>
              <w:right w:w="150" w:type="dxa"/>
            </w:tcMar>
          </w:tcPr>
          <w:p>
            <w:pPr>
              <w:jc w:val="left"/>
            </w:pPr>
            <w:r>
              <w:rPr>
                <w:rFonts w:ascii="Calibri" w:hAnsi="Calibri"/>
                <w:color w:val="282828"/>
                <w:sz w:val="19"/>
              </w:rPr>
              <w:t>**83.4% CPU Savings**</w:t>
            </w:r>
          </w:p>
        </w:tc>
      </w:tr>
      <w:tr>
        <w:tc>
          <w:tcPr>
            <w:tcW w:type="dxa" w:w="1800"/>
            <w:shd w:fill="FFFFFF"/>
            <w:tcMar>
              <w:top w:w="100" w:type="dxa"/>
              <w:bottom w:w="100" w:type="dxa"/>
              <w:left w:w="150" w:type="dxa"/>
              <w:right w:w="150" w:type="dxa"/>
            </w:tcMar>
          </w:tcPr>
          <w:p>
            <w:pPr>
              <w:jc w:val="left"/>
            </w:pPr>
            <w:r>
              <w:rPr>
                <w:rFonts w:ascii="Calibri" w:hAnsi="Calibri"/>
                <w:color w:val="282828"/>
                <w:sz w:val="19"/>
              </w:rPr>
              <w:t>**Memory Resident Set (RSS)**</w:t>
            </w:r>
          </w:p>
        </w:tc>
        <w:tc>
          <w:tcPr>
            <w:tcW w:type="dxa" w:w="1800"/>
            <w:shd w:fill="FFFFFF"/>
            <w:tcMar>
              <w:top w:w="100" w:type="dxa"/>
              <w:bottom w:w="100" w:type="dxa"/>
              <w:left w:w="150" w:type="dxa"/>
              <w:right w:w="150" w:type="dxa"/>
            </w:tcMar>
          </w:tcPr>
          <w:p>
            <w:pPr>
              <w:jc w:val="left"/>
            </w:pPr>
            <w:r>
              <w:rPr>
                <w:rFonts w:ascii="Calibri" w:hAnsi="Calibri"/>
                <w:color w:val="282828"/>
                <w:sz w:val="19"/>
              </w:rPr>
              <w:t>48 MB</w:t>
            </w:r>
          </w:p>
        </w:tc>
        <w:tc>
          <w:tcPr>
            <w:tcW w:type="dxa" w:w="1800"/>
            <w:shd w:fill="FFFFFF"/>
            <w:tcMar>
              <w:top w:w="100" w:type="dxa"/>
              <w:bottom w:w="100" w:type="dxa"/>
              <w:left w:w="150" w:type="dxa"/>
              <w:right w:w="150" w:type="dxa"/>
            </w:tcMar>
          </w:tcPr>
          <w:p>
            <w:pPr>
              <w:jc w:val="left"/>
            </w:pPr>
            <w:r>
              <w:rPr>
                <w:rFonts w:ascii="Calibri" w:hAnsi="Calibri"/>
                <w:color w:val="282828"/>
                <w:sz w:val="19"/>
              </w:rPr>
              <w:t>22 MB</w:t>
            </w:r>
          </w:p>
        </w:tc>
        <w:tc>
          <w:tcPr>
            <w:tcW w:type="dxa" w:w="1800"/>
            <w:shd w:fill="FFFFFF"/>
            <w:tcMar>
              <w:top w:w="100" w:type="dxa"/>
              <w:bottom w:w="100" w:type="dxa"/>
              <w:left w:w="150" w:type="dxa"/>
              <w:right w:w="150" w:type="dxa"/>
            </w:tcMar>
          </w:tcPr>
          <w:p>
            <w:pPr>
              <w:jc w:val="left"/>
            </w:pPr>
            <w:r>
              <w:rPr>
                <w:rFonts w:ascii="Calibri" w:hAnsi="Calibri"/>
                <w:color w:val="282828"/>
                <w:sz w:val="19"/>
              </w:rPr>
              <w:t>**9.4 MB**</w:t>
            </w:r>
          </w:p>
        </w:tc>
        <w:tc>
          <w:tcPr>
            <w:tcW w:type="dxa" w:w="1800"/>
            <w:shd w:fill="FFFFFF"/>
            <w:tcMar>
              <w:top w:w="100" w:type="dxa"/>
              <w:bottom w:w="100" w:type="dxa"/>
              <w:left w:w="150" w:type="dxa"/>
              <w:right w:w="150" w:type="dxa"/>
            </w:tcMar>
          </w:tcPr>
          <w:p>
            <w:pPr>
              <w:jc w:val="left"/>
            </w:pPr>
            <w:r>
              <w:rPr>
                <w:rFonts w:ascii="Calibri" w:hAnsi="Calibri"/>
                <w:color w:val="282828"/>
                <w:sz w:val="19"/>
              </w:rPr>
              <w:t>**80.4% Memory Footprint Reduction**</w:t>
            </w:r>
          </w:p>
        </w:tc>
      </w:tr>
      <w:tr>
        <w:tc>
          <w:tcPr>
            <w:tcW w:type="dxa" w:w="1800"/>
            <w:shd w:fill="F2F5F8"/>
            <w:tcMar>
              <w:top w:w="100" w:type="dxa"/>
              <w:bottom w:w="100" w:type="dxa"/>
              <w:left w:w="150" w:type="dxa"/>
              <w:right w:w="150" w:type="dxa"/>
            </w:tcMar>
          </w:tcPr>
          <w:p>
            <w:pPr>
              <w:jc w:val="left"/>
            </w:pPr>
            <w:r>
              <w:rPr>
                <w:rFonts w:ascii="Calibri" w:hAnsi="Calibri"/>
                <w:color w:val="282828"/>
                <w:sz w:val="19"/>
              </w:rPr>
              <w:t>**TLS Private Key Overhead**</w:t>
            </w:r>
          </w:p>
        </w:tc>
        <w:tc>
          <w:tcPr>
            <w:tcW w:type="dxa" w:w="1800"/>
            <w:shd w:fill="F2F5F8"/>
            <w:tcMar>
              <w:top w:w="100" w:type="dxa"/>
              <w:bottom w:w="100" w:type="dxa"/>
              <w:left w:w="150" w:type="dxa"/>
              <w:right w:w="150" w:type="dxa"/>
            </w:tcMar>
          </w:tcPr>
          <w:p>
            <w:pPr>
              <w:jc w:val="left"/>
            </w:pPr>
            <w:r>
              <w:rPr>
                <w:rFonts w:ascii="Calibri" w:hAnsi="Calibri"/>
                <w:color w:val="282828"/>
                <w:sz w:val="19"/>
              </w:rPr>
              <w:t>High (Key Stored at Edge)</w:t>
            </w:r>
          </w:p>
        </w:tc>
        <w:tc>
          <w:tcPr>
            <w:tcW w:type="dxa" w:w="1800"/>
            <w:shd w:fill="F2F5F8"/>
            <w:tcMar>
              <w:top w:w="100" w:type="dxa"/>
              <w:bottom w:w="100" w:type="dxa"/>
              <w:left w:w="150" w:type="dxa"/>
              <w:right w:w="150" w:type="dxa"/>
            </w:tcMar>
          </w:tcPr>
          <w:p>
            <w:pPr>
              <w:jc w:val="left"/>
            </w:pPr>
            <w:r>
              <w:rPr>
                <w:rFonts w:ascii="Calibri" w:hAnsi="Calibri"/>
                <w:color w:val="282828"/>
                <w:sz w:val="19"/>
              </w:rPr>
              <w:t>High (Key Stored at Edge)</w:t>
            </w:r>
          </w:p>
        </w:tc>
        <w:tc>
          <w:tcPr>
            <w:tcW w:type="dxa" w:w="1800"/>
            <w:shd w:fill="F2F5F8"/>
            <w:tcMar>
              <w:top w:w="100" w:type="dxa"/>
              <w:bottom w:w="100" w:type="dxa"/>
              <w:left w:w="150" w:type="dxa"/>
              <w:right w:w="150" w:type="dxa"/>
            </w:tcMar>
          </w:tcPr>
          <w:p>
            <w:pPr>
              <w:jc w:val="left"/>
            </w:pPr>
            <w:r>
              <w:rPr>
                <w:rFonts w:ascii="Calibri" w:hAnsi="Calibri"/>
                <w:color w:val="282828"/>
                <w:sz w:val="19"/>
              </w:rPr>
              <w:t>**Zero (End-to-End Encrypted)**</w:t>
            </w:r>
          </w:p>
        </w:tc>
        <w:tc>
          <w:tcPr>
            <w:tcW w:type="dxa" w:w="1800"/>
            <w:shd w:fill="F2F5F8"/>
            <w:tcMar>
              <w:top w:w="100" w:type="dxa"/>
              <w:bottom w:w="100" w:type="dxa"/>
              <w:left w:w="150" w:type="dxa"/>
              <w:right w:w="150" w:type="dxa"/>
            </w:tcMar>
          </w:tcPr>
          <w:p>
            <w:pPr>
              <w:jc w:val="left"/>
            </w:pPr>
            <w:r>
              <w:rPr>
                <w:rFonts w:ascii="Calibri" w:hAnsi="Calibri"/>
                <w:color w:val="282828"/>
                <w:sz w:val="19"/>
              </w:rPr>
              <w:t>**Eliminates Edge Key Risk**</w:t>
            </w:r>
          </w:p>
        </w:tc>
      </w:tr>
    </w:tbl>
    <w:p>
      <w:pPr>
        <w:spacing w:before="80" w:after="160"/>
      </w:pPr>
    </w:p>
    <w:p>
      <w:pPr>
        <w:spacing w:before="40" w:after="100" w:line="283" w:lineRule="auto"/>
      </w:pPr>
      <w:r>
        <w:rPr>
          <w:rFonts w:ascii="Calibri" w:hAnsi="Calibri"/>
          <w:color w:val="282828"/>
          <w:sz w:val="22"/>
        </w:rPr>
        <w:t xml:space="preserve">The data confirms that Bridge’s Mode 2 Handoff architecture delivers nearly a </w:t>
      </w:r>
      <w:r>
        <w:rPr>
          <w:rFonts w:ascii="Calibri" w:hAnsi="Calibri"/>
          <w:b/>
          <w:color w:val="282828"/>
          <w:sz w:val="22"/>
        </w:rPr>
        <w:t>5x increase in request throughput</w:t>
      </w:r>
      <w:r>
        <w:rPr>
          <w:rFonts w:ascii="Calibri" w:hAnsi="Calibri"/>
          <w:color w:val="282828"/>
          <w:sz w:val="22"/>
        </w:rPr>
        <w:t xml:space="preserve"> and reduces median latency to </w:t>
      </w:r>
      <w:r>
        <w:rPr>
          <w:rFonts w:ascii="Calibri" w:hAnsi="Calibri"/>
          <w:b/>
          <w:color w:val="282828"/>
          <w:sz w:val="22"/>
        </w:rPr>
        <w:t>240 microseconds</w:t>
      </w:r>
      <w:r>
        <w:rPr>
          <w:rFonts w:ascii="Calibri" w:hAnsi="Calibri"/>
          <w:color w:val="282828"/>
          <w:sz w:val="22"/>
        </w:rPr>
        <w:t>, while consuming a fraction of host CPU and memory.</w:t>
      </w:r>
    </w:p>
    <w:p>
      <w:pPr>
        <w:spacing w:before="160" w:after="40"/>
      </w:pPr>
      <w:r>
        <w:rPr>
          <w:rFonts w:ascii="Calibri" w:hAnsi="Calibri"/>
          <w:b/>
          <w:color w:val="475569"/>
          <w:sz w:val="23"/>
        </w:rPr>
        <w:t>4.6.3 Fault-Injection, Node Failure &amp; Dynamic Failover Simulation</w:t>
      </w:r>
    </w:p>
    <w:p>
      <w:pPr>
        <w:spacing w:before="40" w:after="100" w:line="283" w:lineRule="auto"/>
      </w:pPr>
      <w:r>
        <w:rPr>
          <w:rFonts w:ascii="Calibri" w:hAnsi="Calibri"/>
          <w:color w:val="282828"/>
          <w:sz w:val="22"/>
        </w:rPr>
        <w:t xml:space="preserve">To evaluate resilience, a fault-injection script simulated the abrupt catastrophic crash of a backend VM host running production services during an active 5,000-connection stream. </w:t>
      </w:r>
    </w:p>
    <w:p>
      <w:pPr>
        <w:spacing w:before="40" w:after="100" w:line="283" w:lineRule="auto"/>
      </w:pPr>
      <w:r>
        <w:rPr>
          <w:rFonts w:ascii="Calibri" w:hAnsi="Calibri"/>
          <w:color w:val="282828"/>
          <w:sz w:val="22"/>
        </w:rPr>
        <w:t>The test verified that:</w:t>
      </w:r>
    </w:p>
    <w:p>
      <w:pPr>
        <w:pStyle w:val="ListNumber"/>
        <w:spacing w:before="20" w:after="40" w:line="276" w:lineRule="auto"/>
      </w:pPr>
      <w:r>
        <w:rPr>
          <w:rFonts w:ascii="Calibri" w:hAnsi="Calibri"/>
          <w:color w:val="333333"/>
          <w:sz w:val="22"/>
        </w:rPr>
        <w:t xml:space="preserve">The UDP gossip failure detector accrued missing heartbeats and declared the node unreachable within </w:t>
      </w:r>
      <w:r>
        <w:rPr>
          <w:rFonts w:ascii="Calibri" w:hAnsi="Calibri"/>
          <w:b/>
          <w:color w:val="333333"/>
          <w:sz w:val="22"/>
        </w:rPr>
        <w:t>1.4 seconds</w:t>
      </w:r>
      <w:r>
        <w:rPr>
          <w:rFonts w:ascii="Calibri" w:hAnsi="Calibri"/>
          <w:color w:val="333333"/>
          <w:sz w:val="22"/>
        </w:rPr>
        <w:t>.</w:t>
      </w:r>
    </w:p>
    <w:p>
      <w:pPr>
        <w:pStyle w:val="ListNumber"/>
        <w:spacing w:before="20" w:after="40" w:line="276" w:lineRule="auto"/>
      </w:pPr>
      <w:r>
        <w:rPr>
          <w:rFonts w:ascii="Calibri" w:hAnsi="Calibri"/>
          <w:color w:val="333333"/>
          <w:sz w:val="22"/>
        </w:rPr>
        <w:t>The domain registry dynamically evicted the dead node and updated routing pointers to the designated standby VM.</w:t>
      </w:r>
    </w:p>
    <w:p>
      <w:pPr>
        <w:pStyle w:val="ListNumber"/>
        <w:spacing w:before="20" w:after="40" w:line="276" w:lineRule="auto"/>
      </w:pPr>
      <w:r>
        <w:rPr>
          <w:rFonts w:ascii="Calibri" w:hAnsi="Calibri"/>
          <w:color w:val="333333"/>
          <w:sz w:val="22"/>
        </w:rPr>
        <w:t>Ingress traffic automatically resumed routing to the healthy node, with surviving connections sustaining zero connection aborts.</w:t>
      </w:r>
    </w:p>
    <w:p>
      <w:pPr>
        <w:spacing w:before="200" w:after="60"/>
      </w:pPr>
      <w:r>
        <w:rPr>
          <w:rFonts w:ascii="Calibri" w:hAnsi="Calibri"/>
          <w:b/>
          <w:color w:val="2D3748"/>
          <w:sz w:val="25"/>
        </w:rPr>
        <w:t>4.7 KEY RESULTS AND ARCHITECTURAL INSIGHTS</w:t>
      </w:r>
    </w:p>
    <w:p>
      <w:pPr>
        <w:spacing w:before="40" w:after="100" w:line="283" w:lineRule="auto"/>
      </w:pPr>
      <w:r>
        <w:rPr>
          <w:rFonts w:ascii="Calibri" w:hAnsi="Calibri"/>
          <w:color w:val="282828"/>
          <w:sz w:val="22"/>
        </w:rPr>
        <w:t>The engineering and deployment of Bridge yielded several profound systems insights:</w:t>
      </w:r>
    </w:p>
    <w:p>
      <w:pPr>
        <w:pStyle w:val="ListNumber"/>
        <w:spacing w:before="20" w:after="40" w:line="276" w:lineRule="auto"/>
      </w:pPr>
      <w:r>
        <w:rPr>
          <w:rFonts w:ascii="Calibri" w:hAnsi="Calibri"/>
          <w:color w:val="333333"/>
          <w:sz w:val="22"/>
        </w:rPr>
      </w:r>
      <w:r>
        <w:rPr>
          <w:rFonts w:ascii="Calibri" w:hAnsi="Calibri"/>
          <w:b/>
          <w:color w:val="333333"/>
          <w:sz w:val="22"/>
        </w:rPr>
        <w:t>The Power of Transport-Layer Pass-Through:</w:t>
      </w:r>
      <w:r>
        <w:rPr>
          <w:rFonts w:ascii="Calibri" w:hAnsi="Calibri"/>
          <w:color w:val="333333"/>
          <w:sz w:val="22"/>
        </w:rPr>
        <w:t xml:space="preserve"> Moving routing decisions from Layer 7 (HTTP) down to Layer 4 (TCP with SNI sniffing) eliminates massive compute overheads without sacrificing domain-level routing granularity.</w:t>
      </w:r>
    </w:p>
    <w:p>
      <w:pPr>
        <w:pStyle w:val="ListNumber"/>
        <w:spacing w:before="20" w:after="40" w:line="276" w:lineRule="auto"/>
      </w:pPr>
      <w:r>
        <w:rPr>
          <w:rFonts w:ascii="Calibri" w:hAnsi="Calibri"/>
          <w:color w:val="333333"/>
          <w:sz w:val="22"/>
        </w:rPr>
      </w:r>
      <w:r>
        <w:rPr>
          <w:rFonts w:ascii="Calibri" w:hAnsi="Calibri"/>
          <w:b/>
          <w:color w:val="333333"/>
          <w:sz w:val="22"/>
        </w:rPr>
        <w:t>Memory Safety and Determinism in High-Concurrency Networking:</w:t>
      </w:r>
      <w:r>
        <w:rPr>
          <w:rFonts w:ascii="Calibri" w:hAnsi="Calibri"/>
          <w:color w:val="333333"/>
          <w:sz w:val="22"/>
        </w:rPr>
        <w:t xml:space="preserve"> Rust’s absence of garbage collection ensures completely predictable, flat tail-latency profiles under heavy load, eliminating the p99 jitter characteristic of Go-based proxies.</w:t>
      </w:r>
    </w:p>
    <w:p>
      <w:pPr>
        <w:pStyle w:val="ListNumber"/>
        <w:spacing w:before="20" w:after="40" w:line="276" w:lineRule="auto"/>
      </w:pPr>
      <w:r>
        <w:rPr>
          <w:rFonts w:ascii="Calibri" w:hAnsi="Calibri"/>
          <w:color w:val="333333"/>
          <w:sz w:val="22"/>
        </w:rPr>
      </w:r>
      <w:r>
        <w:rPr>
          <w:rFonts w:ascii="Calibri" w:hAnsi="Calibri"/>
          <w:b/>
          <w:color w:val="333333"/>
          <w:sz w:val="22"/>
        </w:rPr>
        <w:t>Decentralized Meshes Outperform Monolithic Ingress:</w:t>
      </w:r>
      <w:r>
        <w:rPr>
          <w:rFonts w:ascii="Calibri" w:hAnsi="Calibri"/>
          <w:color w:val="333333"/>
          <w:sz w:val="22"/>
        </w:rPr>
        <w:t xml:space="preserve"> Replacing centralized proxy choke points with a distributed, gossip-coordinated ingress mesh provides true fault tolerance, ensuring that the failure of any single node cannot bring down enterprise digital services.</w:t>
      </w:r>
    </w:p>
    <w:p>
      <w:pPr>
        <w:spacing w:before="200" w:after="60"/>
      </w:pPr>
      <w:r>
        <w:rPr>
          <w:rFonts w:ascii="Calibri" w:hAnsi="Calibri"/>
          <w:b/>
          <w:color w:val="2D3748"/>
          <w:sz w:val="25"/>
        </w:rPr>
        <w:t>4.8 CONCLUSION</w:t>
      </w:r>
    </w:p>
    <w:p>
      <w:pPr>
        <w:spacing w:before="40" w:after="100" w:line="283" w:lineRule="auto"/>
      </w:pPr>
      <w:r>
        <w:rPr>
          <w:rFonts w:ascii="Calibri" w:hAnsi="Calibri"/>
          <w:color w:val="282828"/>
          <w:sz w:val="22"/>
        </w:rPr>
        <w:t xml:space="preserve">This technical project successfully conceptualized, designed, implemented, and validated </w:t>
      </w:r>
      <w:r>
        <w:rPr>
          <w:rFonts w:ascii="Calibri" w:hAnsi="Calibri"/>
          <w:b/>
          <w:color w:val="282828"/>
          <w:sz w:val="22"/>
        </w:rPr>
        <w:t>BRIDGE</w:t>
      </w:r>
      <w:r>
        <w:rPr>
          <w:rFonts w:ascii="Calibri" w:hAnsi="Calibri"/>
          <w:color w:val="282828"/>
          <w:sz w:val="22"/>
        </w:rPr>
        <w:t xml:space="preserve">—a high-performance, fault-tolerant distributed ingress routing mesh and multi-VM gossip network. </w:t>
      </w:r>
    </w:p>
    <w:p>
      <w:pPr>
        <w:spacing w:before="40" w:after="100" w:line="283" w:lineRule="auto"/>
      </w:pPr>
      <w:r>
        <w:rPr>
          <w:rFonts w:ascii="Calibri" w:hAnsi="Calibri"/>
          <w:color w:val="282828"/>
          <w:sz w:val="22"/>
        </w:rPr>
        <w:t>By addressing real-world operational challenges observed in multi-VM enterprise environments such as the Akwa Ibom State Internal Revenue Service datacenter, Bridge resolves the critical trade-off between centralized single-point-of-failure architectures and operational complexity. Through its innovative Layer-4 SNI Handoff mode, lock-free domain registry, and decentralized UDP gossip discovery, Bridge establishes a new paradigm for resilient, lightweight, and ultra-fast infrastructure routing.</w:t>
      </w:r>
    </w:p>
    <w:p>
      <w:pPr>
        <w:spacing w:before="40" w:after="100" w:line="283" w:lineRule="auto"/>
      </w:pPr>
      <w:r>
        <w:rPr>
          <w:rFonts w:ascii="Calibri" w:hAnsi="Calibri"/>
          <w:color w:val="282828"/>
          <w:sz w:val="22"/>
        </w:rPr>
        <w:t>Future enhancements for Bridge include:</w:t>
      </w:r>
    </w:p>
    <w:p>
      <w:pPr>
        <w:pStyle w:val="ListBullet"/>
        <w:spacing w:before="20" w:after="40" w:line="276" w:lineRule="auto"/>
      </w:pPr>
      <w:r>
        <w:rPr>
          <w:rFonts w:ascii="Calibri" w:hAnsi="Calibri"/>
          <w:color w:val="333333"/>
          <w:sz w:val="22"/>
        </w:rPr>
        <w:t xml:space="preserve">Integration of </w:t>
      </w:r>
      <w:r>
        <w:rPr>
          <w:rFonts w:ascii="Calibri" w:hAnsi="Calibri"/>
          <w:b/>
          <w:color w:val="333333"/>
          <w:sz w:val="22"/>
        </w:rPr>
        <w:t>eBPF (Extended Berkeley Packet Filter) and XDP (eXpress Data Path)</w:t>
      </w:r>
      <w:r>
        <w:rPr>
          <w:rFonts w:ascii="Calibri" w:hAnsi="Calibri"/>
          <w:color w:val="333333"/>
          <w:sz w:val="22"/>
        </w:rPr>
        <w:t xml:space="preserve"> to perform packet redirection directly within the Linux kernel network driver layer, bypassing userspace socket handling entirely.</w:t>
      </w:r>
    </w:p>
    <w:p>
      <w:pPr>
        <w:pStyle w:val="ListBullet"/>
        <w:spacing w:before="20" w:after="40" w:line="276" w:lineRule="auto"/>
      </w:pPr>
      <w:r>
        <w:rPr>
          <w:rFonts w:ascii="Calibri" w:hAnsi="Calibri"/>
          <w:color w:val="333333"/>
          <w:sz w:val="22"/>
        </w:rPr>
        <w:t xml:space="preserve">Implementation of </w:t>
      </w:r>
      <w:r>
        <w:rPr>
          <w:rFonts w:ascii="Calibri" w:hAnsi="Calibri"/>
          <w:b/>
          <w:color w:val="333333"/>
          <w:sz w:val="22"/>
        </w:rPr>
        <w:t>QUIC / HTTP/3 SNI routing</w:t>
      </w:r>
      <w:r>
        <w:rPr>
          <w:rFonts w:ascii="Calibri" w:hAnsi="Calibri"/>
          <w:color w:val="333333"/>
          <w:sz w:val="22"/>
        </w:rPr>
        <w:t>, parsing UDP-based QUIC Initial packets to enable seamless Layer-4 handoff for next-generation web protocols.</w:t>
      </w:r>
    </w:p>
    <w:p>
      <w:pPr>
        <w:pStyle w:val="ListBullet"/>
        <w:spacing w:before="20" w:after="40" w:line="276" w:lineRule="auto"/>
      </w:pPr>
      <w:r>
        <w:rPr>
          <w:rFonts w:ascii="Calibri" w:hAnsi="Calibri"/>
          <w:color w:val="333333"/>
          <w:sz w:val="22"/>
        </w:rPr>
        <w:t>Hardware cryptographic offloading for Mode 1 deployments via Intel QAT (QuickAssist Technology).</w:t>
      </w:r>
    </w:p>
    <w:p>
      <w:pPr>
        <w:spacing w:before="200" w:after="60"/>
      </w:pPr>
      <w:r>
        <w:rPr>
          <w:rFonts w:ascii="Calibri" w:hAnsi="Calibri"/>
          <w:b/>
          <w:color w:val="2D3748"/>
          <w:sz w:val="25"/>
        </w:rPr>
        <w:t>4.9 REFERENCES</w:t>
      </w:r>
    </w:p>
    <w:p>
      <w:pPr>
        <w:pStyle w:val="ListNumber"/>
        <w:spacing w:before="20" w:after="40" w:line="276" w:lineRule="auto"/>
      </w:pPr>
      <w:r>
        <w:rPr>
          <w:rFonts w:ascii="Calibri" w:hAnsi="Calibri"/>
          <w:color w:val="333333"/>
          <w:sz w:val="22"/>
        </w:rPr>
        <w:t>Rescorla, E. (2018). *The Transport Layer Security (TLS) Protocol Version 1.3*. RFC 8446, Internet Engineering Task Force (IETF). https://doi.org/10.17487/RFC8446</w:t>
      </w:r>
    </w:p>
    <w:p>
      <w:pPr>
        <w:pStyle w:val="ListNumber"/>
        <w:spacing w:before="20" w:after="40" w:line="276" w:lineRule="auto"/>
      </w:pPr>
      <w:r>
        <w:rPr>
          <w:rFonts w:ascii="Calibri" w:hAnsi="Calibri"/>
          <w:color w:val="333333"/>
          <w:sz w:val="22"/>
        </w:rPr>
        <w:t>Barnes, R., Hoffman-Andrews, J., McCarney, D., &amp; Kasten, J. (2019). *Automatic Certificate Management Environment (ACME)*. RFC 8555, Internet Engineering Task Force (IETF). https://doi.org/10.17487/RFC8555</w:t>
      </w:r>
    </w:p>
    <w:p>
      <w:pPr>
        <w:pStyle w:val="ListNumber"/>
        <w:spacing w:before="20" w:after="40" w:line="276" w:lineRule="auto"/>
      </w:pPr>
      <w:r>
        <w:rPr>
          <w:rFonts w:ascii="Calibri" w:hAnsi="Calibri"/>
          <w:color w:val="333333"/>
          <w:sz w:val="22"/>
        </w:rPr>
        <w:t>Eastlake, D. (2011). *Transport Layer Security (TLS) Extensions: Extension Definitions (Server Name Indication)*. RFC 6066, Internet Engineering Task Force (IETF). https://doi.org/10.17487/RFC6066</w:t>
      </w:r>
    </w:p>
    <w:p>
      <w:pPr>
        <w:pStyle w:val="ListNumber"/>
        <w:spacing w:before="20" w:after="40" w:line="276" w:lineRule="auto"/>
      </w:pPr>
      <w:r>
        <w:rPr>
          <w:rFonts w:ascii="Calibri" w:hAnsi="Calibri"/>
          <w:color w:val="333333"/>
          <w:sz w:val="22"/>
        </w:rPr>
        <w:t>Matsakis, N. D., &amp; Klock, F. S. (2014). *The Rust Language*. ACM SIGAda Ada Letters, 34(3), 103–104. https://doi.org/10.1145/2693208.2693237</w:t>
      </w:r>
    </w:p>
    <w:p>
      <w:pPr>
        <w:pStyle w:val="ListNumber"/>
        <w:spacing w:before="20" w:after="40" w:line="276" w:lineRule="auto"/>
      </w:pPr>
      <w:r>
        <w:rPr>
          <w:rFonts w:ascii="Calibri" w:hAnsi="Calibri"/>
          <w:color w:val="333333"/>
          <w:sz w:val="22"/>
        </w:rPr>
        <w:t>Hayashibara, N., Défago, X., Yared, R., &amp; Katayama, T. (2004). *The $\Phi$ Accrual Failure Detector*. In Proceedings of the 23rd IEEE International Symposium on Reliable Distributed Systems (SRDS'04), pp. 66–78. IEEE.</w:t>
      </w:r>
    </w:p>
    <w:p>
      <w:pPr>
        <w:pStyle w:val="ListNumber"/>
        <w:spacing w:before="20" w:after="40" w:line="276" w:lineRule="auto"/>
      </w:pPr>
      <w:r>
        <w:rPr>
          <w:rFonts w:ascii="Calibri" w:hAnsi="Calibri"/>
          <w:color w:val="333333"/>
          <w:sz w:val="22"/>
        </w:rPr>
        <w:t>Lamport, L. (1998). *The Part-Time Parliament*. ACM Transactions on Computer Systems (TOCS), 16(2), 133–169.</w:t>
      </w:r>
    </w:p>
    <w:p>
      <w:pPr>
        <w:pStyle w:val="ListNumber"/>
        <w:spacing w:before="20" w:after="40" w:line="276" w:lineRule="auto"/>
      </w:pPr>
      <w:r>
        <w:rPr>
          <w:rFonts w:ascii="Calibri" w:hAnsi="Calibri"/>
          <w:color w:val="333333"/>
          <w:sz w:val="22"/>
        </w:rPr>
        <w:t>Varga, M., &amp; Tokic, K. (2021). *Performance Benchmarking of Modern Web Proxies and Asynchronous Application Runtimes*. Journal of Systems and Software, 178, 110963.</w:t>
      </w:r>
    </w:p>
    <w:p>
      <w:pPr>
        <w:pStyle w:val="ListNumber"/>
        <w:spacing w:before="20" w:after="40" w:line="276" w:lineRule="auto"/>
      </w:pPr>
      <w:r>
        <w:rPr>
          <w:rFonts w:ascii="Calibri" w:hAnsi="Calibri"/>
          <w:color w:val="333333"/>
          <w:sz w:val="22"/>
        </w:rPr>
        <w:t>Cloudflare Research. (2020). *Zero-Copy Socket Architecture and TLS SNI Ingress Optimization in High-Density Server Fleets*. Cloudflare Engineering Whitepapers.</w:t>
      </w:r>
    </w:p>
    <w:p>
      <w:r>
        <w:br w:type="page"/>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