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A5" w:rsidRPr="002C0EEA" w:rsidRDefault="00975CA5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C0EEA">
        <w:rPr>
          <w:rFonts w:ascii="Times New Roman" w:hAnsi="Times New Roman" w:cs="Times New Roman"/>
          <w:b/>
          <w:sz w:val="20"/>
          <w:szCs w:val="20"/>
        </w:rPr>
        <w:t>1. introduction of the codes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The source codes for TSAM includes a python script file "xgboost_predict.py" for building a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regressor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and predict the first-step score and some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script files such as "MapGeno2Pro.m",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FullAarry.m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seaSpacer.m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", "Spa2tar.m",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hmmparak.m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 and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TSAM.m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 for the construction of the RBF kernel SVM regressor and final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TSAM. In addition, there are several data files such as the model files used by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(in the format 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of .model</w:t>
      </w:r>
      <w:proofErr w:type="gramEnd"/>
      <w:r w:rsidRPr="002C0EEA">
        <w:rPr>
          <w:rFonts w:ascii="Times New Roman" w:hAnsi="Times New Roman" w:cs="Times New Roman"/>
          <w:sz w:val="20"/>
          <w:szCs w:val="20"/>
        </w:rPr>
        <w:t>) and the saved prediction model for MATLAB (in the format of .mat).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To run the codes, the python version</w:t>
      </w:r>
      <w:r w:rsidR="004D2123">
        <w:rPr>
          <w:rFonts w:ascii="Times New Roman" w:hAnsi="Times New Roman" w:cs="Times New Roman"/>
          <w:sz w:val="20"/>
          <w:szCs w:val="20"/>
        </w:rPr>
        <w:t xml:space="preserve"> (python 2.7)</w:t>
      </w:r>
      <w:r w:rsidRPr="002C0EE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biopython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should be downloaded and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installed.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version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LibSVM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v3.22 also need to be included in the lib path of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. The codes have been tested under the Window 10 system. However, there is no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operate system related functions being called, thus these files can also be run on other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systems if the required packages and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softwares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avaliable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.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75CA5" w:rsidRDefault="00975CA5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C0EEA">
        <w:rPr>
          <w:rFonts w:ascii="Times New Roman" w:hAnsi="Times New Roman" w:cs="Times New Roman"/>
          <w:b/>
          <w:sz w:val="20"/>
          <w:szCs w:val="20"/>
        </w:rPr>
        <w:t>2. User guide of the TSAM</w:t>
      </w:r>
    </w:p>
    <w:p w:rsidR="00104254" w:rsidRPr="002C0EEA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 Files includes the supplementary codes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The file fold should be like this: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-TSAM\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TSAM.m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-MapGeno2Pro.m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FullAarry.m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seaSpacer.m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-Spa2tar.m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hmmparak.m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-xgboost_predict.py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Models.mat</w:t>
      </w:r>
      <w:proofErr w:type="spellEnd"/>
    </w:p>
    <w:p w:rsidR="00975CA5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-ReadMe.</w:t>
      </w:r>
      <w:r w:rsidR="002C0EEA">
        <w:rPr>
          <w:rFonts w:ascii="Times New Roman" w:hAnsi="Times New Roman" w:cs="Times New Roman"/>
          <w:sz w:val="20"/>
          <w:szCs w:val="20"/>
        </w:rPr>
        <w:t>docx</w:t>
      </w:r>
    </w:p>
    <w:p w:rsidR="00104254" w:rsidRPr="002C0EEA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4254" w:rsidRPr="00104254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04254">
        <w:rPr>
          <w:rFonts w:ascii="Times New Roman" w:hAnsi="Times New Roman" w:cs="Times New Roman"/>
          <w:b/>
          <w:sz w:val="20"/>
          <w:szCs w:val="20"/>
        </w:rPr>
        <w:lastRenderedPageBreak/>
        <w:t>2.2 parameter description</w:t>
      </w:r>
    </w:p>
    <w:p w:rsidR="00BF275A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TSAM supports predicting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cutting efficiencies or classifying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high efficient or low efficient</w:t>
      </w:r>
      <w:r w:rsidR="00BF275A">
        <w:rPr>
          <w:rFonts w:ascii="Times New Roman" w:hAnsi="Times New Roman" w:cs="Times New Roman"/>
          <w:sz w:val="20"/>
          <w:szCs w:val="20"/>
        </w:rPr>
        <w:t>. There are three parameters should be set such as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</w:t>
      </w:r>
      <w:r w:rsidR="00BF275A" w:rsidRPr="00BF275A">
        <w:rPr>
          <w:rFonts w:ascii="Times New Roman" w:hAnsi="Times New Roman" w:cs="Times New Roman"/>
          <w:sz w:val="20"/>
          <w:szCs w:val="20"/>
        </w:rPr>
        <w:t>,</w:t>
      </w:r>
      <w:r w:rsidR="00BF275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</w:t>
      </w:r>
      <w:r w:rsidR="00BF275A" w:rsidRPr="00BF275A">
        <w:rPr>
          <w:rFonts w:ascii="Times New Roman" w:hAnsi="Times New Roman" w:cs="Times New Roman"/>
          <w:sz w:val="20"/>
          <w:szCs w:val="20"/>
        </w:rPr>
        <w:t>,</w:t>
      </w:r>
      <w:r w:rsidR="00BF275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sgtype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”. “</w:t>
      </w:r>
      <w:proofErr w:type="spellStart"/>
      <w:r w:rsidR="00BF275A"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 can be set as 1/2/3, where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=1: prediction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efficiencies for cutting human and mouse genomes;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=2: </w:t>
      </w:r>
      <w:r>
        <w:rPr>
          <w:rFonts w:ascii="Times New Roman" w:hAnsi="Times New Roman" w:cs="Times New Roman"/>
          <w:sz w:val="20"/>
          <w:szCs w:val="20"/>
        </w:rPr>
        <w:t>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efficiencies for cutting zebrafish genome;</w:t>
      </w:r>
    </w:p>
    <w:p w:rsidR="00975CA5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=3: classification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cut human or mouse genomes.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is used to determine the method type which can also set as 1/2/3, where: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=1: </w:t>
      </w:r>
      <w:r>
        <w:rPr>
          <w:rFonts w:ascii="Times New Roman" w:hAnsi="Times New Roman" w:cs="Times New Roman"/>
          <w:sz w:val="20"/>
          <w:szCs w:val="20"/>
        </w:rPr>
        <w:t>using the TSAM, where all the 677 dimensions features are applied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=2: using the TSAM</w:t>
      </w:r>
      <w:r>
        <w:rPr>
          <w:rFonts w:ascii="Times New Roman" w:hAnsi="Times New Roman" w:cs="Times New Roman"/>
          <w:sz w:val="20"/>
          <w:szCs w:val="20"/>
        </w:rPr>
        <w:t>-MT1</w:t>
      </w:r>
      <w:r>
        <w:rPr>
          <w:rFonts w:ascii="Times New Roman" w:hAnsi="Times New Roman" w:cs="Times New Roman"/>
          <w:sz w:val="20"/>
          <w:szCs w:val="20"/>
        </w:rPr>
        <w:t xml:space="preserve">, where </w:t>
      </w:r>
      <w:r>
        <w:rPr>
          <w:rFonts w:ascii="Times New Roman" w:hAnsi="Times New Roman" w:cs="Times New Roman"/>
          <w:sz w:val="20"/>
          <w:szCs w:val="20"/>
        </w:rPr>
        <w:t>the cutting features is not used</w:t>
      </w:r>
      <w:r w:rsidR="00877C54">
        <w:rPr>
          <w:rFonts w:ascii="Times New Roman" w:hAnsi="Times New Roman" w:cs="Times New Roman"/>
          <w:sz w:val="20"/>
          <w:szCs w:val="20"/>
        </w:rPr>
        <w:t xml:space="preserve"> (674d)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=3: using the TSAM-MT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where </w:t>
      </w:r>
      <w:r w:rsidR="00877C54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877C54">
        <w:rPr>
          <w:rFonts w:ascii="Times New Roman" w:hAnsi="Times New Roman" w:cs="Times New Roman"/>
          <w:sz w:val="20"/>
          <w:szCs w:val="20"/>
        </w:rPr>
        <w:t>cut_per_geno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7C54">
        <w:rPr>
          <w:rFonts w:ascii="Times New Roman" w:hAnsi="Times New Roman" w:cs="Times New Roman"/>
          <w:sz w:val="20"/>
          <w:szCs w:val="20"/>
        </w:rPr>
        <w:t>has been used (675d);</w:t>
      </w:r>
    </w:p>
    <w:p w:rsidR="00BF275A" w:rsidRDefault="00877C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104254" w:rsidRPr="00BF275A">
        <w:rPr>
          <w:rFonts w:ascii="Times New Roman" w:hAnsi="Times New Roman" w:cs="Times New Roman"/>
          <w:sz w:val="20"/>
          <w:szCs w:val="20"/>
        </w:rPr>
        <w:t>sgtype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104254">
        <w:rPr>
          <w:rFonts w:ascii="Times New Roman" w:hAnsi="Times New Roman" w:cs="Times New Roman"/>
          <w:sz w:val="20"/>
          <w:szCs w:val="20"/>
        </w:rPr>
        <w:t xml:space="preserve"> is to determine whether those </w:t>
      </w:r>
      <w:proofErr w:type="spellStart"/>
      <w:r w:rsidR="00104254">
        <w:rPr>
          <w:rFonts w:ascii="Times New Roman" w:hAnsi="Times New Roman" w:cs="Times New Roman"/>
          <w:sz w:val="20"/>
          <w:szCs w:val="20"/>
        </w:rPr>
        <w:t>sgRNAs</w:t>
      </w:r>
      <w:proofErr w:type="spellEnd"/>
      <w:r w:rsidR="00104254">
        <w:rPr>
          <w:rFonts w:ascii="Times New Roman" w:hAnsi="Times New Roman" w:cs="Times New Roman"/>
          <w:sz w:val="20"/>
          <w:szCs w:val="20"/>
        </w:rPr>
        <w:t xml:space="preserve"> cutting at the non-coding regions are considered:</w:t>
      </w:r>
    </w:p>
    <w:p w:rsidR="00104254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F275A">
        <w:rPr>
          <w:rFonts w:ascii="Times New Roman" w:hAnsi="Times New Roman" w:cs="Times New Roman"/>
          <w:sz w:val="20"/>
          <w:szCs w:val="20"/>
        </w:rPr>
        <w:t>gtype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=0: all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considered including cutting at non-coding regions;</w:t>
      </w:r>
    </w:p>
    <w:p w:rsidR="00104254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F275A">
        <w:rPr>
          <w:rFonts w:ascii="Times New Roman" w:hAnsi="Times New Roman" w:cs="Times New Roman"/>
          <w:sz w:val="20"/>
          <w:szCs w:val="20"/>
        </w:rPr>
        <w:t>gtype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r w:rsidRPr="0010425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04254">
        <w:rPr>
          <w:rFonts w:ascii="Times New Roman" w:hAnsi="Times New Roman" w:cs="Times New Roman"/>
          <w:sz w:val="20"/>
          <w:szCs w:val="20"/>
        </w:rPr>
        <w:t xml:space="preserve"> for exons only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04254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04254">
        <w:rPr>
          <w:rFonts w:ascii="Times New Roman" w:hAnsi="Times New Roman" w:cs="Times New Roman"/>
          <w:b/>
          <w:sz w:val="20"/>
          <w:szCs w:val="20"/>
        </w:rPr>
        <w:t>2.3 steps for run the codes</w:t>
      </w:r>
    </w:p>
    <w:p w:rsidR="000A2993" w:rsidRPr="00104254" w:rsidRDefault="000A2993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2.3.1 design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with detail gene annotation information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To predict the efficiencies of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sgRNAs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cutting a given gene, such as the MYCN, one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should do as the following steps:</w:t>
      </w:r>
    </w:p>
    <w:p w:rsidR="00975CA5" w:rsidRPr="002C0EEA" w:rsidRDefault="002C0EE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a. </w:t>
      </w:r>
      <w:r>
        <w:rPr>
          <w:rFonts w:ascii="Times New Roman" w:hAnsi="Times New Roman" w:cs="Times New Roman"/>
          <w:sz w:val="20"/>
          <w:szCs w:val="20"/>
        </w:rPr>
        <w:t>Preparing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 well of the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envrionment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 such as installation of the python libraries: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biopython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>, downloading the LIBSVM. In addition, the following packages should have been installed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for python such as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. The anaconda is </w:t>
      </w:r>
      <w:r w:rsidRPr="002C0EEA">
        <w:rPr>
          <w:rFonts w:ascii="Times New Roman" w:hAnsi="Times New Roman" w:cs="Times New Roman"/>
          <w:sz w:val="20"/>
          <w:szCs w:val="20"/>
        </w:rPr>
        <w:t>recommended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 to be installed for preparing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>these packages.</w:t>
      </w:r>
    </w:p>
    <w:p w:rsidR="002250B9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b. </w:t>
      </w:r>
      <w:r w:rsidR="002C0EEA">
        <w:rPr>
          <w:rFonts w:ascii="Times New Roman" w:hAnsi="Times New Roman" w:cs="Times New Roman"/>
          <w:sz w:val="20"/>
          <w:szCs w:val="20"/>
        </w:rPr>
        <w:t>D</w:t>
      </w:r>
      <w:r w:rsidRPr="002C0EEA">
        <w:rPr>
          <w:rFonts w:ascii="Times New Roman" w:hAnsi="Times New Roman" w:cs="Times New Roman"/>
          <w:sz w:val="20"/>
          <w:szCs w:val="20"/>
        </w:rPr>
        <w:t>ownload</w:t>
      </w:r>
      <w:r w:rsidR="002C0EEA">
        <w:rPr>
          <w:rFonts w:ascii="Times New Roman" w:hAnsi="Times New Roman" w:cs="Times New Roman"/>
          <w:sz w:val="20"/>
          <w:szCs w:val="20"/>
        </w:rPr>
        <w:t>ing</w:t>
      </w:r>
      <w:r w:rsidRPr="002C0EEA">
        <w:rPr>
          <w:rFonts w:ascii="Times New Roman" w:hAnsi="Times New Roman" w:cs="Times New Roman"/>
          <w:sz w:val="20"/>
          <w:szCs w:val="20"/>
        </w:rPr>
        <w:t xml:space="preserve"> the genome sequence files from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ensembl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database (</w:t>
      </w:r>
      <w:hyperlink r:id="rId4" w:history="1">
        <w:r w:rsidR="002C0EEA" w:rsidRPr="00A72ADD">
          <w:rPr>
            <w:rStyle w:val="a3"/>
            <w:rFonts w:ascii="Times New Roman" w:hAnsi="Times New Roman" w:cs="Times New Roman"/>
            <w:sz w:val="20"/>
            <w:szCs w:val="20"/>
          </w:rPr>
          <w:t>https://www.ensembl.org/index.html</w:t>
        </w:r>
      </w:hyperlink>
      <w:r w:rsidRPr="002C0EEA">
        <w:rPr>
          <w:rFonts w:ascii="Times New Roman" w:hAnsi="Times New Roman" w:cs="Times New Roman"/>
          <w:sz w:val="20"/>
          <w:szCs w:val="20"/>
        </w:rPr>
        <w:t>)</w:t>
      </w:r>
      <w:r w:rsidR="002C0EEA">
        <w:rPr>
          <w:rFonts w:ascii="Times New Roman" w:hAnsi="Times New Roman" w:cs="Times New Roman"/>
          <w:sz w:val="20"/>
          <w:szCs w:val="20"/>
        </w:rPr>
        <w:t xml:space="preserve">, selecting the species such as human, mouse and zebrafish. Here, as an example, we select human and search for MYCN gene. Then, a transcript </w:t>
      </w:r>
      <w:r w:rsidR="002C0EEA" w:rsidRPr="002C0EEA">
        <w:rPr>
          <w:rFonts w:ascii="Times New Roman" w:hAnsi="Times New Roman" w:cs="Times New Roman"/>
          <w:sz w:val="20"/>
          <w:szCs w:val="20"/>
        </w:rPr>
        <w:t>ENST00000281043.3</w:t>
      </w:r>
      <w:r w:rsidR="002C0EEA">
        <w:rPr>
          <w:rFonts w:ascii="Times New Roman" w:hAnsi="Times New Roman" w:cs="Times New Roman"/>
          <w:sz w:val="20"/>
          <w:szCs w:val="20"/>
        </w:rPr>
        <w:t xml:space="preserve"> can be selected. Click the left pane link of </w:t>
      </w:r>
      <w:r w:rsidR="006E51EE">
        <w:rPr>
          <w:rFonts w:ascii="Times New Roman" w:hAnsi="Times New Roman" w:cs="Times New Roman" w:hint="eastAsia"/>
          <w:sz w:val="20"/>
          <w:szCs w:val="20"/>
        </w:rPr>
        <w:t>c</w:t>
      </w:r>
      <w:r w:rsidR="006E51EE">
        <w:rPr>
          <w:rFonts w:ascii="Times New Roman" w:hAnsi="Times New Roman" w:cs="Times New Roman"/>
          <w:sz w:val="20"/>
          <w:szCs w:val="20"/>
        </w:rPr>
        <w:t>DNA</w:t>
      </w:r>
      <w:r w:rsidR="002C0EEA">
        <w:rPr>
          <w:rFonts w:ascii="Times New Roman" w:hAnsi="Times New Roman" w:cs="Times New Roman"/>
          <w:sz w:val="20"/>
          <w:szCs w:val="20"/>
        </w:rPr>
        <w:t>:</w:t>
      </w:r>
    </w:p>
    <w:p w:rsidR="006E51EE" w:rsidRP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4550" cy="27836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89" cy="27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Then, click the Download sequence link:</w:t>
      </w:r>
    </w:p>
    <w:p w:rsidR="006E51EE" w:rsidRP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2266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EA" w:rsidRDefault="002C0EEA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E51EE" w:rsidRDefault="006E51EE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Later choose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 and tick all the included sequences and click the Download button. Saving the downloaded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in the TSAM fold</w:t>
      </w:r>
      <w:r w:rsidR="006443A3">
        <w:rPr>
          <w:rFonts w:ascii="Times New Roman" w:hAnsi="Times New Roman" w:cs="Times New Roman"/>
          <w:sz w:val="20"/>
          <w:szCs w:val="20"/>
        </w:rPr>
        <w:t xml:space="preserve"> </w:t>
      </w:r>
      <w:r w:rsidR="006443A3">
        <w:rPr>
          <w:rFonts w:ascii="Times New Roman" w:hAnsi="Times New Roman" w:cs="Times New Roman" w:hint="eastAsia"/>
          <w:sz w:val="20"/>
          <w:szCs w:val="20"/>
        </w:rPr>
        <w:t>(</w:t>
      </w:r>
      <w:r w:rsidR="006443A3">
        <w:rPr>
          <w:rFonts w:ascii="Times New Roman" w:hAnsi="Times New Roman" w:cs="Times New Roman"/>
          <w:sz w:val="20"/>
          <w:szCs w:val="20"/>
        </w:rPr>
        <w:t>imaging the file name is not changed, the name is “</w:t>
      </w:r>
      <w:r w:rsidR="006443A3" w:rsidRPr="006443A3">
        <w:rPr>
          <w:rFonts w:ascii="Times New Roman" w:hAnsi="Times New Roman" w:cs="Times New Roman"/>
          <w:sz w:val="20"/>
          <w:szCs w:val="20"/>
        </w:rPr>
        <w:t>Homo_sapiens_MYCN_201_</w:t>
      </w:r>
      <w:proofErr w:type="gramStart"/>
      <w:r w:rsidR="006443A3" w:rsidRPr="006443A3">
        <w:rPr>
          <w:rFonts w:ascii="Times New Roman" w:hAnsi="Times New Roman" w:cs="Times New Roman"/>
          <w:sz w:val="20"/>
          <w:szCs w:val="20"/>
        </w:rPr>
        <w:t>sequence.fa</w:t>
      </w:r>
      <w:proofErr w:type="gramEnd"/>
      <w:r w:rsidR="006443A3">
        <w:rPr>
          <w:rFonts w:ascii="Times New Roman" w:hAnsi="Times New Roman" w:cs="Times New Roman"/>
          <w:sz w:val="20"/>
          <w:szCs w:val="20"/>
        </w:rPr>
        <w:t>”</w:t>
      </w:r>
      <w:r w:rsidR="006443A3"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E51EE" w:rsidRDefault="006E51EE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13150" cy="330499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79" cy="33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EE" w:rsidRDefault="004D212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working fold to be the fold path: “your path\TSAM\” where you locate the TSAM fold under user’s path. Ensure that your python</w:t>
      </w:r>
      <w:r w:rsidR="006443A3">
        <w:rPr>
          <w:rFonts w:ascii="Times New Roman" w:hAnsi="Times New Roman" w:cs="Times New Roman"/>
          <w:sz w:val="20"/>
          <w:szCs w:val="20"/>
        </w:rPr>
        <w:t xml:space="preserve"> 2.7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43A3">
        <w:rPr>
          <w:rFonts w:ascii="Times New Roman" w:hAnsi="Times New Roman" w:cs="Times New Roman"/>
          <w:sz w:val="20"/>
          <w:szCs w:val="20"/>
        </w:rPr>
        <w:t xml:space="preserve">has been installed and the lib path has been correctly set. The </w:t>
      </w:r>
      <w:proofErr w:type="spellStart"/>
      <w:r w:rsidR="006443A3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6443A3">
        <w:rPr>
          <w:rFonts w:ascii="Times New Roman" w:hAnsi="Times New Roman" w:cs="Times New Roman"/>
          <w:sz w:val="20"/>
          <w:szCs w:val="20"/>
        </w:rPr>
        <w:t xml:space="preserve"> should be a newer version, as it needs to call the python functions. </w:t>
      </w:r>
    </w:p>
    <w:p w:rsidR="006443A3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run the following function in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line:</w:t>
      </w:r>
    </w:p>
    <w:p w:rsidR="006443A3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443A3">
        <w:rPr>
          <w:rFonts w:ascii="Times New Roman" w:hAnsi="Times New Roman" w:cs="Times New Roman"/>
          <w:sz w:val="20"/>
          <w:szCs w:val="20"/>
        </w:rPr>
        <w:t>TSAM(</w:t>
      </w:r>
      <w:proofErr w:type="gramEnd"/>
      <w:r w:rsidRPr="006443A3">
        <w:rPr>
          <w:rFonts w:ascii="Times New Roman" w:hAnsi="Times New Roman" w:cs="Times New Roman"/>
          <w:sz w:val="20"/>
          <w:szCs w:val="20"/>
        </w:rPr>
        <w:t>'Homo_sapiens_MYCN_201_sequence.fa',</w:t>
      </w:r>
      <w:r w:rsidR="002864D9"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 w:rsidR="002864D9"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 w:rsidR="002864D9">
        <w:rPr>
          <w:rFonts w:ascii="Times New Roman" w:hAnsi="Times New Roman" w:cs="Times New Roman"/>
          <w:sz w:val="20"/>
          <w:szCs w:val="20"/>
        </w:rPr>
        <w:t xml:space="preserve"> </w:t>
      </w:r>
      <w:r w:rsidR="00C564DF">
        <w:rPr>
          <w:rFonts w:ascii="Times New Roman" w:hAnsi="Times New Roman" w:cs="Times New Roman"/>
          <w:sz w:val="20"/>
          <w:szCs w:val="20"/>
        </w:rPr>
        <w:t>1</w:t>
      </w:r>
      <w:r w:rsidRPr="006443A3">
        <w:rPr>
          <w:rFonts w:ascii="Times New Roman" w:hAnsi="Times New Roman" w:cs="Times New Roman"/>
          <w:sz w:val="20"/>
          <w:szCs w:val="20"/>
        </w:rPr>
        <w:t>)</w:t>
      </w:r>
      <w:r w:rsidR="002864D9">
        <w:rPr>
          <w:rFonts w:ascii="Times New Roman" w:hAnsi="Times New Roman" w:cs="Times New Roman"/>
          <w:sz w:val="20"/>
          <w:szCs w:val="20"/>
        </w:rPr>
        <w:t>;</w:t>
      </w:r>
    </w:p>
    <w:p w:rsidR="002864D9" w:rsidRDefault="002864D9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This command will predict the potential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>’ cutting efficiencies for cutting MYCN gene with TSAM and the non-coding parts are</w:t>
      </w:r>
      <w:r w:rsidR="0051668C">
        <w:rPr>
          <w:rFonts w:ascii="Times New Roman" w:hAnsi="Times New Roman" w:cs="Times New Roman"/>
          <w:sz w:val="20"/>
          <w:szCs w:val="20"/>
        </w:rPr>
        <w:t xml:space="preserve"> not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also </w:t>
      </w:r>
      <w:r w:rsidR="000A2993">
        <w:rPr>
          <w:rFonts w:ascii="Times New Roman" w:hAnsi="Times New Roman" w:cs="Times New Roman"/>
          <w:sz w:val="20"/>
          <w:szCs w:val="20"/>
        </w:rPr>
        <w:t>considered</w:t>
      </w:r>
      <w:r>
        <w:rPr>
          <w:rFonts w:ascii="Times New Roman" w:hAnsi="Times New Roman" w:cs="Times New Roman"/>
          <w:sz w:val="20"/>
          <w:szCs w:val="20"/>
        </w:rPr>
        <w:t>.</w:t>
      </w:r>
      <w:r w:rsidR="000A2993">
        <w:rPr>
          <w:rFonts w:ascii="Times New Roman" w:hAnsi="Times New Roman" w:cs="Times New Roman"/>
          <w:sz w:val="20"/>
          <w:szCs w:val="20"/>
        </w:rPr>
        <w:t xml:space="preserve"> If classification mode is used, just run: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443A3">
        <w:rPr>
          <w:rFonts w:ascii="Times New Roman" w:hAnsi="Times New Roman" w:cs="Times New Roman"/>
          <w:sz w:val="20"/>
          <w:szCs w:val="20"/>
        </w:rPr>
        <w:t>TSAM(</w:t>
      </w:r>
      <w:proofErr w:type="gramEnd"/>
      <w:r w:rsidRPr="006443A3">
        <w:rPr>
          <w:rFonts w:ascii="Times New Roman" w:hAnsi="Times New Roman" w:cs="Times New Roman"/>
          <w:sz w:val="20"/>
          <w:szCs w:val="20"/>
        </w:rPr>
        <w:t>'Homo_sapiens_MYCN_201_sequence.fa',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  <w:r w:rsidRPr="006443A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A2993" w:rsidRDefault="000A2993" w:rsidP="000A299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A2993">
        <w:rPr>
          <w:rFonts w:ascii="Times New Roman" w:hAnsi="Times New Roman" w:cs="Times New Roman"/>
          <w:b/>
          <w:sz w:val="20"/>
          <w:szCs w:val="20"/>
        </w:rPr>
        <w:t xml:space="preserve">2.3.2 </w:t>
      </w:r>
      <w:r>
        <w:rPr>
          <w:rFonts w:ascii="Times New Roman" w:hAnsi="Times New Roman" w:cs="Times New Roman"/>
          <w:b/>
          <w:sz w:val="20"/>
          <w:szCs w:val="20"/>
        </w:rPr>
        <w:t xml:space="preserve">design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with only sequence information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only the sequence information is available, one can run the codes in the following way: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prepare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</w:t>
      </w:r>
      <w:r w:rsidR="00CC3152">
        <w:rPr>
          <w:rFonts w:ascii="Times New Roman" w:hAnsi="Times New Roman" w:cs="Times New Roman"/>
          <w:sz w:val="20"/>
          <w:szCs w:val="20"/>
        </w:rPr>
        <w:t xml:space="preserve"> with the length longer than 30, for example: “</w:t>
      </w:r>
      <w:proofErr w:type="spellStart"/>
      <w:proofErr w:type="gramStart"/>
      <w:r w:rsidR="00CC3152">
        <w:rPr>
          <w:rFonts w:ascii="Times New Roman" w:hAnsi="Times New Roman" w:cs="Times New Roman"/>
          <w:sz w:val="20"/>
          <w:szCs w:val="20"/>
        </w:rPr>
        <w:t>example.fa</w:t>
      </w:r>
      <w:proofErr w:type="spellEnd"/>
      <w:proofErr w:type="gramEnd"/>
      <w:r w:rsidR="00CC3152">
        <w:rPr>
          <w:rFonts w:ascii="Times New Roman" w:hAnsi="Times New Roman" w:cs="Times New Roman"/>
          <w:sz w:val="20"/>
          <w:szCs w:val="20"/>
        </w:rPr>
        <w:t>”;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working fold to be the fold path: “your path\TSAM\” where you locate the TSAM fold under user’s path. Ensure that your python 2.7 has been installed and the lib path has been correctly set.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be a newer version, as it needs to call the python functions. 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run the following function in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line: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443A3">
        <w:rPr>
          <w:rFonts w:ascii="Times New Roman" w:hAnsi="Times New Roman" w:cs="Times New Roman"/>
          <w:sz w:val="20"/>
          <w:szCs w:val="20"/>
        </w:rPr>
        <w:t>TSAM(</w:t>
      </w:r>
      <w:proofErr w:type="gramEnd"/>
      <w:r w:rsidRPr="006443A3"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example</w:t>
      </w:r>
      <w:r w:rsidRPr="006443A3">
        <w:rPr>
          <w:rFonts w:ascii="Times New Roman" w:hAnsi="Times New Roman" w:cs="Times New Roman"/>
          <w:sz w:val="20"/>
          <w:szCs w:val="20"/>
        </w:rPr>
        <w:t>.fa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',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6443A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Here, the parameter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and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sgtype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can only set as 2 and 0 only.</w:t>
      </w:r>
    </w:p>
    <w:p w:rsidR="00CC3152" w:rsidRPr="000A2993" w:rsidRDefault="00CC3152" w:rsidP="000A299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A2993" w:rsidRDefault="000A299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0A2993" w:rsidRPr="002C0EEA" w:rsidRDefault="000A2993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A2993" w:rsidRPr="002C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A5"/>
    <w:rsid w:val="000A2993"/>
    <w:rsid w:val="00104254"/>
    <w:rsid w:val="002864D9"/>
    <w:rsid w:val="002C0EEA"/>
    <w:rsid w:val="003A5CBC"/>
    <w:rsid w:val="004D2123"/>
    <w:rsid w:val="0051668C"/>
    <w:rsid w:val="006443A3"/>
    <w:rsid w:val="00654BF2"/>
    <w:rsid w:val="006E51EE"/>
    <w:rsid w:val="00877C54"/>
    <w:rsid w:val="008906E6"/>
    <w:rsid w:val="00975CA5"/>
    <w:rsid w:val="00A07D97"/>
    <w:rsid w:val="00BF275A"/>
    <w:rsid w:val="00C564DF"/>
    <w:rsid w:val="00CC3152"/>
    <w:rsid w:val="00D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21E7"/>
  <w15:chartTrackingRefBased/>
  <w15:docId w15:val="{097D27FD-37DA-4173-B938-ECC6D1C9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E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0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nsembl.org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PENG</dc:creator>
  <cp:keywords/>
  <dc:description/>
  <cp:lastModifiedBy>HUI PENG</cp:lastModifiedBy>
  <cp:revision>6</cp:revision>
  <dcterms:created xsi:type="dcterms:W3CDTF">2017-10-02T04:23:00Z</dcterms:created>
  <dcterms:modified xsi:type="dcterms:W3CDTF">2017-10-02T08:12:00Z</dcterms:modified>
</cp:coreProperties>
</file>