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E3" w:rsidRPr="00585969" w:rsidRDefault="00ED47E3" w:rsidP="00585969">
      <w:pPr>
        <w:jc w:val="center"/>
        <w:rPr>
          <w:sz w:val="28"/>
          <w:szCs w:val="28"/>
        </w:rPr>
      </w:pPr>
      <w:r w:rsidRPr="00585969">
        <w:rPr>
          <w:sz w:val="28"/>
          <w:szCs w:val="28"/>
        </w:rPr>
        <w:t>Delta Discoveries</w:t>
      </w:r>
    </w:p>
    <w:p w:rsidR="00ED47E3" w:rsidRDefault="00ED47E3" w:rsidP="00ED47E3"/>
    <w:p w:rsidR="00ED47E3" w:rsidRDefault="00ED47E3" w:rsidP="00ED47E3">
      <w:pPr>
        <w:pStyle w:val="ListParagraph"/>
        <w:numPr>
          <w:ilvl w:val="0"/>
          <w:numId w:val="1"/>
        </w:numPr>
      </w:pPr>
      <w:r>
        <w:t>Why aren’t the distributions of asset holdings and CIT as progressive as we would have thought?</w:t>
      </w:r>
    </w:p>
    <w:p w:rsidR="00ED47E3" w:rsidRDefault="00ED47E3" w:rsidP="00ED47E3">
      <w:r>
        <w:t>Recall we fixed the quintiles according to households’ taxable income and, as a consequence, retirees with large asset holdings (but no labor income) might fall in a low quintile. They drive the asset holdings/CIT of low quintiles up.</w:t>
      </w:r>
    </w:p>
    <w:p w:rsidR="00ED47E3" w:rsidRDefault="00ED47E3" w:rsidP="00ED47E3">
      <w:pPr>
        <w:jc w:val="center"/>
      </w:pPr>
      <w:r>
        <w:rPr>
          <w:noProof/>
        </w:rPr>
        <w:drawing>
          <wp:inline distT="0" distB="0" distL="0" distR="0" wp14:anchorId="55AEA902" wp14:editId="644C1887">
            <wp:extent cx="3505200" cy="2062798"/>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47E3" w:rsidRDefault="00ED47E3" w:rsidP="00ED47E3"/>
    <w:p w:rsidR="00ED47E3" w:rsidRDefault="00ED47E3" w:rsidP="00ED47E3">
      <w:pPr>
        <w:pStyle w:val="ListParagraph"/>
        <w:numPr>
          <w:ilvl w:val="0"/>
          <w:numId w:val="1"/>
        </w:numPr>
      </w:pPr>
      <w:r>
        <w:t>Why is the delta for CIT (for all quintiles) so low?</w:t>
      </w:r>
    </w:p>
    <w:p w:rsidR="00ED47E3" w:rsidRDefault="00ED47E3" w:rsidP="00ED47E3">
      <w:r>
        <w:t>We compute static variables holding prices fixed</w:t>
      </w:r>
      <w:r w:rsidR="00D502E3">
        <w:t xml:space="preserve"> and the ‘effective capital </w:t>
      </w:r>
      <w:r w:rsidR="0056663B">
        <w:t>return rate’, that is, capital return rate minus expensing subsidies, decreases around 60% in the counterfactual economy with respect to the static economy (for the open economy with low capital return). This price effect, part of the dynamic effect, reduces CIT (and capital revenues) even though total capital in the economy goes up.</w:t>
      </w:r>
    </w:p>
    <w:p w:rsidR="00ED47E3" w:rsidRDefault="00ED47E3" w:rsidP="00ED47E3">
      <w:pPr>
        <w:jc w:val="center"/>
      </w:pPr>
      <w:r>
        <w:rPr>
          <w:noProof/>
        </w:rPr>
        <w:drawing>
          <wp:inline distT="0" distB="0" distL="0" distR="0" wp14:anchorId="0F0101B3" wp14:editId="3D8FC153">
            <wp:extent cx="3590925" cy="2254885"/>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043E" w:rsidRDefault="00FF043E" w:rsidP="00ED47E3">
      <w:pPr>
        <w:jc w:val="center"/>
      </w:pPr>
    </w:p>
    <w:p w:rsidR="00627A2F" w:rsidRDefault="00627A2F" w:rsidP="00ED47E3">
      <w:pPr>
        <w:jc w:val="center"/>
      </w:pPr>
    </w:p>
    <w:p w:rsidR="00FF043E" w:rsidRDefault="00FF043E" w:rsidP="00FF043E">
      <w:pPr>
        <w:pStyle w:val="ListParagraph"/>
        <w:numPr>
          <w:ilvl w:val="0"/>
          <w:numId w:val="1"/>
        </w:numPr>
      </w:pPr>
      <w:r>
        <w:lastRenderedPageBreak/>
        <w:t>Why does total tax revenues decrease in the open economy with low capital return?</w:t>
      </w:r>
    </w:p>
    <w:p w:rsidR="00FF043E" w:rsidRDefault="00FF043E" w:rsidP="00FF043E">
      <w:r>
        <w:t>Due to the dynamic effect mentioned in item 2, we have a reduction of capital revenues that drives total revenues down.</w:t>
      </w:r>
    </w:p>
    <w:p w:rsidR="00FF043E" w:rsidRDefault="00FF043E" w:rsidP="00FF043E">
      <w:pPr>
        <w:jc w:val="center"/>
      </w:pPr>
      <w:r>
        <w:rPr>
          <w:noProof/>
        </w:rPr>
        <w:drawing>
          <wp:inline distT="0" distB="0" distL="0" distR="0" wp14:anchorId="273470E2" wp14:editId="0887DB23">
            <wp:extent cx="3833813" cy="2558415"/>
            <wp:effectExtent l="0" t="0" r="1460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01B1" w:rsidRDefault="009A01B1" w:rsidP="009A01B1"/>
    <w:p w:rsidR="009A01B1" w:rsidRDefault="009A01B1" w:rsidP="009A01B1">
      <w:pPr>
        <w:pStyle w:val="ListParagraph"/>
        <w:numPr>
          <w:ilvl w:val="0"/>
          <w:numId w:val="1"/>
        </w:numPr>
      </w:pPr>
      <w:r>
        <w:t>Why do labor income and GDP percentage changes differ in the closed economies?</w:t>
      </w:r>
    </w:p>
    <w:p w:rsidR="009A01B1" w:rsidRDefault="009A01B1" w:rsidP="009A01B1">
      <w:r>
        <w:t>Convergence error. In the closed economy code, we use capital-labor ratio guesses so they don’t necessarily equal capital-labor ratio in the model (our tolerance parameter right now is 1e-3).</w:t>
      </w:r>
      <w:r w:rsidR="00ED7C37">
        <w:t xml:space="preserve"> In the open economy, capital-labor ratio is set by closed form conditions, so the difference in that case is a numerical error.</w:t>
      </w:r>
    </w:p>
    <w:p w:rsidR="00415790" w:rsidRDefault="00415790" w:rsidP="009A01B1"/>
    <w:p w:rsidR="00415790" w:rsidRDefault="00415790" w:rsidP="00415790">
      <w:pPr>
        <w:pStyle w:val="ListParagraph"/>
        <w:numPr>
          <w:ilvl w:val="0"/>
          <w:numId w:val="1"/>
        </w:numPr>
      </w:pPr>
      <w:r>
        <w:t xml:space="preserve">Why do Social Security benefits deltas are </w:t>
      </w:r>
      <w:proofErr w:type="spellStart"/>
      <w:r>
        <w:t>NaN</w:t>
      </w:r>
      <w:proofErr w:type="spellEnd"/>
      <w:r>
        <w:t xml:space="preserve"> for some percentiles?</w:t>
      </w:r>
    </w:p>
    <w:p w:rsidR="00611CC9" w:rsidRDefault="00757481" w:rsidP="00415790">
      <w:r>
        <w:t>When we define the percentiles according to total income without Social Security benefits in the first year of transition, three percentile-like groups display a SS benefits</w:t>
      </w:r>
      <w:r w:rsidR="00611CC9">
        <w:t xml:space="preserve"> sum</w:t>
      </w:r>
      <w:r>
        <w:t xml:space="preserve"> equal to zero (in both the baseline and the static economies). </w:t>
      </w:r>
      <w:r w:rsidR="00B24B68">
        <w:t>In those groups</w:t>
      </w:r>
      <w:r w:rsidR="00BD4147">
        <w:t xml:space="preserve"> (60-80 p, 80-90 p, and 90-95 p)</w:t>
      </w:r>
      <w:r w:rsidR="00B24B68">
        <w:t xml:space="preserve">, there is a zero mass of retired households. </w:t>
      </w:r>
      <w:r>
        <w:t xml:space="preserve">As a result, </w:t>
      </w:r>
      <w:r w:rsidR="00B24B68">
        <w:t>the</w:t>
      </w:r>
      <w:r w:rsidR="00BD4147">
        <w:t xml:space="preserve"> calculated deltas are </w:t>
      </w:r>
      <w:proofErr w:type="spellStart"/>
      <w:r w:rsidR="00BD4147">
        <w:t>NaN</w:t>
      </w:r>
      <w:proofErr w:type="spellEnd"/>
      <w:r w:rsidR="00BD4147">
        <w:t>.</w:t>
      </w:r>
    </w:p>
    <w:p w:rsidR="00415790" w:rsidRDefault="00BD4147" w:rsidP="00415790">
      <w:r>
        <w:t>The</w:t>
      </w:r>
      <w:r w:rsidR="00B24B68">
        <w:t xml:space="preserve"> </w:t>
      </w:r>
      <w:r w:rsidR="00092557">
        <w:t>reason is the interaction between</w:t>
      </w:r>
      <w:r w:rsidR="00B24B68">
        <w:t xml:space="preserve"> the assets grid</w:t>
      </w:r>
      <w:r w:rsidR="00092557">
        <w:t>, total return rates, and total income thresholds for each percentile</w:t>
      </w:r>
      <w:r w:rsidR="00B24B68">
        <w:t>. Note that total income without SS benefits is equal to assets income for retired households. For our current parameters, a retired household with asset holdings in the 9</w:t>
      </w:r>
      <w:r w:rsidR="00B24B68" w:rsidRPr="00B24B68">
        <w:rPr>
          <w:vertAlign w:val="superscript"/>
        </w:rPr>
        <w:t>th</w:t>
      </w:r>
      <w:r w:rsidR="00B24B68">
        <w:t xml:space="preserve"> grid point earns enough</w:t>
      </w:r>
      <w:r w:rsidR="00A4144C">
        <w:t xml:space="preserve"> (USD 133,887)</w:t>
      </w:r>
      <w:r w:rsidR="00B24B68">
        <w:t xml:space="preserve"> to be placed in the top 5% total income without SS benefits. However, a retired household with asset holdings in the 8</w:t>
      </w:r>
      <w:r w:rsidR="00B24B68" w:rsidRPr="00B24B68">
        <w:rPr>
          <w:vertAlign w:val="superscript"/>
        </w:rPr>
        <w:t>th</w:t>
      </w:r>
      <w:r w:rsidR="00B24B68">
        <w:t xml:space="preserve"> grid point is </w:t>
      </w:r>
      <w:r w:rsidR="00092557">
        <w:t xml:space="preserve">already far back </w:t>
      </w:r>
      <w:r w:rsidR="00B24B68">
        <w:t>in the bottom 60%</w:t>
      </w:r>
      <w:r w:rsidR="00A4144C">
        <w:t xml:space="preserve"> (USD 50,273)</w:t>
      </w:r>
      <w:r w:rsidR="00B24B68">
        <w:t>.</w:t>
      </w:r>
      <w:r w:rsidR="00092557">
        <w:t xml:space="preserve"> Income inequality results in thresholds that are not too far apart from each other in the first percentiles.</w:t>
      </w:r>
    </w:p>
    <w:tbl>
      <w:tblPr>
        <w:tblStyle w:val="TableGrid"/>
        <w:tblW w:w="0" w:type="auto"/>
        <w:jc w:val="center"/>
        <w:tblLook w:val="04A0" w:firstRow="1" w:lastRow="0" w:firstColumn="1" w:lastColumn="0" w:noHBand="0" w:noVBand="1"/>
      </w:tblPr>
      <w:tblGrid>
        <w:gridCol w:w="2598"/>
        <w:gridCol w:w="2600"/>
        <w:gridCol w:w="2076"/>
      </w:tblGrid>
      <w:tr w:rsidR="00A4144C" w:rsidTr="00A4144C">
        <w:trPr>
          <w:trHeight w:val="269"/>
          <w:jc w:val="center"/>
        </w:trPr>
        <w:tc>
          <w:tcPr>
            <w:tcW w:w="2598" w:type="dxa"/>
            <w:vMerge w:val="restart"/>
            <w:vAlign w:val="center"/>
          </w:tcPr>
          <w:p w:rsidR="00A4144C" w:rsidRDefault="00A4144C" w:rsidP="00A4144C">
            <w:pPr>
              <w:jc w:val="center"/>
            </w:pPr>
            <w:r>
              <w:t>Percentile</w:t>
            </w:r>
          </w:p>
        </w:tc>
        <w:tc>
          <w:tcPr>
            <w:tcW w:w="4676" w:type="dxa"/>
            <w:gridSpan w:val="2"/>
          </w:tcPr>
          <w:p w:rsidR="00A4144C" w:rsidRDefault="00A4144C" w:rsidP="00A4144C">
            <w:pPr>
              <w:jc w:val="center"/>
            </w:pPr>
            <w:r>
              <w:t>Top income threshold</w:t>
            </w:r>
          </w:p>
        </w:tc>
      </w:tr>
      <w:tr w:rsidR="00A4144C" w:rsidTr="00A4144C">
        <w:trPr>
          <w:trHeight w:val="269"/>
          <w:jc w:val="center"/>
        </w:trPr>
        <w:tc>
          <w:tcPr>
            <w:tcW w:w="2598" w:type="dxa"/>
            <w:vMerge/>
          </w:tcPr>
          <w:p w:rsidR="00A4144C" w:rsidRDefault="00A4144C" w:rsidP="00092557">
            <w:pPr>
              <w:jc w:val="center"/>
            </w:pPr>
          </w:p>
        </w:tc>
        <w:tc>
          <w:tcPr>
            <w:tcW w:w="2600" w:type="dxa"/>
          </w:tcPr>
          <w:p w:rsidR="00A4144C" w:rsidRDefault="00A4144C" w:rsidP="00092557">
            <w:pPr>
              <w:jc w:val="center"/>
            </w:pPr>
            <w:r>
              <w:t>Model units</w:t>
            </w:r>
          </w:p>
        </w:tc>
        <w:tc>
          <w:tcPr>
            <w:tcW w:w="2076" w:type="dxa"/>
          </w:tcPr>
          <w:p w:rsidR="00A4144C" w:rsidRDefault="00A4144C" w:rsidP="00092557">
            <w:pPr>
              <w:jc w:val="center"/>
            </w:pPr>
            <w:r>
              <w:t>USD</w:t>
            </w:r>
          </w:p>
        </w:tc>
      </w:tr>
      <w:tr w:rsidR="00A4144C" w:rsidTr="00A4144C">
        <w:trPr>
          <w:trHeight w:val="269"/>
          <w:jc w:val="center"/>
        </w:trPr>
        <w:tc>
          <w:tcPr>
            <w:tcW w:w="2598" w:type="dxa"/>
          </w:tcPr>
          <w:p w:rsidR="00A4144C" w:rsidRDefault="00A4144C" w:rsidP="00A4144C">
            <w:pPr>
              <w:jc w:val="center"/>
            </w:pPr>
            <w:r>
              <w:t>0 – 20 p</w:t>
            </w:r>
          </w:p>
        </w:tc>
        <w:tc>
          <w:tcPr>
            <w:tcW w:w="2600" w:type="dxa"/>
          </w:tcPr>
          <w:p w:rsidR="00A4144C" w:rsidRDefault="00A4144C" w:rsidP="00A4144C">
            <w:pPr>
              <w:jc w:val="center"/>
            </w:pPr>
            <w:r>
              <w:t>0.2754</w:t>
            </w:r>
          </w:p>
        </w:tc>
        <w:tc>
          <w:tcPr>
            <w:tcW w:w="2076" w:type="dxa"/>
          </w:tcPr>
          <w:p w:rsidR="00A4144C" w:rsidRDefault="00A4144C" w:rsidP="00A4144C">
            <w:pPr>
              <w:jc w:val="center"/>
            </w:pPr>
            <w:r>
              <w:t>6,659</w:t>
            </w:r>
          </w:p>
        </w:tc>
      </w:tr>
      <w:tr w:rsidR="00A4144C" w:rsidTr="00A4144C">
        <w:trPr>
          <w:trHeight w:val="269"/>
          <w:jc w:val="center"/>
        </w:trPr>
        <w:tc>
          <w:tcPr>
            <w:tcW w:w="2598" w:type="dxa"/>
          </w:tcPr>
          <w:p w:rsidR="00A4144C" w:rsidRDefault="00A4144C" w:rsidP="00A4144C">
            <w:pPr>
              <w:jc w:val="center"/>
            </w:pPr>
            <w:r>
              <w:lastRenderedPageBreak/>
              <w:t>20 – 40 p</w:t>
            </w:r>
          </w:p>
        </w:tc>
        <w:tc>
          <w:tcPr>
            <w:tcW w:w="2600" w:type="dxa"/>
          </w:tcPr>
          <w:p w:rsidR="00A4144C" w:rsidRDefault="00A4144C" w:rsidP="00A4144C">
            <w:pPr>
              <w:jc w:val="center"/>
            </w:pPr>
            <w:r>
              <w:t>1.4494</w:t>
            </w:r>
          </w:p>
        </w:tc>
        <w:tc>
          <w:tcPr>
            <w:tcW w:w="2076" w:type="dxa"/>
          </w:tcPr>
          <w:p w:rsidR="00A4144C" w:rsidRDefault="00A4144C" w:rsidP="00A4144C">
            <w:pPr>
              <w:jc w:val="center"/>
            </w:pPr>
            <w:r>
              <w:t>35,046</w:t>
            </w:r>
          </w:p>
        </w:tc>
      </w:tr>
      <w:tr w:rsidR="00A4144C" w:rsidTr="00A4144C">
        <w:trPr>
          <w:trHeight w:val="269"/>
          <w:jc w:val="center"/>
        </w:trPr>
        <w:tc>
          <w:tcPr>
            <w:tcW w:w="2598" w:type="dxa"/>
          </w:tcPr>
          <w:p w:rsidR="00A4144C" w:rsidRDefault="00A4144C" w:rsidP="00A4144C">
            <w:pPr>
              <w:jc w:val="center"/>
            </w:pPr>
            <w:r>
              <w:t>40 – 60 p</w:t>
            </w:r>
          </w:p>
        </w:tc>
        <w:tc>
          <w:tcPr>
            <w:tcW w:w="2600" w:type="dxa"/>
          </w:tcPr>
          <w:p w:rsidR="00A4144C" w:rsidRDefault="00A4144C" w:rsidP="00A4144C">
            <w:pPr>
              <w:jc w:val="center"/>
            </w:pPr>
            <w:r>
              <w:t>2.1679</w:t>
            </w:r>
          </w:p>
        </w:tc>
        <w:tc>
          <w:tcPr>
            <w:tcW w:w="2076" w:type="dxa"/>
          </w:tcPr>
          <w:p w:rsidR="00A4144C" w:rsidRDefault="00A4144C" w:rsidP="00A4144C">
            <w:pPr>
              <w:jc w:val="center"/>
            </w:pPr>
            <w:r>
              <w:t>52,419</w:t>
            </w:r>
          </w:p>
        </w:tc>
      </w:tr>
      <w:tr w:rsidR="00A4144C" w:rsidTr="00A4144C">
        <w:trPr>
          <w:trHeight w:val="269"/>
          <w:jc w:val="center"/>
        </w:trPr>
        <w:tc>
          <w:tcPr>
            <w:tcW w:w="2598" w:type="dxa"/>
          </w:tcPr>
          <w:p w:rsidR="00A4144C" w:rsidRDefault="00A4144C" w:rsidP="00A4144C">
            <w:pPr>
              <w:jc w:val="center"/>
            </w:pPr>
            <w:r>
              <w:t>60 – 80 p</w:t>
            </w:r>
          </w:p>
        </w:tc>
        <w:tc>
          <w:tcPr>
            <w:tcW w:w="2600" w:type="dxa"/>
          </w:tcPr>
          <w:p w:rsidR="00A4144C" w:rsidRDefault="00A4144C" w:rsidP="00A4144C">
            <w:pPr>
              <w:jc w:val="center"/>
            </w:pPr>
            <w:r>
              <w:t>3.0001</w:t>
            </w:r>
          </w:p>
        </w:tc>
        <w:tc>
          <w:tcPr>
            <w:tcW w:w="2076" w:type="dxa"/>
          </w:tcPr>
          <w:p w:rsidR="00A4144C" w:rsidRDefault="00A4144C" w:rsidP="00A4144C">
            <w:pPr>
              <w:jc w:val="center"/>
            </w:pPr>
            <w:r>
              <w:t>72,542</w:t>
            </w:r>
          </w:p>
        </w:tc>
      </w:tr>
      <w:tr w:rsidR="00A4144C" w:rsidTr="00A4144C">
        <w:trPr>
          <w:trHeight w:val="269"/>
          <w:jc w:val="center"/>
        </w:trPr>
        <w:tc>
          <w:tcPr>
            <w:tcW w:w="2598" w:type="dxa"/>
          </w:tcPr>
          <w:p w:rsidR="00A4144C" w:rsidRDefault="00A4144C" w:rsidP="00A4144C">
            <w:pPr>
              <w:jc w:val="center"/>
            </w:pPr>
            <w:r>
              <w:t>80 – 90 p</w:t>
            </w:r>
          </w:p>
        </w:tc>
        <w:tc>
          <w:tcPr>
            <w:tcW w:w="2600" w:type="dxa"/>
          </w:tcPr>
          <w:p w:rsidR="00A4144C" w:rsidRDefault="00A4144C" w:rsidP="00A4144C">
            <w:pPr>
              <w:jc w:val="center"/>
            </w:pPr>
            <w:r>
              <w:t>3.4753</w:t>
            </w:r>
          </w:p>
        </w:tc>
        <w:tc>
          <w:tcPr>
            <w:tcW w:w="2076" w:type="dxa"/>
          </w:tcPr>
          <w:p w:rsidR="00A4144C" w:rsidRDefault="00A4144C" w:rsidP="00A4144C">
            <w:pPr>
              <w:jc w:val="center"/>
            </w:pPr>
            <w:r>
              <w:t>84,031</w:t>
            </w:r>
          </w:p>
        </w:tc>
      </w:tr>
      <w:tr w:rsidR="00A4144C" w:rsidTr="00A4144C">
        <w:trPr>
          <w:trHeight w:val="269"/>
          <w:jc w:val="center"/>
        </w:trPr>
        <w:tc>
          <w:tcPr>
            <w:tcW w:w="2598" w:type="dxa"/>
          </w:tcPr>
          <w:p w:rsidR="00A4144C" w:rsidRDefault="00A4144C" w:rsidP="00A4144C">
            <w:pPr>
              <w:jc w:val="center"/>
            </w:pPr>
            <w:r>
              <w:t>90 – 95 p</w:t>
            </w:r>
          </w:p>
        </w:tc>
        <w:tc>
          <w:tcPr>
            <w:tcW w:w="2600" w:type="dxa"/>
          </w:tcPr>
          <w:p w:rsidR="00A4144C" w:rsidRDefault="00A4144C" w:rsidP="00A4144C">
            <w:pPr>
              <w:jc w:val="center"/>
            </w:pPr>
            <w:r>
              <w:t>3.8305</w:t>
            </w:r>
          </w:p>
        </w:tc>
        <w:tc>
          <w:tcPr>
            <w:tcW w:w="2076" w:type="dxa"/>
          </w:tcPr>
          <w:p w:rsidR="00A4144C" w:rsidRDefault="00A4144C" w:rsidP="00A4144C">
            <w:pPr>
              <w:jc w:val="center"/>
            </w:pPr>
            <w:r>
              <w:t>92,620</w:t>
            </w:r>
          </w:p>
        </w:tc>
      </w:tr>
      <w:tr w:rsidR="00A4144C" w:rsidTr="00A4144C">
        <w:trPr>
          <w:trHeight w:val="269"/>
          <w:jc w:val="center"/>
        </w:trPr>
        <w:tc>
          <w:tcPr>
            <w:tcW w:w="2598" w:type="dxa"/>
          </w:tcPr>
          <w:p w:rsidR="00A4144C" w:rsidRDefault="00A4144C" w:rsidP="00A4144C">
            <w:pPr>
              <w:jc w:val="center"/>
            </w:pPr>
            <w:r>
              <w:t>95 – 100 p</w:t>
            </w:r>
          </w:p>
        </w:tc>
        <w:tc>
          <w:tcPr>
            <w:tcW w:w="2600" w:type="dxa"/>
          </w:tcPr>
          <w:p w:rsidR="00A4144C" w:rsidRDefault="00A4144C" w:rsidP="00A4144C">
            <w:pPr>
              <w:jc w:val="center"/>
            </w:pPr>
            <w:r>
              <w:t>95.5898</w:t>
            </w:r>
          </w:p>
        </w:tc>
        <w:tc>
          <w:tcPr>
            <w:tcW w:w="2076" w:type="dxa"/>
          </w:tcPr>
          <w:p w:rsidR="00A4144C" w:rsidRDefault="00A4144C" w:rsidP="00A4144C">
            <w:pPr>
              <w:jc w:val="center"/>
            </w:pPr>
            <w:r>
              <w:t>2,311,342</w:t>
            </w:r>
          </w:p>
        </w:tc>
      </w:tr>
    </w:tbl>
    <w:p w:rsidR="00092557" w:rsidRDefault="00092557" w:rsidP="00092557">
      <w:pPr>
        <w:jc w:val="center"/>
      </w:pPr>
    </w:p>
    <w:p w:rsidR="00F174C3" w:rsidRDefault="00F174C3" w:rsidP="00F174C3">
      <w:r>
        <w:t>The table above shows values without subtracting the corporate capital earnings from income. Doing so results in the following:</w:t>
      </w:r>
    </w:p>
    <w:tbl>
      <w:tblPr>
        <w:tblStyle w:val="TableGrid"/>
        <w:tblW w:w="0" w:type="auto"/>
        <w:jc w:val="center"/>
        <w:tblLook w:val="04A0" w:firstRow="1" w:lastRow="0" w:firstColumn="1" w:lastColumn="0" w:noHBand="0" w:noVBand="1"/>
      </w:tblPr>
      <w:tblGrid>
        <w:gridCol w:w="2598"/>
        <w:gridCol w:w="2600"/>
        <w:gridCol w:w="2076"/>
      </w:tblGrid>
      <w:tr w:rsidR="00F174C3" w:rsidTr="002C1912">
        <w:trPr>
          <w:trHeight w:val="269"/>
          <w:jc w:val="center"/>
        </w:trPr>
        <w:tc>
          <w:tcPr>
            <w:tcW w:w="2598" w:type="dxa"/>
            <w:vMerge w:val="restart"/>
            <w:vAlign w:val="center"/>
          </w:tcPr>
          <w:p w:rsidR="00F174C3" w:rsidRDefault="00F174C3" w:rsidP="002C1912">
            <w:pPr>
              <w:jc w:val="center"/>
            </w:pPr>
            <w:r>
              <w:t>Percentile</w:t>
            </w:r>
          </w:p>
        </w:tc>
        <w:tc>
          <w:tcPr>
            <w:tcW w:w="4676" w:type="dxa"/>
            <w:gridSpan w:val="2"/>
          </w:tcPr>
          <w:p w:rsidR="00F174C3" w:rsidRDefault="00F174C3" w:rsidP="002C1912">
            <w:pPr>
              <w:jc w:val="center"/>
            </w:pPr>
            <w:r>
              <w:t>Top income threshold</w:t>
            </w:r>
          </w:p>
        </w:tc>
      </w:tr>
      <w:tr w:rsidR="00F174C3" w:rsidTr="002C1912">
        <w:trPr>
          <w:trHeight w:val="269"/>
          <w:jc w:val="center"/>
        </w:trPr>
        <w:tc>
          <w:tcPr>
            <w:tcW w:w="2598" w:type="dxa"/>
            <w:vMerge/>
          </w:tcPr>
          <w:p w:rsidR="00F174C3" w:rsidRDefault="00F174C3" w:rsidP="002C1912">
            <w:pPr>
              <w:jc w:val="center"/>
            </w:pPr>
          </w:p>
        </w:tc>
        <w:tc>
          <w:tcPr>
            <w:tcW w:w="2600" w:type="dxa"/>
          </w:tcPr>
          <w:p w:rsidR="00F174C3" w:rsidRDefault="00F174C3" w:rsidP="002C1912">
            <w:pPr>
              <w:jc w:val="center"/>
            </w:pPr>
            <w:r>
              <w:t>Model units</w:t>
            </w:r>
          </w:p>
        </w:tc>
        <w:tc>
          <w:tcPr>
            <w:tcW w:w="2076" w:type="dxa"/>
          </w:tcPr>
          <w:p w:rsidR="00F174C3" w:rsidRDefault="00F174C3" w:rsidP="002C1912">
            <w:pPr>
              <w:jc w:val="center"/>
            </w:pPr>
            <w:r>
              <w:t>USD</w:t>
            </w:r>
          </w:p>
        </w:tc>
      </w:tr>
      <w:tr w:rsidR="00A87F8D" w:rsidTr="002C1912">
        <w:trPr>
          <w:trHeight w:val="269"/>
          <w:jc w:val="center"/>
        </w:trPr>
        <w:tc>
          <w:tcPr>
            <w:tcW w:w="2598" w:type="dxa"/>
          </w:tcPr>
          <w:p w:rsidR="00A87F8D" w:rsidRDefault="00A87F8D" w:rsidP="00A87F8D">
            <w:pPr>
              <w:jc w:val="center"/>
            </w:pPr>
            <w:r>
              <w:t>0 – 20 p</w:t>
            </w:r>
          </w:p>
        </w:tc>
        <w:tc>
          <w:tcPr>
            <w:tcW w:w="2600" w:type="dxa"/>
          </w:tcPr>
          <w:p w:rsidR="00A87F8D" w:rsidRPr="00602C2D" w:rsidRDefault="00A87F8D" w:rsidP="00A87F8D">
            <w:pPr>
              <w:jc w:val="center"/>
            </w:pPr>
            <w:r w:rsidRPr="00602C2D">
              <w:t>0.2061</w:t>
            </w:r>
          </w:p>
        </w:tc>
        <w:tc>
          <w:tcPr>
            <w:tcW w:w="2076" w:type="dxa"/>
          </w:tcPr>
          <w:p w:rsidR="00A87F8D" w:rsidRPr="00E45F11" w:rsidRDefault="00A87F8D" w:rsidP="00A87F8D">
            <w:pPr>
              <w:jc w:val="center"/>
            </w:pPr>
            <w:r w:rsidRPr="00E45F11">
              <w:t>4</w:t>
            </w:r>
            <w:r>
              <w:t>,</w:t>
            </w:r>
            <w:r w:rsidRPr="00E45F11">
              <w:t>983</w:t>
            </w:r>
          </w:p>
        </w:tc>
      </w:tr>
      <w:tr w:rsidR="00A87F8D" w:rsidTr="002C1912">
        <w:trPr>
          <w:trHeight w:val="269"/>
          <w:jc w:val="center"/>
        </w:trPr>
        <w:tc>
          <w:tcPr>
            <w:tcW w:w="2598" w:type="dxa"/>
          </w:tcPr>
          <w:p w:rsidR="00A87F8D" w:rsidRDefault="00A87F8D" w:rsidP="00A87F8D">
            <w:pPr>
              <w:jc w:val="center"/>
            </w:pPr>
            <w:r>
              <w:t>20 – 40 p</w:t>
            </w:r>
          </w:p>
        </w:tc>
        <w:tc>
          <w:tcPr>
            <w:tcW w:w="2600" w:type="dxa"/>
          </w:tcPr>
          <w:p w:rsidR="00A87F8D" w:rsidRPr="00602C2D" w:rsidRDefault="00A87F8D" w:rsidP="00A87F8D">
            <w:pPr>
              <w:jc w:val="center"/>
            </w:pPr>
            <w:r w:rsidRPr="00602C2D">
              <w:t>1.3718</w:t>
            </w:r>
          </w:p>
        </w:tc>
        <w:tc>
          <w:tcPr>
            <w:tcW w:w="2076" w:type="dxa"/>
          </w:tcPr>
          <w:p w:rsidR="00A87F8D" w:rsidRPr="00E45F11" w:rsidRDefault="00A87F8D" w:rsidP="00A87F8D">
            <w:pPr>
              <w:jc w:val="center"/>
            </w:pPr>
            <w:r w:rsidRPr="00E45F11">
              <w:t>33</w:t>
            </w:r>
            <w:r>
              <w:t>,</w:t>
            </w:r>
            <w:r w:rsidRPr="00E45F11">
              <w:t>171</w:t>
            </w:r>
          </w:p>
        </w:tc>
      </w:tr>
      <w:tr w:rsidR="00A87F8D" w:rsidTr="002C1912">
        <w:trPr>
          <w:trHeight w:val="269"/>
          <w:jc w:val="center"/>
        </w:trPr>
        <w:tc>
          <w:tcPr>
            <w:tcW w:w="2598" w:type="dxa"/>
          </w:tcPr>
          <w:p w:rsidR="00A87F8D" w:rsidRDefault="00A87F8D" w:rsidP="00A87F8D">
            <w:pPr>
              <w:jc w:val="center"/>
            </w:pPr>
            <w:r>
              <w:t>40 – 60 p</w:t>
            </w:r>
          </w:p>
        </w:tc>
        <w:tc>
          <w:tcPr>
            <w:tcW w:w="2600" w:type="dxa"/>
          </w:tcPr>
          <w:p w:rsidR="00A87F8D" w:rsidRPr="00602C2D" w:rsidRDefault="00A87F8D" w:rsidP="00A87F8D">
            <w:pPr>
              <w:jc w:val="center"/>
            </w:pPr>
            <w:r w:rsidRPr="00602C2D">
              <w:t>2.0664</w:t>
            </w:r>
          </w:p>
        </w:tc>
        <w:tc>
          <w:tcPr>
            <w:tcW w:w="2076" w:type="dxa"/>
          </w:tcPr>
          <w:p w:rsidR="00A87F8D" w:rsidRPr="00E45F11" w:rsidRDefault="00A87F8D" w:rsidP="00A87F8D">
            <w:pPr>
              <w:jc w:val="center"/>
            </w:pPr>
            <w:r w:rsidRPr="00E45F11">
              <w:t>49</w:t>
            </w:r>
            <w:r>
              <w:t>,</w:t>
            </w:r>
            <w:r w:rsidRPr="00E45F11">
              <w:t>967</w:t>
            </w:r>
          </w:p>
        </w:tc>
      </w:tr>
      <w:tr w:rsidR="00A87F8D" w:rsidTr="002C1912">
        <w:trPr>
          <w:trHeight w:val="269"/>
          <w:jc w:val="center"/>
        </w:trPr>
        <w:tc>
          <w:tcPr>
            <w:tcW w:w="2598" w:type="dxa"/>
          </w:tcPr>
          <w:p w:rsidR="00A87F8D" w:rsidRDefault="00A87F8D" w:rsidP="00A87F8D">
            <w:pPr>
              <w:jc w:val="center"/>
            </w:pPr>
            <w:r>
              <w:t>60 – 80 p</w:t>
            </w:r>
          </w:p>
        </w:tc>
        <w:tc>
          <w:tcPr>
            <w:tcW w:w="2600" w:type="dxa"/>
          </w:tcPr>
          <w:p w:rsidR="00A87F8D" w:rsidRPr="00602C2D" w:rsidRDefault="00A87F8D" w:rsidP="00A87F8D">
            <w:pPr>
              <w:jc w:val="center"/>
            </w:pPr>
            <w:r w:rsidRPr="00602C2D">
              <w:t>2.8466</w:t>
            </w:r>
          </w:p>
        </w:tc>
        <w:tc>
          <w:tcPr>
            <w:tcW w:w="2076" w:type="dxa"/>
          </w:tcPr>
          <w:p w:rsidR="00A87F8D" w:rsidRPr="00E45F11" w:rsidRDefault="00A87F8D" w:rsidP="00A87F8D">
            <w:pPr>
              <w:jc w:val="center"/>
            </w:pPr>
            <w:r w:rsidRPr="00E45F11">
              <w:t>68</w:t>
            </w:r>
            <w:r>
              <w:t>,</w:t>
            </w:r>
            <w:r w:rsidRPr="00E45F11">
              <w:t>831</w:t>
            </w:r>
          </w:p>
        </w:tc>
      </w:tr>
      <w:tr w:rsidR="00A87F8D" w:rsidTr="002C1912">
        <w:trPr>
          <w:trHeight w:val="269"/>
          <w:jc w:val="center"/>
        </w:trPr>
        <w:tc>
          <w:tcPr>
            <w:tcW w:w="2598" w:type="dxa"/>
          </w:tcPr>
          <w:p w:rsidR="00A87F8D" w:rsidRDefault="00A87F8D" w:rsidP="00A87F8D">
            <w:pPr>
              <w:jc w:val="center"/>
            </w:pPr>
            <w:r>
              <w:t>80 – 90 p</w:t>
            </w:r>
          </w:p>
        </w:tc>
        <w:tc>
          <w:tcPr>
            <w:tcW w:w="2600" w:type="dxa"/>
          </w:tcPr>
          <w:p w:rsidR="00A87F8D" w:rsidRPr="00602C2D" w:rsidRDefault="00A87F8D" w:rsidP="00A87F8D">
            <w:pPr>
              <w:jc w:val="center"/>
            </w:pPr>
            <w:r w:rsidRPr="00602C2D">
              <w:t>3.2665</w:t>
            </w:r>
          </w:p>
        </w:tc>
        <w:tc>
          <w:tcPr>
            <w:tcW w:w="2076" w:type="dxa"/>
          </w:tcPr>
          <w:p w:rsidR="00A87F8D" w:rsidRPr="00E45F11" w:rsidRDefault="00A87F8D" w:rsidP="00A87F8D">
            <w:pPr>
              <w:jc w:val="center"/>
            </w:pPr>
            <w:r w:rsidRPr="00E45F11">
              <w:t>78</w:t>
            </w:r>
            <w:r>
              <w:t>,</w:t>
            </w:r>
            <w:r w:rsidRPr="00E45F11">
              <w:t>985</w:t>
            </w:r>
          </w:p>
        </w:tc>
      </w:tr>
      <w:tr w:rsidR="00A87F8D" w:rsidTr="002C1912">
        <w:trPr>
          <w:trHeight w:val="269"/>
          <w:jc w:val="center"/>
        </w:trPr>
        <w:tc>
          <w:tcPr>
            <w:tcW w:w="2598" w:type="dxa"/>
          </w:tcPr>
          <w:p w:rsidR="00A87F8D" w:rsidRDefault="00A87F8D" w:rsidP="00A87F8D">
            <w:pPr>
              <w:jc w:val="center"/>
            </w:pPr>
            <w:r>
              <w:t>90 – 95 p</w:t>
            </w:r>
          </w:p>
        </w:tc>
        <w:tc>
          <w:tcPr>
            <w:tcW w:w="2600" w:type="dxa"/>
          </w:tcPr>
          <w:p w:rsidR="00A87F8D" w:rsidRPr="00602C2D" w:rsidRDefault="00A87F8D" w:rsidP="00A87F8D">
            <w:pPr>
              <w:jc w:val="center"/>
            </w:pPr>
            <w:r w:rsidRPr="00602C2D">
              <w:t>3.5941</w:t>
            </w:r>
          </w:p>
        </w:tc>
        <w:tc>
          <w:tcPr>
            <w:tcW w:w="2076" w:type="dxa"/>
          </w:tcPr>
          <w:p w:rsidR="00A87F8D" w:rsidRPr="00E45F11" w:rsidRDefault="00A87F8D" w:rsidP="00A87F8D">
            <w:pPr>
              <w:jc w:val="center"/>
            </w:pPr>
            <w:r w:rsidRPr="00E45F11">
              <w:t>86</w:t>
            </w:r>
            <w:r>
              <w:t>,</w:t>
            </w:r>
            <w:r w:rsidRPr="00E45F11">
              <w:t>907</w:t>
            </w:r>
          </w:p>
        </w:tc>
      </w:tr>
      <w:tr w:rsidR="00A87F8D" w:rsidTr="002C1912">
        <w:trPr>
          <w:trHeight w:val="269"/>
          <w:jc w:val="center"/>
        </w:trPr>
        <w:tc>
          <w:tcPr>
            <w:tcW w:w="2598" w:type="dxa"/>
          </w:tcPr>
          <w:p w:rsidR="00A87F8D" w:rsidRDefault="00A87F8D" w:rsidP="00A87F8D">
            <w:pPr>
              <w:jc w:val="center"/>
            </w:pPr>
            <w:r>
              <w:t>95 – 100 p</w:t>
            </w:r>
          </w:p>
        </w:tc>
        <w:tc>
          <w:tcPr>
            <w:tcW w:w="2600" w:type="dxa"/>
          </w:tcPr>
          <w:p w:rsidR="00A87F8D" w:rsidRDefault="00A87F8D" w:rsidP="00A87F8D">
            <w:pPr>
              <w:jc w:val="center"/>
            </w:pPr>
            <w:r w:rsidRPr="00602C2D">
              <w:t>77.5738</w:t>
            </w:r>
          </w:p>
        </w:tc>
        <w:tc>
          <w:tcPr>
            <w:tcW w:w="2076" w:type="dxa"/>
          </w:tcPr>
          <w:p w:rsidR="00A87F8D" w:rsidRDefault="00A87F8D" w:rsidP="00A87F8D">
            <w:pPr>
              <w:jc w:val="center"/>
            </w:pPr>
            <w:r w:rsidRPr="00E45F11">
              <w:t>1</w:t>
            </w:r>
            <w:r>
              <w:t>,</w:t>
            </w:r>
            <w:r w:rsidRPr="00E45F11">
              <w:t>875</w:t>
            </w:r>
            <w:r>
              <w:t>,</w:t>
            </w:r>
            <w:r w:rsidRPr="00E45F11">
              <w:t>719</w:t>
            </w:r>
          </w:p>
        </w:tc>
      </w:tr>
    </w:tbl>
    <w:p w:rsidR="00F174C3" w:rsidRDefault="00F174C3" w:rsidP="00F174C3"/>
    <w:p w:rsidR="00627A2F" w:rsidRDefault="00627A2F" w:rsidP="00F174C3"/>
    <w:p w:rsidR="00627A2F" w:rsidRDefault="00627A2F" w:rsidP="00627A2F">
      <w:pPr>
        <w:pStyle w:val="ListParagraph"/>
        <w:numPr>
          <w:ilvl w:val="0"/>
          <w:numId w:val="1"/>
        </w:numPr>
      </w:pPr>
      <w:r>
        <w:t xml:space="preserve">Why do we use </w:t>
      </w:r>
      <w:proofErr w:type="spellStart"/>
      <w:r>
        <w:t>kpricescale</w:t>
      </w:r>
      <w:proofErr w:type="spellEnd"/>
      <w:r>
        <w:t xml:space="preserve"> to re</w:t>
      </w:r>
      <w:r w:rsidR="00B0168F">
        <w:t>-</w:t>
      </w:r>
      <w:r>
        <w:t>price assets?</w:t>
      </w:r>
    </w:p>
    <w:p w:rsidR="00627A2F" w:rsidRDefault="006736EC" w:rsidP="00627A2F">
      <w:r>
        <w:t>To answer this question, I’ll describe what happens in the economy when capital tax rates go down.</w:t>
      </w:r>
      <w:r w:rsidR="000663C3">
        <w:t xml:space="preserve"> In this case, capital gains are realized and we use </w:t>
      </w:r>
      <w:proofErr w:type="spellStart"/>
      <w:r w:rsidR="000663C3">
        <w:t>kpricescale</w:t>
      </w:r>
      <w:proofErr w:type="spellEnd"/>
      <w:r w:rsidR="000663C3">
        <w:t xml:space="preserve"> as means to boost households’ asset holdings. We choose not to create a separate term for capital gains in the budget constraint because the presence of expensing and taxation would distort any new investment </w:t>
      </w:r>
      <w:r w:rsidR="008D0A31">
        <w:t>derived from that extra source.</w:t>
      </w:r>
      <w:r w:rsidR="00B0168F">
        <w:t xml:space="preserve"> In other words, the extra value accrued to assets new pricing shows up in the household budget constraint as </w:t>
      </w:r>
      <w:r w:rsidR="00633BFD">
        <w:t>an increase in the overall asset holdings.</w:t>
      </w:r>
    </w:p>
    <w:p w:rsidR="00633BFD" w:rsidRDefault="008D0A31" w:rsidP="00627A2F">
      <w:r>
        <w:t xml:space="preserve">We also take the stand that </w:t>
      </w:r>
      <w:r w:rsidR="00633BFD">
        <w:t>CIT and PIT are applied to asset holdings at these “correct/updated” prices. Hence those taxes include capital gains/losses.</w:t>
      </w:r>
      <w:r w:rsidR="00276AD2">
        <w:t xml:space="preserve"> </w:t>
      </w:r>
      <w:r w:rsidR="00633BFD">
        <w:t xml:space="preserve">We should revisit </w:t>
      </w:r>
      <w:proofErr w:type="spellStart"/>
      <w:r w:rsidR="00633BFD">
        <w:t>totrates</w:t>
      </w:r>
      <w:proofErr w:type="spellEnd"/>
      <w:r w:rsidR="00633BFD">
        <w:t xml:space="preserve"> definition because, although </w:t>
      </w:r>
      <w:proofErr w:type="spellStart"/>
      <w:r w:rsidR="00633BFD">
        <w:t>caprates</w:t>
      </w:r>
      <w:proofErr w:type="spellEnd"/>
      <w:r w:rsidR="00633BFD">
        <w:t xml:space="preserve"> are measured in units of physical capital, </w:t>
      </w:r>
      <w:proofErr w:type="spellStart"/>
      <w:r w:rsidR="00633BFD">
        <w:t>totrates</w:t>
      </w:r>
      <w:proofErr w:type="spellEnd"/>
      <w:r w:rsidR="00633BFD">
        <w:t xml:space="preserve"> incur over assets measured in model units.</w:t>
      </w:r>
    </w:p>
    <w:p w:rsidR="00276AD2" w:rsidRDefault="00276AD2" w:rsidP="00276AD2">
      <w:r>
        <w:t>The advantage of rescaling the entire asset grid versus creating a new term for the capital gain lays in the computational efficiency of the code. When we re-scale the whole grid, the operation is done once as opposed to calculating the capital gain for each household type and sum it to the budget constraint.</w:t>
      </w:r>
    </w:p>
    <w:p w:rsidR="008F2854" w:rsidRDefault="008F2854" w:rsidP="00276AD2"/>
    <w:p w:rsidR="008F2854" w:rsidRDefault="008F2854" w:rsidP="008F2854">
      <w:pPr>
        <w:pStyle w:val="ListParagraph"/>
        <w:numPr>
          <w:ilvl w:val="0"/>
          <w:numId w:val="1"/>
        </w:numPr>
      </w:pPr>
      <w:r>
        <w:t>Why do assets in the first period of transition differ from assets in the steady state?</w:t>
      </w:r>
    </w:p>
    <w:p w:rsidR="008F2854" w:rsidRDefault="008F2854" w:rsidP="008F2854">
      <w:r>
        <w:t>Population growth</w:t>
      </w:r>
      <w:r w:rsidR="00996BCF">
        <w:t xml:space="preserve"> and bequests</w:t>
      </w:r>
      <w:r>
        <w:t xml:space="preserve">. It is easy to see that when we create a new aggregate variable “savings” in </w:t>
      </w:r>
      <w:proofErr w:type="spellStart"/>
      <w:r>
        <w:t>generate_aggregates</w:t>
      </w:r>
      <w:proofErr w:type="spellEnd"/>
      <w:r>
        <w:t xml:space="preserve"> function as follows:</w:t>
      </w:r>
    </w:p>
    <w:p w:rsidR="008F2854" w:rsidRDefault="008F2854" w:rsidP="008F2854">
      <w:pPr>
        <w:jc w:val="center"/>
      </w:pPr>
      <w:proofErr w:type="spellStart"/>
      <w:r w:rsidRPr="008F2854">
        <w:t>Aggregate.savings</w:t>
      </w:r>
      <w:proofErr w:type="spellEnd"/>
      <w:r>
        <w:t xml:space="preserve"> </w:t>
      </w:r>
      <w:r w:rsidR="00996BCF">
        <w:t xml:space="preserve">= </w:t>
      </w:r>
      <w:proofErr w:type="gramStart"/>
      <w:r w:rsidR="00996BCF">
        <w:t>f(</w:t>
      </w:r>
      <w:proofErr w:type="spellStart"/>
      <w:proofErr w:type="gramEnd"/>
      <w:r w:rsidR="00996BCF">
        <w:t>OPTs.SAVINGS</w:t>
      </w:r>
      <w:proofErr w:type="spellEnd"/>
      <w:r w:rsidR="00996BCF">
        <w:t>).</w:t>
      </w:r>
    </w:p>
    <w:p w:rsidR="008F2854" w:rsidRDefault="008F2854" w:rsidP="008F2854">
      <w:r>
        <w:lastRenderedPageBreak/>
        <w:t>Since in steady state households’ policy functions are unchanged, their savings rule is the same and in the aggregate we have:</w:t>
      </w:r>
    </w:p>
    <w:p w:rsidR="008F2854" w:rsidRDefault="008F2854" w:rsidP="008F2854">
      <w:pPr>
        <w:jc w:val="center"/>
      </w:pPr>
      <w:proofErr w:type="spellStart"/>
      <w:proofErr w:type="gramStart"/>
      <w:r w:rsidRPr="008F2854">
        <w:t>Aggregate.savings</w:t>
      </w:r>
      <w:proofErr w:type="spellEnd"/>
      <w:r>
        <w:t>(</w:t>
      </w:r>
      <w:proofErr w:type="gramEnd"/>
      <w:r>
        <w:t xml:space="preserve">steady) / </w:t>
      </w:r>
      <w:r w:rsidRPr="008F2854">
        <w:t>Aggregate.</w:t>
      </w:r>
      <w:r>
        <w:t>assets_0</w:t>
      </w:r>
      <w:r>
        <w:t xml:space="preserve">(steady) </w:t>
      </w:r>
      <w:r w:rsidRPr="008F2854">
        <w:t xml:space="preserve">= </w:t>
      </w:r>
      <w:r>
        <w:t>1.0078</w:t>
      </w:r>
      <w:r w:rsidRPr="008F2854">
        <w:t>;</w:t>
      </w:r>
    </w:p>
    <w:p w:rsidR="000663C3" w:rsidRDefault="00996BCF" w:rsidP="00627A2F">
      <w:r>
        <w:t>Where 0.78% is the population growth rate.</w:t>
      </w:r>
    </w:p>
    <w:p w:rsidR="00996BCF" w:rsidRDefault="00996BCF" w:rsidP="00996BCF">
      <w:r>
        <w:t>Then, using the savings variable, the precise way to impute total assets for the first period of transition is:</w:t>
      </w:r>
    </w:p>
    <w:p w:rsidR="00996BCF" w:rsidRDefault="00996BCF" w:rsidP="00996BCF">
      <w:pPr>
        <w:jc w:val="center"/>
      </w:pPr>
      <w:r w:rsidRPr="008F2854">
        <w:t>assets_</w:t>
      </w:r>
      <w:proofErr w:type="gramStart"/>
      <w:r w:rsidRPr="008F2854">
        <w:t>0(</w:t>
      </w:r>
      <w:proofErr w:type="gramEnd"/>
      <w:r w:rsidRPr="008F2854">
        <w:t>1</w:t>
      </w:r>
      <w:r w:rsidR="00692D33" w:rsidRPr="00692D33">
        <w:rPr>
          <w:vertAlign w:val="superscript"/>
        </w:rPr>
        <w:t>st</w:t>
      </w:r>
      <w:r w:rsidR="00692D33">
        <w:t xml:space="preserve"> period of transition</w:t>
      </w:r>
      <w:r w:rsidRPr="008F2854">
        <w:t xml:space="preserve">) </w:t>
      </w:r>
      <w:r>
        <w:t xml:space="preserve">= </w:t>
      </w:r>
      <w:r w:rsidRPr="008F2854">
        <w:t>Savings(</w:t>
      </w:r>
      <w:r w:rsidR="00692D33">
        <w:t>steady</w:t>
      </w:r>
      <w:r w:rsidRPr="008F2854">
        <w:t xml:space="preserve">) </w:t>
      </w:r>
      <w:r>
        <w:t>-</w:t>
      </w:r>
      <w:r w:rsidRPr="008F2854">
        <w:t xml:space="preserve"> bequests(</w:t>
      </w:r>
      <w:r w:rsidR="00692D33">
        <w:t>steady</w:t>
      </w:r>
      <w:r w:rsidRPr="008F2854">
        <w:t>)</w:t>
      </w:r>
      <w:r>
        <w:t>.</w:t>
      </w:r>
    </w:p>
    <w:p w:rsidR="00327938" w:rsidRDefault="000743CE" w:rsidP="00627A2F">
      <w:r>
        <w:t>This equation has consequences for the level of physical capital in the economy. In the open economy, because we have the portfolio composition (</w:t>
      </w:r>
      <w:proofErr w:type="spellStart"/>
      <w:r>
        <w:t>capshares</w:t>
      </w:r>
      <w:proofErr w:type="spellEnd"/>
      <w:r>
        <w:t xml:space="preserve">) fixed, one can interpret that households literally save assets in physical units, which will be there in the next period. </w:t>
      </w:r>
      <w:r w:rsidR="00327938">
        <w:t>Hence:</w:t>
      </w:r>
    </w:p>
    <w:p w:rsidR="00327938" w:rsidRDefault="00327938" w:rsidP="00327938">
      <w:pPr>
        <w:jc w:val="center"/>
      </w:pPr>
      <w:proofErr w:type="spellStart"/>
      <w:r>
        <w:t>caps</w:t>
      </w:r>
      <w:r w:rsidR="00C1710C">
        <w:t>_</w:t>
      </w:r>
      <w:proofErr w:type="gramStart"/>
      <w:r w:rsidR="00C1710C">
        <w:t>dom</w:t>
      </w:r>
      <w:proofErr w:type="spellEnd"/>
      <w:r>
        <w:t>(</w:t>
      </w:r>
      <w:proofErr w:type="gramEnd"/>
      <w:r>
        <w:t>1</w:t>
      </w:r>
      <w:r w:rsidRPr="00327938">
        <w:rPr>
          <w:vertAlign w:val="superscript"/>
        </w:rPr>
        <w:t>st</w:t>
      </w:r>
      <w:r>
        <w:t xml:space="preserve"> period of transition) = ( savings(</w:t>
      </w:r>
      <w:r w:rsidRPr="00327938">
        <w:t>steady</w:t>
      </w:r>
      <w:r>
        <w:t xml:space="preserve">) - </w:t>
      </w:r>
      <w:r w:rsidRPr="00327938">
        <w:t>bequests</w:t>
      </w:r>
      <w:r>
        <w:t>(</w:t>
      </w:r>
      <w:r w:rsidRPr="00327938">
        <w:t>steady</w:t>
      </w:r>
      <w:r>
        <w:t>)</w:t>
      </w:r>
      <w:r>
        <w:t xml:space="preserve"> </w:t>
      </w:r>
      <w:r w:rsidRPr="00327938">
        <w:t>)</w:t>
      </w:r>
      <w:r>
        <w:t xml:space="preserve"> </w:t>
      </w:r>
      <w:r w:rsidRPr="00327938">
        <w:t>*</w:t>
      </w:r>
      <w:r>
        <w:t xml:space="preserve"> </w:t>
      </w:r>
      <w:r w:rsidRPr="00327938">
        <w:t>capshares_0</w:t>
      </w:r>
      <w:r>
        <w:t>(</w:t>
      </w:r>
      <w:r w:rsidRPr="00327938">
        <w:t>steady</w:t>
      </w:r>
      <w:r>
        <w:t>)</w:t>
      </w:r>
      <w:r>
        <w:t>.</w:t>
      </w:r>
    </w:p>
    <w:p w:rsidR="002307EB" w:rsidRDefault="002307EB" w:rsidP="00627A2F">
      <w:r>
        <w:t xml:space="preserve">Notice that we omitted the steady-state price of capital that should be dividing all the RHS in the equation </w:t>
      </w:r>
      <w:r w:rsidR="000824D0">
        <w:t>because</w:t>
      </w:r>
      <w:r>
        <w:t xml:space="preserve"> it is one.</w:t>
      </w:r>
    </w:p>
    <w:p w:rsidR="00996BCF" w:rsidRDefault="000743CE" w:rsidP="00627A2F">
      <w:r>
        <w:t xml:space="preserve">In the closed economy tough, </w:t>
      </w:r>
      <w:r w:rsidR="000824D0">
        <w:t>that</w:t>
      </w:r>
      <w:r>
        <w:t xml:space="preserve"> </w:t>
      </w:r>
      <w:r w:rsidR="00C63984">
        <w:t>equation</w:t>
      </w:r>
      <w:r>
        <w:t xml:space="preserve"> fails since the portfolio composition endogenously adjusts such that markets clear</w:t>
      </w:r>
      <w:r w:rsidR="00C63984">
        <w:t xml:space="preserve"> (instead of having foreign capital clearing the market for capital)</w:t>
      </w:r>
      <w:r>
        <w:t>.</w:t>
      </w:r>
      <w:r w:rsidR="00327938">
        <w:t xml:space="preserve"> In this case, </w:t>
      </w:r>
      <w:r w:rsidR="00C63984">
        <w:t xml:space="preserve">although </w:t>
      </w:r>
      <w:r w:rsidR="00327938">
        <w:t>the interpretation is</w:t>
      </w:r>
      <w:r w:rsidR="00C63984">
        <w:t xml:space="preserve"> still </w:t>
      </w:r>
      <w:r w:rsidR="00C63984">
        <w:t>appropriate</w:t>
      </w:r>
      <w:r w:rsidR="00C63984">
        <w:t>, the equation becomes:</w:t>
      </w:r>
    </w:p>
    <w:p w:rsidR="00C63984" w:rsidRDefault="00C63984" w:rsidP="00627A2F">
      <w:proofErr w:type="spellStart"/>
      <w:r w:rsidRPr="00C63984">
        <w:t>caps_dom</w:t>
      </w:r>
      <w:proofErr w:type="spellEnd"/>
      <w:r w:rsidRPr="00C63984">
        <w:t xml:space="preserve"> (</w:t>
      </w:r>
      <w:r>
        <w:t>1</w:t>
      </w:r>
      <w:r w:rsidRPr="00327938">
        <w:rPr>
          <w:vertAlign w:val="superscript"/>
        </w:rPr>
        <w:t>st</w:t>
      </w:r>
      <w:r>
        <w:t xml:space="preserve"> period of transition</w:t>
      </w:r>
      <w:r w:rsidRPr="00C63984">
        <w:t xml:space="preserve">) </w:t>
      </w:r>
      <w:r>
        <w:t>=</w:t>
      </w:r>
      <w:r w:rsidRPr="00C63984">
        <w:t xml:space="preserve"> (</w:t>
      </w:r>
      <w:proofErr w:type="gramStart"/>
      <w:r w:rsidRPr="00C63984">
        <w:t>savings</w:t>
      </w:r>
      <w:r>
        <w:t>(</w:t>
      </w:r>
      <w:proofErr w:type="gramEnd"/>
      <w:r w:rsidRPr="00327938">
        <w:t>steady</w:t>
      </w:r>
      <w:r>
        <w:t xml:space="preserve">) </w:t>
      </w:r>
      <w:r w:rsidRPr="00C63984">
        <w:t xml:space="preserve"> -.bequests</w:t>
      </w:r>
      <w:r>
        <w:t>(</w:t>
      </w:r>
      <w:r w:rsidRPr="00327938">
        <w:t>steady</w:t>
      </w:r>
      <w:r>
        <w:t>)</w:t>
      </w:r>
      <w:r w:rsidRPr="00C63984">
        <w:t>)</w:t>
      </w:r>
      <w:r>
        <w:t xml:space="preserve"> </w:t>
      </w:r>
      <w:r w:rsidRPr="00C63984">
        <w:t>.*</w:t>
      </w:r>
      <w:r>
        <w:t xml:space="preserve"> capshares_0(</w:t>
      </w:r>
      <w:r>
        <w:t>1</w:t>
      </w:r>
      <w:r w:rsidRPr="00327938">
        <w:rPr>
          <w:vertAlign w:val="superscript"/>
        </w:rPr>
        <w:t>st</w:t>
      </w:r>
      <w:r>
        <w:t xml:space="preserve"> period of transition</w:t>
      </w:r>
      <w:r>
        <w:t>).</w:t>
      </w:r>
    </w:p>
    <w:p w:rsidR="00996BCF" w:rsidRDefault="00C46DEC" w:rsidP="00627A2F">
      <w:r>
        <w:t>We should have been able to compute capshares_</w:t>
      </w:r>
      <w:proofErr w:type="gramStart"/>
      <w:r>
        <w:t>0</w:t>
      </w:r>
      <w:r>
        <w:t>(</w:t>
      </w:r>
      <w:proofErr w:type="gramEnd"/>
      <w:r>
        <w:t>1</w:t>
      </w:r>
      <w:r w:rsidRPr="00327938">
        <w:rPr>
          <w:vertAlign w:val="superscript"/>
        </w:rPr>
        <w:t>st</w:t>
      </w:r>
      <w:r>
        <w:t xml:space="preserve"> period of transition)</w:t>
      </w:r>
      <w:r>
        <w:t xml:space="preserve"> in the steady state, but </w:t>
      </w:r>
      <w:r w:rsidR="008447C4">
        <w:t xml:space="preserve">we don’t have enough information </w:t>
      </w:r>
      <w:r>
        <w:t xml:space="preserve">(output path) </w:t>
      </w:r>
      <w:r w:rsidR="008447C4">
        <w:t>to predict the composition in the transition</w:t>
      </w:r>
      <w:r>
        <w:t xml:space="preserve"> (using the debt-to-GDP ratio)</w:t>
      </w:r>
      <w:r w:rsidR="008447C4">
        <w:t>, something trivial in the transition path</w:t>
      </w:r>
      <w:r w:rsidR="00C63984">
        <w:t>. The correct approach would be to compute next period’s debt</w:t>
      </w:r>
      <w:r w:rsidR="00AC5FA8">
        <w:t xml:space="preserve"> from the equation:</w:t>
      </w:r>
    </w:p>
    <w:p w:rsidR="00AC5FA8" w:rsidRDefault="00AC5FA8" w:rsidP="00AC5FA8">
      <w:pPr>
        <w:jc w:val="center"/>
      </w:pPr>
      <w:r>
        <w:t>D</w:t>
      </w:r>
      <w:r>
        <w:t>(1</w:t>
      </w:r>
      <w:r w:rsidRPr="00327938">
        <w:rPr>
          <w:vertAlign w:val="superscript"/>
        </w:rPr>
        <w:t>st</w:t>
      </w:r>
      <w:r>
        <w:t xml:space="preserve"> period of transition) </w:t>
      </w:r>
      <w:r>
        <w:t xml:space="preserve"> = D</w:t>
      </w:r>
      <w:r>
        <w:t>(</w:t>
      </w:r>
      <w:r w:rsidRPr="00327938">
        <w:t>steady</w:t>
      </w:r>
      <w:r>
        <w:t xml:space="preserve">) </w:t>
      </w:r>
      <w:r>
        <w:t xml:space="preserve"> (1 + </w:t>
      </w:r>
      <w:proofErr w:type="spellStart"/>
      <w:r>
        <w:t>r_g</w:t>
      </w:r>
      <w:proofErr w:type="spellEnd"/>
      <w:r>
        <w:t>(</w:t>
      </w:r>
      <w:r w:rsidRPr="00327938">
        <w:t>steady</w:t>
      </w:r>
      <w:r>
        <w:t>))</w:t>
      </w:r>
      <w:r>
        <w:t xml:space="preserve"> + </w:t>
      </w:r>
      <w:proofErr w:type="spellStart"/>
      <w:r>
        <w:t>Ctilde</w:t>
      </w:r>
      <w:proofErr w:type="spellEnd"/>
      <w:r>
        <w:t>(</w:t>
      </w:r>
      <w:r w:rsidRPr="00327938">
        <w:t>steady</w:t>
      </w:r>
      <w:r>
        <w:t xml:space="preserve">) </w:t>
      </w:r>
      <w:r>
        <w:t xml:space="preserve"> + Bens</w:t>
      </w:r>
      <w:r>
        <w:t>(</w:t>
      </w:r>
      <w:r w:rsidRPr="00327938">
        <w:t>steady</w:t>
      </w:r>
      <w:r>
        <w:t xml:space="preserve">) </w:t>
      </w:r>
      <w:r>
        <w:t xml:space="preserve"> – </w:t>
      </w:r>
      <w:proofErr w:type="spellStart"/>
      <w:r>
        <w:t>Ttilde</w:t>
      </w:r>
      <w:proofErr w:type="spellEnd"/>
      <w:r>
        <w:t>(</w:t>
      </w:r>
      <w:r w:rsidRPr="00327938">
        <w:t>steady</w:t>
      </w:r>
      <w:r>
        <w:t xml:space="preserve">) </w:t>
      </w:r>
      <w:r>
        <w:t xml:space="preserve"> – Revs</w:t>
      </w:r>
      <w:r>
        <w:t>(</w:t>
      </w:r>
      <w:r w:rsidRPr="00327938">
        <w:t>steady</w:t>
      </w:r>
      <w:r>
        <w:t xml:space="preserve">) </w:t>
      </w:r>
      <w:r>
        <w:t xml:space="preserve"> – </w:t>
      </w:r>
      <w:proofErr w:type="spellStart"/>
      <w:r>
        <w:t>Ctilde</w:t>
      </w:r>
      <w:proofErr w:type="spellEnd"/>
      <w:r>
        <w:t>(</w:t>
      </w:r>
      <w:r w:rsidRPr="00327938">
        <w:t>steady</w:t>
      </w:r>
      <w:r>
        <w:t>)</w:t>
      </w:r>
    </w:p>
    <w:p w:rsidR="00AC5FA8" w:rsidRDefault="008447C4" w:rsidP="00627A2F">
      <w:proofErr w:type="gramStart"/>
      <w:r>
        <w:t>and</w:t>
      </w:r>
      <w:proofErr w:type="gramEnd"/>
      <w:r>
        <w:t xml:space="preserve"> compute what share it </w:t>
      </w:r>
      <w:r w:rsidR="00C46DEC">
        <w:t>represents</w:t>
      </w:r>
      <w:r>
        <w:t xml:space="preserve"> in </w:t>
      </w:r>
      <w:r w:rsidR="00C46DEC">
        <w:t>‘</w:t>
      </w:r>
      <w:r w:rsidRPr="008F2854">
        <w:t>Savings(</w:t>
      </w:r>
      <w:r>
        <w:t>steady</w:t>
      </w:r>
      <w:r w:rsidRPr="008F2854">
        <w:t xml:space="preserve">) </w:t>
      </w:r>
      <w:r>
        <w:t>-</w:t>
      </w:r>
      <w:r w:rsidRPr="008F2854">
        <w:t xml:space="preserve"> bequests(</w:t>
      </w:r>
      <w:r>
        <w:t>steady</w:t>
      </w:r>
      <w:r w:rsidRPr="008F2854">
        <w:t>)</w:t>
      </w:r>
      <w:r w:rsidR="00C46DEC">
        <w:t>’</w:t>
      </w:r>
      <w:r>
        <w:t>. But if we do that we end up with a much smaller debt level in the 1</w:t>
      </w:r>
      <w:r w:rsidRPr="008447C4">
        <w:rPr>
          <w:vertAlign w:val="superscript"/>
        </w:rPr>
        <w:t>st</w:t>
      </w:r>
      <w:r>
        <w:t xml:space="preserve"> period of transition than what it is because the residuals are zero in the steady state. </w:t>
      </w:r>
      <w:r w:rsidR="003A0C34">
        <w:t>For instance, now we want to match a debt-to-GDP ratio of 0.7647 in the steady state. If we use the formula above to compute debt in the 1</w:t>
      </w:r>
      <w:r w:rsidR="003A0C34" w:rsidRPr="003A0C34">
        <w:rPr>
          <w:vertAlign w:val="superscript"/>
        </w:rPr>
        <w:t>st</w:t>
      </w:r>
      <w:r w:rsidR="003A0C34">
        <w:t xml:space="preserve"> period of transition, we would end up with a ratio of 0.6207 instead of the desired 0.7824.</w:t>
      </w:r>
    </w:p>
    <w:p w:rsidR="00C46DEC" w:rsidRDefault="00C46DEC" w:rsidP="00627A2F">
      <w:r>
        <w:t xml:space="preserve">An alternative is to assign a value to one of the residuals (let’s say, </w:t>
      </w:r>
      <w:proofErr w:type="spellStart"/>
      <w:r>
        <w:t>Gtilde</w:t>
      </w:r>
      <w:proofErr w:type="spellEnd"/>
      <w:r>
        <w:t xml:space="preserve">) such that the debt-to-GDP ratio </w:t>
      </w:r>
      <w:r>
        <w:t xml:space="preserve">predicted by the </w:t>
      </w:r>
      <w:r>
        <w:t xml:space="preserve">OG </w:t>
      </w:r>
      <w:r>
        <w:t xml:space="preserve">model </w:t>
      </w:r>
      <w:r>
        <w:t xml:space="preserve">matches that from the </w:t>
      </w:r>
      <w:proofErr w:type="spellStart"/>
      <w:r>
        <w:t>microsim</w:t>
      </w:r>
      <w:proofErr w:type="spellEnd"/>
      <w:r>
        <w:t>. That is:</w:t>
      </w:r>
    </w:p>
    <w:p w:rsidR="00C46DEC" w:rsidRDefault="00C46DEC" w:rsidP="00C46DEC">
      <w:pPr>
        <w:jc w:val="center"/>
      </w:pPr>
      <w:proofErr w:type="spellStart"/>
      <w:r w:rsidRPr="00C46DEC">
        <w:t>Gtilde</w:t>
      </w:r>
      <w:proofErr w:type="spellEnd"/>
      <w:r>
        <w:t>(</w:t>
      </w:r>
      <w:r w:rsidRPr="00327938">
        <w:t>steady</w:t>
      </w:r>
      <w:r>
        <w:t xml:space="preserve">) </w:t>
      </w:r>
      <w:r w:rsidRPr="00C46DEC">
        <w:t xml:space="preserve"> = </w:t>
      </w:r>
      <w:proofErr w:type="spellStart"/>
      <w:r>
        <w:t>debttoout</w:t>
      </w:r>
      <w:proofErr w:type="spellEnd"/>
      <w:r w:rsidRPr="00C46DEC">
        <w:t>(</w:t>
      </w:r>
      <w:r>
        <w:t>1</w:t>
      </w:r>
      <w:r w:rsidRPr="00327938">
        <w:rPr>
          <w:vertAlign w:val="superscript"/>
        </w:rPr>
        <w:t>st</w:t>
      </w:r>
      <w:r>
        <w:t xml:space="preserve"> period of transition</w:t>
      </w:r>
      <w:r w:rsidRPr="00C46DEC">
        <w:t>)*(outs</w:t>
      </w:r>
      <w:r>
        <w:t>(</w:t>
      </w:r>
      <w:r w:rsidRPr="00327938">
        <w:t>steady</w:t>
      </w:r>
      <w:r>
        <w:t xml:space="preserve">)  </w:t>
      </w:r>
      <w:r w:rsidRPr="00C46DEC">
        <w:t>*1.0078) - debts</w:t>
      </w:r>
      <w:r>
        <w:t>(</w:t>
      </w:r>
      <w:r w:rsidRPr="00327938">
        <w:t>steady</w:t>
      </w:r>
      <w:r>
        <w:t xml:space="preserve">)  </w:t>
      </w:r>
      <w:r w:rsidRPr="00C46DEC">
        <w:t>*(</w:t>
      </w:r>
      <w:r>
        <w:t xml:space="preserve"> </w:t>
      </w:r>
      <w:r w:rsidRPr="00C46DEC">
        <w:t>1</w:t>
      </w:r>
      <w:r>
        <w:t xml:space="preserve"> </w:t>
      </w:r>
      <w:r w:rsidRPr="00C46DEC">
        <w:t>+</w:t>
      </w:r>
      <w:r>
        <w:t xml:space="preserve"> </w:t>
      </w:r>
      <w:proofErr w:type="spellStart"/>
      <w:r w:rsidRPr="00C46DEC">
        <w:t>bondFundDividends</w:t>
      </w:r>
      <w:proofErr w:type="spellEnd"/>
      <w:r>
        <w:t>(</w:t>
      </w:r>
      <w:r w:rsidRPr="00327938">
        <w:t>steady</w:t>
      </w:r>
      <w:r>
        <w:t xml:space="preserve">)  </w:t>
      </w:r>
      <w:r>
        <w:t xml:space="preserve">) - </w:t>
      </w:r>
      <w:r w:rsidRPr="00C46DEC">
        <w:t>bens</w:t>
      </w:r>
      <w:r>
        <w:t>(</w:t>
      </w:r>
      <w:r w:rsidRPr="00327938">
        <w:t>steady</w:t>
      </w:r>
      <w:r>
        <w:t xml:space="preserve">)  </w:t>
      </w:r>
      <w:r w:rsidRPr="00C46DEC">
        <w:t xml:space="preserve"> + revs</w:t>
      </w:r>
      <w:r>
        <w:t>(</w:t>
      </w:r>
      <w:r w:rsidRPr="00327938">
        <w:t>steady</w:t>
      </w:r>
      <w:r>
        <w:t>)</w:t>
      </w:r>
      <w:r>
        <w:t>.</w:t>
      </w:r>
    </w:p>
    <w:p w:rsidR="00C96E40" w:rsidRDefault="00C96E40" w:rsidP="00627A2F">
      <w:r>
        <w:t xml:space="preserve">Then, instead of matching </w:t>
      </w:r>
      <w:proofErr w:type="spellStart"/>
      <w:r>
        <w:t>debttoout</w:t>
      </w:r>
      <w:proofErr w:type="spellEnd"/>
      <w:r>
        <w:t xml:space="preserve"> in the </w:t>
      </w:r>
      <w:r>
        <w:t>1</w:t>
      </w:r>
      <w:r w:rsidRPr="00327938">
        <w:rPr>
          <w:vertAlign w:val="superscript"/>
        </w:rPr>
        <w:t>st</w:t>
      </w:r>
      <w:r>
        <w:t xml:space="preserve"> period of transition</w:t>
      </w:r>
      <w:r>
        <w:t xml:space="preserve"> ignoring that assets are brought from the steady state, we could just import the </w:t>
      </w:r>
      <w:proofErr w:type="spellStart"/>
      <w:r>
        <w:t>Gtilde</w:t>
      </w:r>
      <w:proofErr w:type="spellEnd"/>
      <w:r>
        <w:t xml:space="preserve"> (and, as a consequence, </w:t>
      </w:r>
      <w:r>
        <w:t>in the 1</w:t>
      </w:r>
      <w:r w:rsidRPr="00327938">
        <w:rPr>
          <w:vertAlign w:val="superscript"/>
        </w:rPr>
        <w:t>st</w:t>
      </w:r>
      <w:r>
        <w:t xml:space="preserve"> period of transition</w:t>
      </w:r>
      <w:r>
        <w:t>)</w:t>
      </w:r>
      <w:r>
        <w:t xml:space="preserve"> </w:t>
      </w:r>
      <w:r>
        <w:t xml:space="preserve">and implied </w:t>
      </w:r>
      <w:proofErr w:type="spellStart"/>
      <w:r>
        <w:t>capshare</w:t>
      </w:r>
      <w:proofErr w:type="spellEnd"/>
      <w:r>
        <w:t xml:space="preserve"> in </w:t>
      </w:r>
      <w:r>
        <w:t>‘</w:t>
      </w:r>
      <w:r w:rsidRPr="008F2854">
        <w:t>Savings(</w:t>
      </w:r>
      <w:r>
        <w:t>steady</w:t>
      </w:r>
      <w:r w:rsidRPr="008F2854">
        <w:t xml:space="preserve">) </w:t>
      </w:r>
      <w:r>
        <w:t>-</w:t>
      </w:r>
      <w:r w:rsidRPr="008F2854">
        <w:t xml:space="preserve"> bequests(</w:t>
      </w:r>
      <w:r>
        <w:t>steady</w:t>
      </w:r>
      <w:r w:rsidRPr="008F2854">
        <w:t>)</w:t>
      </w:r>
      <w:r>
        <w:t>’</w:t>
      </w:r>
      <w:r>
        <w:t xml:space="preserve"> from steady state.</w:t>
      </w:r>
      <w:bookmarkStart w:id="0" w:name="_GoBack"/>
      <w:bookmarkEnd w:id="0"/>
    </w:p>
    <w:p w:rsidR="003A0C34" w:rsidRDefault="003A0C34" w:rsidP="00627A2F"/>
    <w:sectPr w:rsidR="003A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514"/>
    <w:multiLevelType w:val="hybridMultilevel"/>
    <w:tmpl w:val="B1A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3"/>
    <w:rsid w:val="000663C3"/>
    <w:rsid w:val="000743CE"/>
    <w:rsid w:val="000824D0"/>
    <w:rsid w:val="00092557"/>
    <w:rsid w:val="000A7C80"/>
    <w:rsid w:val="002307EB"/>
    <w:rsid w:val="00276AD2"/>
    <w:rsid w:val="002910B7"/>
    <w:rsid w:val="00327938"/>
    <w:rsid w:val="003A0C34"/>
    <w:rsid w:val="00415790"/>
    <w:rsid w:val="0042409A"/>
    <w:rsid w:val="0056663B"/>
    <w:rsid w:val="00585969"/>
    <w:rsid w:val="00611CC9"/>
    <w:rsid w:val="00627A2F"/>
    <w:rsid w:val="00633BFD"/>
    <w:rsid w:val="006736EC"/>
    <w:rsid w:val="00692D33"/>
    <w:rsid w:val="006A42CF"/>
    <w:rsid w:val="00724C80"/>
    <w:rsid w:val="00752A1F"/>
    <w:rsid w:val="00757481"/>
    <w:rsid w:val="008447C4"/>
    <w:rsid w:val="008D0A31"/>
    <w:rsid w:val="008F2854"/>
    <w:rsid w:val="00996BCF"/>
    <w:rsid w:val="009A01B1"/>
    <w:rsid w:val="00A4144C"/>
    <w:rsid w:val="00A87F8D"/>
    <w:rsid w:val="00AC5FA8"/>
    <w:rsid w:val="00B0168F"/>
    <w:rsid w:val="00B24B68"/>
    <w:rsid w:val="00BD4147"/>
    <w:rsid w:val="00C1710C"/>
    <w:rsid w:val="00C46DEC"/>
    <w:rsid w:val="00C63984"/>
    <w:rsid w:val="00C96E40"/>
    <w:rsid w:val="00D502E3"/>
    <w:rsid w:val="00ED47E3"/>
    <w:rsid w:val="00ED7C37"/>
    <w:rsid w:val="00F174C3"/>
    <w:rsid w:val="00FA22EB"/>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3EAD"/>
  <w15:chartTrackingRefBased/>
  <w15:docId w15:val="{B3033557-DCDA-4659-9DEA-F6CCA85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E3"/>
    <w:pPr>
      <w:ind w:left="720"/>
      <w:contextualSpacing/>
    </w:pPr>
  </w:style>
  <w:style w:type="table" w:styleId="TableGrid">
    <w:name w:val="Table Grid"/>
    <w:basedOn w:val="TableNormal"/>
    <w:uiPriority w:val="39"/>
    <w:rsid w:val="0009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pi-slcsql\danielav$\Model\Oct2017\TPC_report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Asset Holdings</a:t>
            </a:r>
            <a:r>
              <a:rPr lang="en-US" sz="1400" b="0" i="0" u="none" strike="noStrike" baseline="0">
                <a:effectLst/>
              </a:rPr>
              <a:t> - open economy with low K return</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BASELINE</c:v>
                </c:pt>
              </c:strCache>
            </c:strRef>
          </c:tx>
          <c:spPr>
            <a:solidFill>
              <a:schemeClr val="accent1"/>
            </a:solidFill>
            <a:ln>
              <a:noFill/>
            </a:ln>
            <a:effectLst/>
          </c:spPr>
          <c:invertIfNegative val="0"/>
          <c:cat>
            <c:strRef>
              <c:f>Sheet2!$A$4:$A$8</c:f>
              <c:strCache>
                <c:ptCount val="5"/>
                <c:pt idx="0">
                  <c:v>quintile1</c:v>
                </c:pt>
                <c:pt idx="1">
                  <c:v>quintile2</c:v>
                </c:pt>
                <c:pt idx="2">
                  <c:v>quintile3</c:v>
                </c:pt>
                <c:pt idx="3">
                  <c:v>quintile4</c:v>
                </c:pt>
                <c:pt idx="4">
                  <c:v>quintile5</c:v>
                </c:pt>
              </c:strCache>
            </c:strRef>
          </c:cat>
          <c:val>
            <c:numRef>
              <c:f>Sheet1!$J$4:$J$8</c:f>
              <c:numCache>
                <c:formatCode>General</c:formatCode>
                <c:ptCount val="5"/>
                <c:pt idx="0">
                  <c:v>1.2693627192171699</c:v>
                </c:pt>
                <c:pt idx="1">
                  <c:v>2.4761954440467102</c:v>
                </c:pt>
                <c:pt idx="2">
                  <c:v>2.7539703031580101</c:v>
                </c:pt>
                <c:pt idx="3">
                  <c:v>2.7217001356589501</c:v>
                </c:pt>
                <c:pt idx="4">
                  <c:v>3.1948007690687401</c:v>
                </c:pt>
              </c:numCache>
            </c:numRef>
          </c:val>
          <c:extLst>
            <c:ext xmlns:c16="http://schemas.microsoft.com/office/drawing/2014/chart" uri="{C3380CC4-5D6E-409C-BE32-E72D297353CC}">
              <c16:uniqueId val="{00000000-4CBA-42BD-A09A-73D1F35F97A0}"/>
            </c:ext>
          </c:extLst>
        </c:ser>
        <c:ser>
          <c:idx val="1"/>
          <c:order val="1"/>
          <c:tx>
            <c:strRef>
              <c:f>Sheet1!$L$2</c:f>
              <c:strCache>
                <c:ptCount val="1"/>
                <c:pt idx="0">
                  <c:v>TAXPLAN C</c:v>
                </c:pt>
              </c:strCache>
            </c:strRef>
          </c:tx>
          <c:spPr>
            <a:solidFill>
              <a:schemeClr val="accent2"/>
            </a:solidFill>
            <a:ln>
              <a:noFill/>
            </a:ln>
            <a:effectLst/>
          </c:spPr>
          <c:invertIfNegative val="0"/>
          <c:val>
            <c:numRef>
              <c:f>Sheet1!$O$4:$O$8</c:f>
              <c:numCache>
                <c:formatCode>General</c:formatCode>
                <c:ptCount val="5"/>
                <c:pt idx="0">
                  <c:v>1.27418037716891</c:v>
                </c:pt>
                <c:pt idx="1">
                  <c:v>2.5020201990562398</c:v>
                </c:pt>
                <c:pt idx="2">
                  <c:v>2.7636767818968</c:v>
                </c:pt>
                <c:pt idx="3">
                  <c:v>2.8011620021410399</c:v>
                </c:pt>
                <c:pt idx="4">
                  <c:v>3.0749900108866002</c:v>
                </c:pt>
              </c:numCache>
            </c:numRef>
          </c:val>
          <c:extLst>
            <c:ext xmlns:c16="http://schemas.microsoft.com/office/drawing/2014/chart" uri="{C3380CC4-5D6E-409C-BE32-E72D297353CC}">
              <c16:uniqueId val="{00000001-4CBA-42BD-A09A-73D1F35F97A0}"/>
            </c:ext>
          </c:extLst>
        </c:ser>
        <c:dLbls>
          <c:showLegendKey val="0"/>
          <c:showVal val="0"/>
          <c:showCatName val="0"/>
          <c:showSerName val="0"/>
          <c:showPercent val="0"/>
          <c:showBubbleSize val="0"/>
        </c:dLbls>
        <c:gapWidth val="219"/>
        <c:overlap val="-27"/>
        <c:axId val="654222672"/>
        <c:axId val="654217752"/>
      </c:barChart>
      <c:catAx>
        <c:axId val="6542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7752"/>
        <c:crosses val="autoZero"/>
        <c:auto val="1"/>
        <c:lblAlgn val="ctr"/>
        <c:lblOffset val="100"/>
        <c:noMultiLvlLbl val="0"/>
      </c:catAx>
      <c:valAx>
        <c:axId val="65421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Deltas</a:t>
            </a:r>
            <a:r>
              <a:rPr lang="en-US" sz="1400" baseline="0"/>
              <a:t> (taxplan C / static)</a:t>
            </a:r>
            <a:r>
              <a:rPr lang="en-US" sz="1400" b="0" i="0" u="none" strike="noStrike" baseline="0">
                <a:effectLst/>
              </a:rPr>
              <a:t> - open economy with low K return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c:f>
              <c:strCache>
                <c:ptCount val="1"/>
                <c:pt idx="0">
                  <c:v>Taxable income</c:v>
                </c:pt>
              </c:strCache>
            </c:strRef>
          </c:tx>
          <c:spPr>
            <a:solidFill>
              <a:schemeClr val="accent1"/>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Sheet1!$V$4:$V$8</c:f>
              <c:numCache>
                <c:formatCode>General</c:formatCode>
                <c:ptCount val="5"/>
                <c:pt idx="0">
                  <c:v>1.0012034351696097</c:v>
                </c:pt>
                <c:pt idx="1">
                  <c:v>1.0074688130518736</c:v>
                </c:pt>
                <c:pt idx="2">
                  <c:v>1.010991937464448</c:v>
                </c:pt>
                <c:pt idx="3">
                  <c:v>1.0033740693463853</c:v>
                </c:pt>
                <c:pt idx="4">
                  <c:v>1.0139836249106027</c:v>
                </c:pt>
              </c:numCache>
            </c:numRef>
          </c:val>
          <c:extLst>
            <c:ext xmlns:c16="http://schemas.microsoft.com/office/drawing/2014/chart" uri="{C3380CC4-5D6E-409C-BE32-E72D297353CC}">
              <c16:uniqueId val="{00000000-AE8E-4DE8-B59D-35E38C1A60C4}"/>
            </c:ext>
          </c:extLst>
        </c:ser>
        <c:ser>
          <c:idx val="1"/>
          <c:order val="1"/>
          <c:tx>
            <c:strRef>
              <c:f>Sheet1!$W$3</c:f>
              <c:strCache>
                <c:ptCount val="1"/>
                <c:pt idx="0">
                  <c:v>CIT</c:v>
                </c:pt>
              </c:strCache>
            </c:strRef>
          </c:tx>
          <c:spPr>
            <a:solidFill>
              <a:schemeClr val="accent2"/>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Sheet1!$W$4:$W$8</c:f>
              <c:numCache>
                <c:formatCode>General</c:formatCode>
                <c:ptCount val="5"/>
                <c:pt idx="0">
                  <c:v>0.60083693985215936</c:v>
                </c:pt>
                <c:pt idx="1">
                  <c:v>0.60480774413843819</c:v>
                </c:pt>
                <c:pt idx="2">
                  <c:v>0.60067485088288153</c:v>
                </c:pt>
                <c:pt idx="3">
                  <c:v>0.61604069712412701</c:v>
                </c:pt>
                <c:pt idx="4">
                  <c:v>0.57611791607321339</c:v>
                </c:pt>
              </c:numCache>
            </c:numRef>
          </c:val>
          <c:extLst>
            <c:ext xmlns:c16="http://schemas.microsoft.com/office/drawing/2014/chart" uri="{C3380CC4-5D6E-409C-BE32-E72D297353CC}">
              <c16:uniqueId val="{00000001-AE8E-4DE8-B59D-35E38C1A60C4}"/>
            </c:ext>
          </c:extLst>
        </c:ser>
        <c:ser>
          <c:idx val="2"/>
          <c:order val="2"/>
          <c:tx>
            <c:strRef>
              <c:f>Sheet1!$X$3</c:f>
              <c:strCache>
                <c:ptCount val="1"/>
                <c:pt idx="0">
                  <c:v>PIT</c:v>
                </c:pt>
              </c:strCache>
            </c:strRef>
          </c:tx>
          <c:spPr>
            <a:solidFill>
              <a:schemeClr val="accent3"/>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Sheet1!$X$4:$X$8</c:f>
              <c:numCache>
                <c:formatCode>General</c:formatCode>
                <c:ptCount val="5"/>
                <c:pt idx="0">
                  <c:v>1.0022651508096196</c:v>
                </c:pt>
                <c:pt idx="1">
                  <c:v>1.0119520653593934</c:v>
                </c:pt>
                <c:pt idx="2">
                  <c:v>1.0173250326923464</c:v>
                </c:pt>
                <c:pt idx="3">
                  <c:v>1.0074613312549998</c:v>
                </c:pt>
                <c:pt idx="4">
                  <c:v>1.0176273053758829</c:v>
                </c:pt>
              </c:numCache>
            </c:numRef>
          </c:val>
          <c:extLst>
            <c:ext xmlns:c16="http://schemas.microsoft.com/office/drawing/2014/chart" uri="{C3380CC4-5D6E-409C-BE32-E72D297353CC}">
              <c16:uniqueId val="{00000002-AE8E-4DE8-B59D-35E38C1A60C4}"/>
            </c:ext>
          </c:extLst>
        </c:ser>
        <c:ser>
          <c:idx val="3"/>
          <c:order val="3"/>
          <c:tx>
            <c:strRef>
              <c:f>Sheet1!$Y$3</c:f>
              <c:strCache>
                <c:ptCount val="1"/>
                <c:pt idx="0">
                  <c:v>Asset holdings</c:v>
                </c:pt>
              </c:strCache>
            </c:strRef>
          </c:tx>
          <c:spPr>
            <a:solidFill>
              <a:schemeClr val="accent4"/>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Sheet1!$Y$4:$Y$8</c:f>
              <c:numCache>
                <c:formatCode>General</c:formatCode>
                <c:ptCount val="5"/>
                <c:pt idx="0">
                  <c:v>1.0037953359420475</c:v>
                </c:pt>
                <c:pt idx="1">
                  <c:v>1.0104292070610248</c:v>
                </c:pt>
                <c:pt idx="2">
                  <c:v>1.0035245400895061</c:v>
                </c:pt>
                <c:pt idx="3">
                  <c:v>1.0291956727491771</c:v>
                </c:pt>
                <c:pt idx="4">
                  <c:v>0.96249820666687025</c:v>
                </c:pt>
              </c:numCache>
            </c:numRef>
          </c:val>
          <c:extLst>
            <c:ext xmlns:c16="http://schemas.microsoft.com/office/drawing/2014/chart" uri="{C3380CC4-5D6E-409C-BE32-E72D297353CC}">
              <c16:uniqueId val="{00000003-AE8E-4DE8-B59D-35E38C1A60C4}"/>
            </c:ext>
          </c:extLst>
        </c:ser>
        <c:ser>
          <c:idx val="4"/>
          <c:order val="4"/>
          <c:tx>
            <c:strRef>
              <c:f>Sheet1!$Z$3</c:f>
              <c:strCache>
                <c:ptCount val="1"/>
                <c:pt idx="0">
                  <c:v>Labor income</c:v>
                </c:pt>
              </c:strCache>
            </c:strRef>
          </c:tx>
          <c:spPr>
            <a:solidFill>
              <a:schemeClr val="accent5"/>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Sheet1!$Z$4:$Z$8</c:f>
              <c:numCache>
                <c:formatCode>General</c:formatCode>
                <c:ptCount val="5"/>
                <c:pt idx="0">
                  <c:v>0.92471076171241839</c:v>
                </c:pt>
                <c:pt idx="1">
                  <c:v>1.0144486696896111</c:v>
                </c:pt>
                <c:pt idx="2">
                  <c:v>1.0098950214247058</c:v>
                </c:pt>
                <c:pt idx="3">
                  <c:v>0.99482356207889533</c:v>
                </c:pt>
                <c:pt idx="4">
                  <c:v>1.0064520817317106</c:v>
                </c:pt>
              </c:numCache>
            </c:numRef>
          </c:val>
          <c:extLst>
            <c:ext xmlns:c16="http://schemas.microsoft.com/office/drawing/2014/chart" uri="{C3380CC4-5D6E-409C-BE32-E72D297353CC}">
              <c16:uniqueId val="{00000004-AE8E-4DE8-B59D-35E38C1A60C4}"/>
            </c:ext>
          </c:extLst>
        </c:ser>
        <c:dLbls>
          <c:showLegendKey val="0"/>
          <c:showVal val="0"/>
          <c:showCatName val="0"/>
          <c:showSerName val="0"/>
          <c:showPercent val="0"/>
          <c:showBubbleSize val="0"/>
        </c:dLbls>
        <c:gapWidth val="219"/>
        <c:overlap val="-27"/>
        <c:axId val="669238304"/>
        <c:axId val="669235352"/>
      </c:barChart>
      <c:catAx>
        <c:axId val="66923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5352"/>
        <c:crosses val="autoZero"/>
        <c:auto val="1"/>
        <c:lblAlgn val="ctr"/>
        <c:lblOffset val="100"/>
        <c:noMultiLvlLbl val="0"/>
      </c:catAx>
      <c:valAx>
        <c:axId val="66923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Deltas for the open economy with low K return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delta_open_high_dep!$D$2</c:f>
              <c:strCache>
                <c:ptCount val="1"/>
                <c:pt idx="0">
                  <c:v>revenue</c:v>
                </c:pt>
              </c:strCache>
            </c:strRef>
          </c:tx>
          <c:spPr>
            <a:ln w="28575" cap="rnd">
              <a:solidFill>
                <a:schemeClr val="accent1"/>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delta_open_high_dep!$D$3:$D$26</c:f>
              <c:numCache>
                <c:formatCode>General</c:formatCode>
                <c:ptCount val="24"/>
                <c:pt idx="0">
                  <c:v>1</c:v>
                </c:pt>
                <c:pt idx="1">
                  <c:v>0.994229762848585</c:v>
                </c:pt>
                <c:pt idx="2">
                  <c:v>0.99182100608700197</c:v>
                </c:pt>
                <c:pt idx="3">
                  <c:v>0.99109525739887305</c:v>
                </c:pt>
                <c:pt idx="4">
                  <c:v>0.99049693133189698</c:v>
                </c:pt>
                <c:pt idx="5">
                  <c:v>0.98997285850791295</c:v>
                </c:pt>
                <c:pt idx="6">
                  <c:v>0.98943486508169898</c:v>
                </c:pt>
                <c:pt idx="7">
                  <c:v>0.98900470357363601</c:v>
                </c:pt>
                <c:pt idx="8">
                  <c:v>0.98855769528974202</c:v>
                </c:pt>
                <c:pt idx="9">
                  <c:v>0.98815168394975705</c:v>
                </c:pt>
                <c:pt idx="10">
                  <c:v>0.98773842362317399</c:v>
                </c:pt>
                <c:pt idx="11">
                  <c:v>0.98730459408749605</c:v>
                </c:pt>
                <c:pt idx="12">
                  <c:v>0.98697861345488902</c:v>
                </c:pt>
                <c:pt idx="13">
                  <c:v>0.98660045259522999</c:v>
                </c:pt>
                <c:pt idx="14">
                  <c:v>0.98624557449123196</c:v>
                </c:pt>
                <c:pt idx="15">
                  <c:v>0.98590843255171901</c:v>
                </c:pt>
                <c:pt idx="16">
                  <c:v>0.98556638448579403</c:v>
                </c:pt>
                <c:pt idx="17">
                  <c:v>0.98524062306962001</c:v>
                </c:pt>
                <c:pt idx="18">
                  <c:v>0.98489107763160499</c:v>
                </c:pt>
                <c:pt idx="19">
                  <c:v>0.98464068261770699</c:v>
                </c:pt>
                <c:pt idx="20">
                  <c:v>0.98437776987102599</c:v>
                </c:pt>
                <c:pt idx="21">
                  <c:v>0.98405494443531105</c:v>
                </c:pt>
                <c:pt idx="22">
                  <c:v>0.98380202185135901</c:v>
                </c:pt>
                <c:pt idx="23">
                  <c:v>0.98356908093619999</c:v>
                </c:pt>
              </c:numCache>
            </c:numRef>
          </c:val>
          <c:smooth val="0"/>
          <c:extLst>
            <c:ext xmlns:c16="http://schemas.microsoft.com/office/drawing/2014/chart" uri="{C3380CC4-5D6E-409C-BE32-E72D297353CC}">
              <c16:uniqueId val="{00000000-5A33-44EB-AC37-95C7947158BC}"/>
            </c:ext>
          </c:extLst>
        </c:ser>
        <c:ser>
          <c:idx val="1"/>
          <c:order val="1"/>
          <c:tx>
            <c:strRef>
              <c:f>delta_open_high_dep!$E$2</c:f>
              <c:strCache>
                <c:ptCount val="1"/>
                <c:pt idx="0">
                  <c:v>capital</c:v>
                </c:pt>
              </c:strCache>
            </c:strRef>
          </c:tx>
          <c:spPr>
            <a:ln w="28575" cap="rnd">
              <a:solidFill>
                <a:schemeClr val="accent2"/>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delta_open_high_dep!$E$3:$E$26</c:f>
              <c:numCache>
                <c:formatCode>General</c:formatCode>
                <c:ptCount val="24"/>
                <c:pt idx="0">
                  <c:v>1</c:v>
                </c:pt>
                <c:pt idx="1">
                  <c:v>1.0254514123515199</c:v>
                </c:pt>
                <c:pt idx="2">
                  <c:v>1.02501624450191</c:v>
                </c:pt>
                <c:pt idx="3">
                  <c:v>1.0247045006761899</c:v>
                </c:pt>
                <c:pt idx="4">
                  <c:v>1.0244299405808599</c:v>
                </c:pt>
                <c:pt idx="5">
                  <c:v>1.0241889654890199</c:v>
                </c:pt>
                <c:pt idx="6">
                  <c:v>1.0239554105176401</c:v>
                </c:pt>
                <c:pt idx="7">
                  <c:v>1.0237347956048</c:v>
                </c:pt>
                <c:pt idx="8">
                  <c:v>1.0235286793043901</c:v>
                </c:pt>
                <c:pt idx="9">
                  <c:v>1.02333663250518</c:v>
                </c:pt>
                <c:pt idx="10">
                  <c:v>1.0231426183425301</c:v>
                </c:pt>
                <c:pt idx="11">
                  <c:v>1.02295993908904</c:v>
                </c:pt>
                <c:pt idx="12">
                  <c:v>1.0227869191983201</c:v>
                </c:pt>
                <c:pt idx="13">
                  <c:v>1.0226192597823001</c:v>
                </c:pt>
                <c:pt idx="14">
                  <c:v>1.0224648580218501</c:v>
                </c:pt>
                <c:pt idx="15">
                  <c:v>1.0223105758159501</c:v>
                </c:pt>
                <c:pt idx="16">
                  <c:v>1.02214942386801</c:v>
                </c:pt>
                <c:pt idx="17">
                  <c:v>1.02199982362065</c:v>
                </c:pt>
                <c:pt idx="18">
                  <c:v>1.0218471275585901</c:v>
                </c:pt>
                <c:pt idx="19">
                  <c:v>1.0217251677759001</c:v>
                </c:pt>
                <c:pt idx="20">
                  <c:v>1.02159467147135</c:v>
                </c:pt>
                <c:pt idx="21">
                  <c:v>1.02146857931313</c:v>
                </c:pt>
                <c:pt idx="22">
                  <c:v>1.0213512963703899</c:v>
                </c:pt>
                <c:pt idx="23">
                  <c:v>1.02123349287442</c:v>
                </c:pt>
              </c:numCache>
            </c:numRef>
          </c:val>
          <c:smooth val="0"/>
          <c:extLst>
            <c:ext xmlns:c16="http://schemas.microsoft.com/office/drawing/2014/chart" uri="{C3380CC4-5D6E-409C-BE32-E72D297353CC}">
              <c16:uniqueId val="{00000001-5A33-44EB-AC37-95C7947158BC}"/>
            </c:ext>
          </c:extLst>
        </c:ser>
        <c:ser>
          <c:idx val="2"/>
          <c:order val="2"/>
          <c:tx>
            <c:strRef>
              <c:f>delta_open_high_dep!$F$2</c:f>
              <c:strCache>
                <c:ptCount val="1"/>
                <c:pt idx="0">
                  <c:v>labor</c:v>
                </c:pt>
              </c:strCache>
            </c:strRef>
          </c:tx>
          <c:spPr>
            <a:ln w="28575" cap="rnd">
              <a:solidFill>
                <a:schemeClr val="accent3"/>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delta_open_high_dep!$F$3:$F$26</c:f>
              <c:numCache>
                <c:formatCode>General</c:formatCode>
                <c:ptCount val="24"/>
                <c:pt idx="0">
                  <c:v>1</c:v>
                </c:pt>
                <c:pt idx="1">
                  <c:v>1.0030284274772601</c:v>
                </c:pt>
                <c:pt idx="2">
                  <c:v>1.00245461435603</c:v>
                </c:pt>
                <c:pt idx="3">
                  <c:v>1.0020963080707599</c:v>
                </c:pt>
                <c:pt idx="4">
                  <c:v>1.0017590797173801</c:v>
                </c:pt>
                <c:pt idx="5">
                  <c:v>1.00148554930175</c:v>
                </c:pt>
                <c:pt idx="6">
                  <c:v>1.0011903440437999</c:v>
                </c:pt>
                <c:pt idx="7">
                  <c:v>1.0009045357003801</c:v>
                </c:pt>
                <c:pt idx="8">
                  <c:v>1.00063773376679</c:v>
                </c:pt>
                <c:pt idx="9">
                  <c:v>1.0003936110384199</c:v>
                </c:pt>
                <c:pt idx="10">
                  <c:v>1.0001379349192301</c:v>
                </c:pt>
                <c:pt idx="11">
                  <c:v>0.99990198310587297</c:v>
                </c:pt>
                <c:pt idx="12">
                  <c:v>0.99967474419582103</c:v>
                </c:pt>
                <c:pt idx="13">
                  <c:v>0.99946183606810701</c:v>
                </c:pt>
                <c:pt idx="14">
                  <c:v>0.99928418302826305</c:v>
                </c:pt>
                <c:pt idx="15">
                  <c:v>0.99909297015420095</c:v>
                </c:pt>
                <c:pt idx="16">
                  <c:v>0.99884801907634602</c:v>
                </c:pt>
                <c:pt idx="17">
                  <c:v>0.99864856832865501</c:v>
                </c:pt>
                <c:pt idx="18">
                  <c:v>0.99841169115100303</c:v>
                </c:pt>
                <c:pt idx="19">
                  <c:v>0.99826152883674302</c:v>
                </c:pt>
                <c:pt idx="20">
                  <c:v>0.99809016014552898</c:v>
                </c:pt>
                <c:pt idx="21">
                  <c:v>0.99792483531976195</c:v>
                </c:pt>
                <c:pt idx="22">
                  <c:v>0.99776861850948895</c:v>
                </c:pt>
                <c:pt idx="23">
                  <c:v>0.99761200966594099</c:v>
                </c:pt>
              </c:numCache>
            </c:numRef>
          </c:val>
          <c:smooth val="0"/>
          <c:extLst>
            <c:ext xmlns:c16="http://schemas.microsoft.com/office/drawing/2014/chart" uri="{C3380CC4-5D6E-409C-BE32-E72D297353CC}">
              <c16:uniqueId val="{00000002-5A33-44EB-AC37-95C7947158BC}"/>
            </c:ext>
          </c:extLst>
        </c:ser>
        <c:ser>
          <c:idx val="3"/>
          <c:order val="3"/>
          <c:tx>
            <c:strRef>
              <c:f>delta_open_high_dep!$G$2</c:f>
              <c:strCache>
                <c:ptCount val="1"/>
                <c:pt idx="0">
                  <c:v>labor_efficient</c:v>
                </c:pt>
              </c:strCache>
            </c:strRef>
          </c:tx>
          <c:spPr>
            <a:ln w="28575" cap="rnd">
              <a:solidFill>
                <a:schemeClr val="accent4"/>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delta_open_high_dep!$G$3:$G$26</c:f>
              <c:numCache>
                <c:formatCode>General</c:formatCode>
                <c:ptCount val="24"/>
                <c:pt idx="0">
                  <c:v>1</c:v>
                </c:pt>
                <c:pt idx="1">
                  <c:v>1.0032430396001</c:v>
                </c:pt>
                <c:pt idx="2">
                  <c:v>1.0028172962533899</c:v>
                </c:pt>
                <c:pt idx="3">
                  <c:v>1.0025123039158399</c:v>
                </c:pt>
                <c:pt idx="4">
                  <c:v>1.00224369001442</c:v>
                </c:pt>
                <c:pt idx="5">
                  <c:v>1.0020079337604499</c:v>
                </c:pt>
                <c:pt idx="6">
                  <c:v>1.0017794369281501</c:v>
                </c:pt>
                <c:pt idx="7">
                  <c:v>1.0015635999093799</c:v>
                </c:pt>
                <c:pt idx="8">
                  <c:v>1.00136194750416</c:v>
                </c:pt>
                <c:pt idx="9">
                  <c:v>1.0011740598946</c:v>
                </c:pt>
                <c:pt idx="10">
                  <c:v>1.00098424752912</c:v>
                </c:pt>
                <c:pt idx="11">
                  <c:v>1.0008055245907801</c:v>
                </c:pt>
                <c:pt idx="12">
                  <c:v>1.0006362518207701</c:v>
                </c:pt>
                <c:pt idx="13">
                  <c:v>1.0004722234327601</c:v>
                </c:pt>
                <c:pt idx="14">
                  <c:v>1.0003211655770701</c:v>
                </c:pt>
                <c:pt idx="15">
                  <c:v>1.0001702246867099</c:v>
                </c:pt>
                <c:pt idx="16">
                  <c:v>1.00001256283346</c:v>
                </c:pt>
                <c:pt idx="17">
                  <c:v>0.99986620250367997</c:v>
                </c:pt>
                <c:pt idx="18">
                  <c:v>0.99971681340576801</c:v>
                </c:pt>
                <c:pt idx="19">
                  <c:v>0.99959749492648997</c:v>
                </c:pt>
                <c:pt idx="20">
                  <c:v>0.99946982480223601</c:v>
                </c:pt>
                <c:pt idx="21">
                  <c:v>0.99934646344297595</c:v>
                </c:pt>
                <c:pt idx="22">
                  <c:v>0.99923172051654097</c:v>
                </c:pt>
                <c:pt idx="23">
                  <c:v>0.99911646831059198</c:v>
                </c:pt>
              </c:numCache>
            </c:numRef>
          </c:val>
          <c:smooth val="0"/>
          <c:extLst>
            <c:ext xmlns:c16="http://schemas.microsoft.com/office/drawing/2014/chart" uri="{C3380CC4-5D6E-409C-BE32-E72D297353CC}">
              <c16:uniqueId val="{00000003-5A33-44EB-AC37-95C7947158BC}"/>
            </c:ext>
          </c:extLst>
        </c:ser>
        <c:ser>
          <c:idx val="4"/>
          <c:order val="4"/>
          <c:tx>
            <c:strRef>
              <c:f>delta_open_high_dep!$H$2</c:f>
              <c:strCache>
                <c:ptCount val="1"/>
                <c:pt idx="0">
                  <c:v>labor_pit</c:v>
                </c:pt>
              </c:strCache>
            </c:strRef>
          </c:tx>
          <c:spPr>
            <a:ln w="28575" cap="rnd">
              <a:solidFill>
                <a:schemeClr val="accent5"/>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delta_open_high_dep!$H$3:$H$26</c:f>
              <c:numCache>
                <c:formatCode>General</c:formatCode>
                <c:ptCount val="24"/>
                <c:pt idx="0">
                  <c:v>1</c:v>
                </c:pt>
                <c:pt idx="1">
                  <c:v>1.0160763291763999</c:v>
                </c:pt>
                <c:pt idx="2">
                  <c:v>1.0155551490213599</c:v>
                </c:pt>
                <c:pt idx="3">
                  <c:v>1.0151562337165401</c:v>
                </c:pt>
                <c:pt idx="4">
                  <c:v>1.01482873213035</c:v>
                </c:pt>
                <c:pt idx="5">
                  <c:v>1.01454147966261</c:v>
                </c:pt>
                <c:pt idx="6">
                  <c:v>1.01427628142242</c:v>
                </c:pt>
                <c:pt idx="7">
                  <c:v>1.01402757668692</c:v>
                </c:pt>
                <c:pt idx="8">
                  <c:v>1.0137961103657001</c:v>
                </c:pt>
                <c:pt idx="9">
                  <c:v>1.0135803711557301</c:v>
                </c:pt>
                <c:pt idx="10">
                  <c:v>1.01336281887908</c:v>
                </c:pt>
                <c:pt idx="11">
                  <c:v>1.01315670491621</c:v>
                </c:pt>
                <c:pt idx="12">
                  <c:v>1.0129603892556001</c:v>
                </c:pt>
                <c:pt idx="13">
                  <c:v>1.01277017475381</c:v>
                </c:pt>
                <c:pt idx="14">
                  <c:v>1.01258948259015</c:v>
                </c:pt>
                <c:pt idx="15">
                  <c:v>1.0124113881594301</c:v>
                </c:pt>
                <c:pt idx="16">
                  <c:v>1.01223845784289</c:v>
                </c:pt>
                <c:pt idx="17">
                  <c:v>1.0120684225755101</c:v>
                </c:pt>
                <c:pt idx="18">
                  <c:v>1.0119035278820501</c:v>
                </c:pt>
                <c:pt idx="19">
                  <c:v>1.0117588855887301</c:v>
                </c:pt>
                <c:pt idx="20">
                  <c:v>1.0116088496681299</c:v>
                </c:pt>
                <c:pt idx="21">
                  <c:v>1.0114635794833899</c:v>
                </c:pt>
                <c:pt idx="22">
                  <c:v>1.0113284388560899</c:v>
                </c:pt>
                <c:pt idx="23">
                  <c:v>1.0111927922253101</c:v>
                </c:pt>
              </c:numCache>
            </c:numRef>
          </c:val>
          <c:smooth val="0"/>
          <c:extLst>
            <c:ext xmlns:c16="http://schemas.microsoft.com/office/drawing/2014/chart" uri="{C3380CC4-5D6E-409C-BE32-E72D297353CC}">
              <c16:uniqueId val="{00000004-5A33-44EB-AC37-95C7947158BC}"/>
            </c:ext>
          </c:extLst>
        </c:ser>
        <c:ser>
          <c:idx val="5"/>
          <c:order val="5"/>
          <c:tx>
            <c:strRef>
              <c:f>delta_open_high_dep!$I$2</c:f>
              <c:strCache>
                <c:ptCount val="1"/>
                <c:pt idx="0">
                  <c:v>caprevs</c:v>
                </c:pt>
              </c:strCache>
            </c:strRef>
          </c:tx>
          <c:spPr>
            <a:ln w="28575" cap="rnd">
              <a:solidFill>
                <a:schemeClr val="accent6"/>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delta_open_high_dep!$I$3:$I$26</c:f>
              <c:numCache>
                <c:formatCode>General</c:formatCode>
                <c:ptCount val="24"/>
                <c:pt idx="0">
                  <c:v>1</c:v>
                </c:pt>
                <c:pt idx="1">
                  <c:v>0.98802481829640898</c:v>
                </c:pt>
                <c:pt idx="2">
                  <c:v>0.98582168582983798</c:v>
                </c:pt>
                <c:pt idx="3">
                  <c:v>0.98527729094078498</c:v>
                </c:pt>
                <c:pt idx="4">
                  <c:v>0.98485964386506797</c:v>
                </c:pt>
                <c:pt idx="5">
                  <c:v>0.98450460701584597</c:v>
                </c:pt>
                <c:pt idx="6">
                  <c:v>0.98413584768293205</c:v>
                </c:pt>
                <c:pt idx="7">
                  <c:v>0.98387254310234196</c:v>
                </c:pt>
                <c:pt idx="8">
                  <c:v>0.983583395978053</c:v>
                </c:pt>
                <c:pt idx="9">
                  <c:v>0.98332814773771104</c:v>
                </c:pt>
                <c:pt idx="10">
                  <c:v>0.98306898707885204</c:v>
                </c:pt>
                <c:pt idx="11">
                  <c:v>0.982781391493045</c:v>
                </c:pt>
                <c:pt idx="12">
                  <c:v>0.98259940319480299</c:v>
                </c:pt>
                <c:pt idx="13">
                  <c:v>0.98236049927900204</c:v>
                </c:pt>
                <c:pt idx="14">
                  <c:v>0.98213670396085195</c:v>
                </c:pt>
                <c:pt idx="15">
                  <c:v>0.98193229053939801</c:v>
                </c:pt>
                <c:pt idx="16">
                  <c:v>0.98172934929731803</c:v>
                </c:pt>
                <c:pt idx="17">
                  <c:v>0.98153498141524698</c:v>
                </c:pt>
                <c:pt idx="18">
                  <c:v>0.981319209373402</c:v>
                </c:pt>
                <c:pt idx="19">
                  <c:v>0.98118252660545902</c:v>
                </c:pt>
                <c:pt idx="20">
                  <c:v>0.98104014363480496</c:v>
                </c:pt>
                <c:pt idx="21">
                  <c:v>0.98083269081411695</c:v>
                </c:pt>
                <c:pt idx="22">
                  <c:v>0.98069096591448801</c:v>
                </c:pt>
                <c:pt idx="23">
                  <c:v>0.98057050944683599</c:v>
                </c:pt>
              </c:numCache>
            </c:numRef>
          </c:val>
          <c:smooth val="0"/>
          <c:extLst>
            <c:ext xmlns:c16="http://schemas.microsoft.com/office/drawing/2014/chart" uri="{C3380CC4-5D6E-409C-BE32-E72D297353CC}">
              <c16:uniqueId val="{00000005-5A33-44EB-AC37-95C7947158BC}"/>
            </c:ext>
          </c:extLst>
        </c:ser>
        <c:dLbls>
          <c:showLegendKey val="0"/>
          <c:showVal val="0"/>
          <c:showCatName val="0"/>
          <c:showSerName val="0"/>
          <c:showPercent val="0"/>
          <c:showBubbleSize val="0"/>
        </c:dLbls>
        <c:smooth val="0"/>
        <c:axId val="587315240"/>
        <c:axId val="587318192"/>
      </c:lineChart>
      <c:catAx>
        <c:axId val="58731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8192"/>
        <c:crosses val="autoZero"/>
        <c:auto val="1"/>
        <c:lblAlgn val="ctr"/>
        <c:lblOffset val="100"/>
        <c:tickMarkSkip val="5"/>
        <c:noMultiLvlLbl val="0"/>
      </c:catAx>
      <c:valAx>
        <c:axId val="587318192"/>
        <c:scaling>
          <c:orientation val="minMax"/>
          <c:min val="0.9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5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costa, Daniela</dc:creator>
  <cp:keywords/>
  <dc:description/>
  <cp:lastModifiedBy>Viana costa, Daniela</cp:lastModifiedBy>
  <cp:revision>16</cp:revision>
  <dcterms:created xsi:type="dcterms:W3CDTF">2017-12-05T21:27:00Z</dcterms:created>
  <dcterms:modified xsi:type="dcterms:W3CDTF">2018-07-25T20:00:00Z</dcterms:modified>
</cp:coreProperties>
</file>