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E3" w:rsidRPr="00585969" w:rsidRDefault="00ED47E3" w:rsidP="00585969">
      <w:pPr>
        <w:jc w:val="center"/>
        <w:rPr>
          <w:sz w:val="28"/>
          <w:szCs w:val="28"/>
        </w:rPr>
      </w:pPr>
      <w:r w:rsidRPr="00585969">
        <w:rPr>
          <w:sz w:val="28"/>
          <w:szCs w:val="28"/>
        </w:rPr>
        <w:t>Delta Discoveries</w:t>
      </w:r>
    </w:p>
    <w:p w:rsidR="00ED47E3" w:rsidRDefault="00ED47E3" w:rsidP="00ED47E3"/>
    <w:p w:rsidR="00ED47E3" w:rsidRDefault="00ED47E3" w:rsidP="00ED47E3">
      <w:pPr>
        <w:pStyle w:val="ListParagraph"/>
        <w:numPr>
          <w:ilvl w:val="0"/>
          <w:numId w:val="1"/>
        </w:numPr>
      </w:pPr>
      <w:r>
        <w:t>Why aren’t the distributions of asset holdings and CIT as progressive as we would have thought?</w:t>
      </w:r>
    </w:p>
    <w:p w:rsidR="00ED47E3" w:rsidRDefault="00ED47E3" w:rsidP="00ED47E3">
      <w:r>
        <w:t>Recall we fixed the quintiles according to households’ taxable income and, as a consequence, retirees with large asset holdings (but no labor income) might fall in a low quintile. They drive the asset holdings/CIT of low quintiles up.</w:t>
      </w:r>
    </w:p>
    <w:p w:rsidR="00ED47E3" w:rsidRDefault="00ED47E3" w:rsidP="00ED47E3">
      <w:pPr>
        <w:jc w:val="center"/>
      </w:pPr>
      <w:r>
        <w:rPr>
          <w:noProof/>
        </w:rPr>
        <w:drawing>
          <wp:inline distT="0" distB="0" distL="0" distR="0" wp14:anchorId="55AEA902" wp14:editId="644C1887">
            <wp:extent cx="3505200" cy="2062798"/>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47E3" w:rsidRDefault="00ED47E3" w:rsidP="00ED47E3"/>
    <w:p w:rsidR="00ED47E3" w:rsidRDefault="00ED47E3" w:rsidP="00ED47E3">
      <w:pPr>
        <w:pStyle w:val="ListParagraph"/>
        <w:numPr>
          <w:ilvl w:val="0"/>
          <w:numId w:val="1"/>
        </w:numPr>
      </w:pPr>
      <w:r>
        <w:t>Why is the delta for CIT (for all quintiles) so low?</w:t>
      </w:r>
    </w:p>
    <w:p w:rsidR="00ED47E3" w:rsidRDefault="00ED47E3" w:rsidP="00ED47E3">
      <w:r>
        <w:t>We compute static variables holding prices fixed</w:t>
      </w:r>
      <w:r w:rsidR="00D502E3">
        <w:t xml:space="preserve"> and the ‘effective capital </w:t>
      </w:r>
      <w:r w:rsidR="0056663B">
        <w:t>return rate’, that is, capital return rate minus expensing subsidies, decreases around 60% in the counterfactual economy with respect to the static economy (for the open economy with low capital return). This price effect, part of the dynamic effect, reduces CIT (and capital revenues) even though total capital in the economy goes up.</w:t>
      </w:r>
    </w:p>
    <w:p w:rsidR="00ED47E3" w:rsidRDefault="00ED47E3" w:rsidP="00ED47E3">
      <w:pPr>
        <w:jc w:val="center"/>
      </w:pPr>
      <w:r>
        <w:rPr>
          <w:noProof/>
        </w:rPr>
        <w:drawing>
          <wp:inline distT="0" distB="0" distL="0" distR="0" wp14:anchorId="0F0101B3" wp14:editId="3D8FC153">
            <wp:extent cx="3590925" cy="2254885"/>
            <wp:effectExtent l="0" t="0" r="9525"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043E" w:rsidRDefault="00FF043E" w:rsidP="00ED47E3">
      <w:pPr>
        <w:jc w:val="center"/>
      </w:pPr>
    </w:p>
    <w:p w:rsidR="00FF043E" w:rsidRDefault="00FF043E" w:rsidP="00FF043E">
      <w:pPr>
        <w:pStyle w:val="ListParagraph"/>
        <w:numPr>
          <w:ilvl w:val="0"/>
          <w:numId w:val="1"/>
        </w:numPr>
      </w:pPr>
      <w:r>
        <w:t>Why does total tax revenues decrease in the open economy with low capital return?</w:t>
      </w:r>
    </w:p>
    <w:p w:rsidR="00FF043E" w:rsidRDefault="00FF043E" w:rsidP="00FF043E">
      <w:r>
        <w:lastRenderedPageBreak/>
        <w:t>Due to the dynamic effect mentioned in item 2, we have a reduction of capital revenues that drives total revenues down.</w:t>
      </w:r>
    </w:p>
    <w:p w:rsidR="00FF043E" w:rsidRDefault="00FF043E" w:rsidP="00FF043E">
      <w:pPr>
        <w:jc w:val="center"/>
      </w:pPr>
      <w:r>
        <w:rPr>
          <w:noProof/>
        </w:rPr>
        <w:drawing>
          <wp:inline distT="0" distB="0" distL="0" distR="0" wp14:anchorId="273470E2" wp14:editId="0887DB23">
            <wp:extent cx="3833813" cy="2558415"/>
            <wp:effectExtent l="0" t="0" r="1460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01B1" w:rsidRDefault="009A01B1" w:rsidP="009A01B1"/>
    <w:p w:rsidR="009A01B1" w:rsidRDefault="009A01B1" w:rsidP="009A01B1">
      <w:pPr>
        <w:pStyle w:val="ListParagraph"/>
        <w:numPr>
          <w:ilvl w:val="0"/>
          <w:numId w:val="1"/>
        </w:numPr>
      </w:pPr>
      <w:r>
        <w:t>Why do labor income and GDP percentage changes differ in the closed economies?</w:t>
      </w:r>
    </w:p>
    <w:p w:rsidR="009A01B1" w:rsidRDefault="009A01B1" w:rsidP="009A01B1">
      <w:r>
        <w:t>Convergence error. In the closed economy code, we use capital-labor ratio guesses so they don’t necessarily equal capital-labor ratio in the model (our tolerance parameter right now is 1e-3).</w:t>
      </w:r>
      <w:r w:rsidR="00ED7C37">
        <w:t xml:space="preserve"> In the open economy, capital-labor ratio is set by closed form conditions, so the difference in that case is a numerical error.</w:t>
      </w:r>
    </w:p>
    <w:p w:rsidR="00415790" w:rsidRDefault="00415790" w:rsidP="009A01B1"/>
    <w:p w:rsidR="00415790" w:rsidRDefault="00415790" w:rsidP="00415790">
      <w:pPr>
        <w:pStyle w:val="ListParagraph"/>
        <w:numPr>
          <w:ilvl w:val="0"/>
          <w:numId w:val="1"/>
        </w:numPr>
      </w:pPr>
      <w:r>
        <w:t xml:space="preserve">Why do Social Security benefits deltas are </w:t>
      </w:r>
      <w:proofErr w:type="spellStart"/>
      <w:r>
        <w:t>NaN</w:t>
      </w:r>
      <w:proofErr w:type="spellEnd"/>
      <w:r>
        <w:t xml:space="preserve"> for some percentiles?</w:t>
      </w:r>
    </w:p>
    <w:p w:rsidR="00611CC9" w:rsidRDefault="00757481" w:rsidP="00415790">
      <w:r>
        <w:t>When we define the percentiles according to total income without Social Security benefits in the first year of transition, three percentile-like groups display a SS benefits</w:t>
      </w:r>
      <w:r w:rsidR="00611CC9">
        <w:t xml:space="preserve"> sum</w:t>
      </w:r>
      <w:r>
        <w:t xml:space="preserve"> equal to zero (in both the baseline and the static economies). </w:t>
      </w:r>
      <w:r w:rsidR="00B24B68">
        <w:t>In those groups</w:t>
      </w:r>
      <w:r w:rsidR="00BD4147">
        <w:t xml:space="preserve"> (</w:t>
      </w:r>
      <w:r w:rsidR="00BD4147">
        <w:t>60-80 p, 80-90 p, and 90-95 p</w:t>
      </w:r>
      <w:r w:rsidR="00BD4147">
        <w:t>)</w:t>
      </w:r>
      <w:r w:rsidR="00B24B68">
        <w:t xml:space="preserve">, there is a zero mass of retired households. </w:t>
      </w:r>
      <w:r>
        <w:t xml:space="preserve">As a result, </w:t>
      </w:r>
      <w:r w:rsidR="00B24B68">
        <w:t>the</w:t>
      </w:r>
      <w:r w:rsidR="00BD4147">
        <w:t xml:space="preserve"> calculated deltas are </w:t>
      </w:r>
      <w:proofErr w:type="spellStart"/>
      <w:r w:rsidR="00BD4147">
        <w:t>NaN.</w:t>
      </w:r>
      <w:proofErr w:type="spellEnd"/>
    </w:p>
    <w:p w:rsidR="00415790" w:rsidRDefault="00BD4147" w:rsidP="00415790">
      <w:r>
        <w:t>The</w:t>
      </w:r>
      <w:r w:rsidR="00B24B68">
        <w:t xml:space="preserve"> </w:t>
      </w:r>
      <w:r w:rsidR="00092557">
        <w:t>reason is the interaction between</w:t>
      </w:r>
      <w:r w:rsidR="00B24B68">
        <w:t xml:space="preserve"> the assets grid</w:t>
      </w:r>
      <w:r w:rsidR="00092557">
        <w:t>, total return rates, and total income thresholds for each percentile</w:t>
      </w:r>
      <w:r w:rsidR="00B24B68">
        <w:t>. Note that total income without SS benefits is equal to assets income for retired households. For our current parameters, a retired household with asset holdings in the 9</w:t>
      </w:r>
      <w:r w:rsidR="00B24B68" w:rsidRPr="00B24B68">
        <w:rPr>
          <w:vertAlign w:val="superscript"/>
        </w:rPr>
        <w:t>th</w:t>
      </w:r>
      <w:r w:rsidR="00B24B68">
        <w:t xml:space="preserve"> grid point earns enough</w:t>
      </w:r>
      <w:r w:rsidR="00A4144C">
        <w:t xml:space="preserve"> (USD 133,887)</w:t>
      </w:r>
      <w:r w:rsidR="00B24B68">
        <w:t xml:space="preserve"> to be placed in the top 5% total income without SS benefits. However, </w:t>
      </w:r>
      <w:r w:rsidR="00B24B68">
        <w:t xml:space="preserve">a retired household with asset holdings in the </w:t>
      </w:r>
      <w:r w:rsidR="00B24B68">
        <w:t>8</w:t>
      </w:r>
      <w:r w:rsidR="00B24B68" w:rsidRPr="00B24B68">
        <w:rPr>
          <w:vertAlign w:val="superscript"/>
        </w:rPr>
        <w:t>th</w:t>
      </w:r>
      <w:r w:rsidR="00B24B68">
        <w:t xml:space="preserve"> grid point </w:t>
      </w:r>
      <w:r w:rsidR="00B24B68">
        <w:t xml:space="preserve">is </w:t>
      </w:r>
      <w:r w:rsidR="00092557">
        <w:t xml:space="preserve">already far back </w:t>
      </w:r>
      <w:r w:rsidR="00B24B68">
        <w:t>in the bottom 60%</w:t>
      </w:r>
      <w:r w:rsidR="00A4144C">
        <w:t xml:space="preserve"> </w:t>
      </w:r>
      <w:r w:rsidR="00A4144C">
        <w:t>(USD 50,273)</w:t>
      </w:r>
      <w:r w:rsidR="00B24B68">
        <w:t>.</w:t>
      </w:r>
      <w:r w:rsidR="00092557">
        <w:t xml:space="preserve"> Income inequality results in thresholds that are not too far apart from each other in the first percentiles.</w:t>
      </w:r>
      <w:bookmarkStart w:id="0" w:name="_GoBack"/>
      <w:bookmarkEnd w:id="0"/>
    </w:p>
    <w:tbl>
      <w:tblPr>
        <w:tblStyle w:val="TableGrid"/>
        <w:tblW w:w="0" w:type="auto"/>
        <w:jc w:val="center"/>
        <w:tblLook w:val="04A0" w:firstRow="1" w:lastRow="0" w:firstColumn="1" w:lastColumn="0" w:noHBand="0" w:noVBand="1"/>
      </w:tblPr>
      <w:tblGrid>
        <w:gridCol w:w="2598"/>
        <w:gridCol w:w="2600"/>
        <w:gridCol w:w="2076"/>
      </w:tblGrid>
      <w:tr w:rsidR="00A4144C" w:rsidTr="00A4144C">
        <w:trPr>
          <w:trHeight w:val="269"/>
          <w:jc w:val="center"/>
        </w:trPr>
        <w:tc>
          <w:tcPr>
            <w:tcW w:w="2598" w:type="dxa"/>
            <w:vMerge w:val="restart"/>
            <w:vAlign w:val="center"/>
          </w:tcPr>
          <w:p w:rsidR="00A4144C" w:rsidRDefault="00A4144C" w:rsidP="00A4144C">
            <w:pPr>
              <w:jc w:val="center"/>
            </w:pPr>
            <w:r>
              <w:t>Percentile</w:t>
            </w:r>
          </w:p>
        </w:tc>
        <w:tc>
          <w:tcPr>
            <w:tcW w:w="4676" w:type="dxa"/>
            <w:gridSpan w:val="2"/>
          </w:tcPr>
          <w:p w:rsidR="00A4144C" w:rsidRDefault="00A4144C" w:rsidP="00A4144C">
            <w:pPr>
              <w:jc w:val="center"/>
            </w:pPr>
            <w:r>
              <w:t>Top income threshold</w:t>
            </w:r>
          </w:p>
        </w:tc>
      </w:tr>
      <w:tr w:rsidR="00A4144C" w:rsidTr="00A4144C">
        <w:trPr>
          <w:trHeight w:val="269"/>
          <w:jc w:val="center"/>
        </w:trPr>
        <w:tc>
          <w:tcPr>
            <w:tcW w:w="2598" w:type="dxa"/>
            <w:vMerge/>
          </w:tcPr>
          <w:p w:rsidR="00A4144C" w:rsidRDefault="00A4144C" w:rsidP="00092557">
            <w:pPr>
              <w:jc w:val="center"/>
            </w:pPr>
          </w:p>
        </w:tc>
        <w:tc>
          <w:tcPr>
            <w:tcW w:w="2600" w:type="dxa"/>
          </w:tcPr>
          <w:p w:rsidR="00A4144C" w:rsidRDefault="00A4144C" w:rsidP="00092557">
            <w:pPr>
              <w:jc w:val="center"/>
            </w:pPr>
            <w:r>
              <w:t>Model units</w:t>
            </w:r>
          </w:p>
        </w:tc>
        <w:tc>
          <w:tcPr>
            <w:tcW w:w="2076" w:type="dxa"/>
          </w:tcPr>
          <w:p w:rsidR="00A4144C" w:rsidRDefault="00A4144C" w:rsidP="00092557">
            <w:pPr>
              <w:jc w:val="center"/>
            </w:pPr>
            <w:r>
              <w:t>USD</w:t>
            </w:r>
          </w:p>
        </w:tc>
      </w:tr>
      <w:tr w:rsidR="00A4144C" w:rsidTr="00A4144C">
        <w:trPr>
          <w:trHeight w:val="269"/>
          <w:jc w:val="center"/>
        </w:trPr>
        <w:tc>
          <w:tcPr>
            <w:tcW w:w="2598" w:type="dxa"/>
          </w:tcPr>
          <w:p w:rsidR="00A4144C" w:rsidRDefault="00A4144C" w:rsidP="00A4144C">
            <w:pPr>
              <w:jc w:val="center"/>
            </w:pPr>
            <w:r>
              <w:t>0 – 20 p</w:t>
            </w:r>
          </w:p>
        </w:tc>
        <w:tc>
          <w:tcPr>
            <w:tcW w:w="2600" w:type="dxa"/>
          </w:tcPr>
          <w:p w:rsidR="00A4144C" w:rsidRDefault="00A4144C" w:rsidP="00A4144C">
            <w:pPr>
              <w:jc w:val="center"/>
            </w:pPr>
            <w:r>
              <w:t>0.2754</w:t>
            </w:r>
          </w:p>
        </w:tc>
        <w:tc>
          <w:tcPr>
            <w:tcW w:w="2076" w:type="dxa"/>
          </w:tcPr>
          <w:p w:rsidR="00A4144C" w:rsidRDefault="00A4144C" w:rsidP="00A4144C">
            <w:pPr>
              <w:jc w:val="center"/>
            </w:pPr>
            <w:r>
              <w:t>6,659</w:t>
            </w:r>
          </w:p>
        </w:tc>
      </w:tr>
      <w:tr w:rsidR="00A4144C" w:rsidTr="00A4144C">
        <w:trPr>
          <w:trHeight w:val="269"/>
          <w:jc w:val="center"/>
        </w:trPr>
        <w:tc>
          <w:tcPr>
            <w:tcW w:w="2598" w:type="dxa"/>
          </w:tcPr>
          <w:p w:rsidR="00A4144C" w:rsidRDefault="00A4144C" w:rsidP="00A4144C">
            <w:pPr>
              <w:jc w:val="center"/>
            </w:pPr>
            <w:r>
              <w:t>20 – 40 p</w:t>
            </w:r>
          </w:p>
        </w:tc>
        <w:tc>
          <w:tcPr>
            <w:tcW w:w="2600" w:type="dxa"/>
          </w:tcPr>
          <w:p w:rsidR="00A4144C" w:rsidRDefault="00A4144C" w:rsidP="00A4144C">
            <w:pPr>
              <w:jc w:val="center"/>
            </w:pPr>
            <w:r>
              <w:t>1.4494</w:t>
            </w:r>
          </w:p>
        </w:tc>
        <w:tc>
          <w:tcPr>
            <w:tcW w:w="2076" w:type="dxa"/>
          </w:tcPr>
          <w:p w:rsidR="00A4144C" w:rsidRDefault="00A4144C" w:rsidP="00A4144C">
            <w:pPr>
              <w:jc w:val="center"/>
            </w:pPr>
            <w:r>
              <w:t>35,046</w:t>
            </w:r>
          </w:p>
        </w:tc>
      </w:tr>
      <w:tr w:rsidR="00A4144C" w:rsidTr="00A4144C">
        <w:trPr>
          <w:trHeight w:val="269"/>
          <w:jc w:val="center"/>
        </w:trPr>
        <w:tc>
          <w:tcPr>
            <w:tcW w:w="2598" w:type="dxa"/>
          </w:tcPr>
          <w:p w:rsidR="00A4144C" w:rsidRDefault="00A4144C" w:rsidP="00A4144C">
            <w:pPr>
              <w:jc w:val="center"/>
            </w:pPr>
            <w:r>
              <w:lastRenderedPageBreak/>
              <w:t>40 – 60 p</w:t>
            </w:r>
          </w:p>
        </w:tc>
        <w:tc>
          <w:tcPr>
            <w:tcW w:w="2600" w:type="dxa"/>
          </w:tcPr>
          <w:p w:rsidR="00A4144C" w:rsidRDefault="00A4144C" w:rsidP="00A4144C">
            <w:pPr>
              <w:jc w:val="center"/>
            </w:pPr>
            <w:r>
              <w:t>2.1679</w:t>
            </w:r>
          </w:p>
        </w:tc>
        <w:tc>
          <w:tcPr>
            <w:tcW w:w="2076" w:type="dxa"/>
          </w:tcPr>
          <w:p w:rsidR="00A4144C" w:rsidRDefault="00A4144C" w:rsidP="00A4144C">
            <w:pPr>
              <w:jc w:val="center"/>
            </w:pPr>
            <w:r>
              <w:t>52,419</w:t>
            </w:r>
          </w:p>
        </w:tc>
      </w:tr>
      <w:tr w:rsidR="00A4144C" w:rsidTr="00A4144C">
        <w:trPr>
          <w:trHeight w:val="269"/>
          <w:jc w:val="center"/>
        </w:trPr>
        <w:tc>
          <w:tcPr>
            <w:tcW w:w="2598" w:type="dxa"/>
          </w:tcPr>
          <w:p w:rsidR="00A4144C" w:rsidRDefault="00A4144C" w:rsidP="00A4144C">
            <w:pPr>
              <w:jc w:val="center"/>
            </w:pPr>
            <w:r>
              <w:t>60 – 80 p</w:t>
            </w:r>
          </w:p>
        </w:tc>
        <w:tc>
          <w:tcPr>
            <w:tcW w:w="2600" w:type="dxa"/>
          </w:tcPr>
          <w:p w:rsidR="00A4144C" w:rsidRDefault="00A4144C" w:rsidP="00A4144C">
            <w:pPr>
              <w:jc w:val="center"/>
            </w:pPr>
            <w:r>
              <w:t>3.0001</w:t>
            </w:r>
          </w:p>
        </w:tc>
        <w:tc>
          <w:tcPr>
            <w:tcW w:w="2076" w:type="dxa"/>
          </w:tcPr>
          <w:p w:rsidR="00A4144C" w:rsidRDefault="00A4144C" w:rsidP="00A4144C">
            <w:pPr>
              <w:jc w:val="center"/>
            </w:pPr>
            <w:r>
              <w:t>72,542</w:t>
            </w:r>
          </w:p>
        </w:tc>
      </w:tr>
      <w:tr w:rsidR="00A4144C" w:rsidTr="00A4144C">
        <w:trPr>
          <w:trHeight w:val="269"/>
          <w:jc w:val="center"/>
        </w:trPr>
        <w:tc>
          <w:tcPr>
            <w:tcW w:w="2598" w:type="dxa"/>
          </w:tcPr>
          <w:p w:rsidR="00A4144C" w:rsidRDefault="00A4144C" w:rsidP="00A4144C">
            <w:pPr>
              <w:jc w:val="center"/>
            </w:pPr>
            <w:r>
              <w:t>80 – 90 p</w:t>
            </w:r>
          </w:p>
        </w:tc>
        <w:tc>
          <w:tcPr>
            <w:tcW w:w="2600" w:type="dxa"/>
          </w:tcPr>
          <w:p w:rsidR="00A4144C" w:rsidRDefault="00A4144C" w:rsidP="00A4144C">
            <w:pPr>
              <w:jc w:val="center"/>
            </w:pPr>
            <w:r>
              <w:t>3.4753</w:t>
            </w:r>
          </w:p>
        </w:tc>
        <w:tc>
          <w:tcPr>
            <w:tcW w:w="2076" w:type="dxa"/>
          </w:tcPr>
          <w:p w:rsidR="00A4144C" w:rsidRDefault="00A4144C" w:rsidP="00A4144C">
            <w:pPr>
              <w:jc w:val="center"/>
            </w:pPr>
            <w:r>
              <w:t>84,031</w:t>
            </w:r>
          </w:p>
        </w:tc>
      </w:tr>
      <w:tr w:rsidR="00A4144C" w:rsidTr="00A4144C">
        <w:trPr>
          <w:trHeight w:val="269"/>
          <w:jc w:val="center"/>
        </w:trPr>
        <w:tc>
          <w:tcPr>
            <w:tcW w:w="2598" w:type="dxa"/>
          </w:tcPr>
          <w:p w:rsidR="00A4144C" w:rsidRDefault="00A4144C" w:rsidP="00A4144C">
            <w:pPr>
              <w:jc w:val="center"/>
            </w:pPr>
            <w:r>
              <w:t>90 – 95 p</w:t>
            </w:r>
          </w:p>
        </w:tc>
        <w:tc>
          <w:tcPr>
            <w:tcW w:w="2600" w:type="dxa"/>
          </w:tcPr>
          <w:p w:rsidR="00A4144C" w:rsidRDefault="00A4144C" w:rsidP="00A4144C">
            <w:pPr>
              <w:jc w:val="center"/>
            </w:pPr>
            <w:r>
              <w:t>3.8305</w:t>
            </w:r>
          </w:p>
        </w:tc>
        <w:tc>
          <w:tcPr>
            <w:tcW w:w="2076" w:type="dxa"/>
          </w:tcPr>
          <w:p w:rsidR="00A4144C" w:rsidRDefault="00A4144C" w:rsidP="00A4144C">
            <w:pPr>
              <w:jc w:val="center"/>
            </w:pPr>
            <w:r>
              <w:t>92,620</w:t>
            </w:r>
          </w:p>
        </w:tc>
      </w:tr>
      <w:tr w:rsidR="00A4144C" w:rsidTr="00A4144C">
        <w:trPr>
          <w:trHeight w:val="269"/>
          <w:jc w:val="center"/>
        </w:trPr>
        <w:tc>
          <w:tcPr>
            <w:tcW w:w="2598" w:type="dxa"/>
          </w:tcPr>
          <w:p w:rsidR="00A4144C" w:rsidRDefault="00A4144C" w:rsidP="00A4144C">
            <w:pPr>
              <w:jc w:val="center"/>
            </w:pPr>
            <w:r>
              <w:t>95 – 100 p</w:t>
            </w:r>
          </w:p>
        </w:tc>
        <w:tc>
          <w:tcPr>
            <w:tcW w:w="2600" w:type="dxa"/>
          </w:tcPr>
          <w:p w:rsidR="00A4144C" w:rsidRDefault="00A4144C" w:rsidP="00A4144C">
            <w:pPr>
              <w:jc w:val="center"/>
            </w:pPr>
            <w:r>
              <w:t>95.5898</w:t>
            </w:r>
          </w:p>
        </w:tc>
        <w:tc>
          <w:tcPr>
            <w:tcW w:w="2076" w:type="dxa"/>
          </w:tcPr>
          <w:p w:rsidR="00A4144C" w:rsidRDefault="00A4144C" w:rsidP="00A4144C">
            <w:pPr>
              <w:jc w:val="center"/>
            </w:pPr>
            <w:r>
              <w:t>2,311,342</w:t>
            </w:r>
          </w:p>
        </w:tc>
      </w:tr>
    </w:tbl>
    <w:p w:rsidR="00092557" w:rsidRDefault="00092557" w:rsidP="00092557">
      <w:pPr>
        <w:jc w:val="center"/>
      </w:pPr>
    </w:p>
    <w:sectPr w:rsidR="0009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514"/>
    <w:multiLevelType w:val="hybridMultilevel"/>
    <w:tmpl w:val="B1A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E3"/>
    <w:rsid w:val="00092557"/>
    <w:rsid w:val="000A7C80"/>
    <w:rsid w:val="002910B7"/>
    <w:rsid w:val="00415790"/>
    <w:rsid w:val="0042409A"/>
    <w:rsid w:val="0056663B"/>
    <w:rsid w:val="00585969"/>
    <w:rsid w:val="00611CC9"/>
    <w:rsid w:val="00724C80"/>
    <w:rsid w:val="00752A1F"/>
    <w:rsid w:val="00757481"/>
    <w:rsid w:val="009A01B1"/>
    <w:rsid w:val="00A4144C"/>
    <w:rsid w:val="00B24B68"/>
    <w:rsid w:val="00BD4147"/>
    <w:rsid w:val="00D502E3"/>
    <w:rsid w:val="00ED47E3"/>
    <w:rsid w:val="00ED7C37"/>
    <w:rsid w:val="00FA22EB"/>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4BD7"/>
  <w15:chartTrackingRefBased/>
  <w15:docId w15:val="{B3033557-DCDA-4659-9DEA-F6CCA85F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E3"/>
    <w:pPr>
      <w:ind w:left="720"/>
      <w:contextualSpacing/>
    </w:pPr>
  </w:style>
  <w:style w:type="table" w:styleId="TableGrid">
    <w:name w:val="Table Grid"/>
    <w:basedOn w:val="TableNormal"/>
    <w:uiPriority w:val="39"/>
    <w:rsid w:val="0009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pi-slcsql\danielav$\Model\Nov2017\inc_tax_by_quinti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pi-slcsql\danielav$\Model\Oct2017\TPC_report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Asset Holdings</a:t>
            </a:r>
            <a:r>
              <a:rPr lang="en-US" sz="1400" b="0" i="0" u="none" strike="noStrike" baseline="0">
                <a:effectLst/>
              </a:rPr>
              <a:t> - open economy with low K return</a:t>
            </a:r>
            <a:endParaRPr lang="en-US" baseline="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BASELINE</c:v>
                </c:pt>
              </c:strCache>
            </c:strRef>
          </c:tx>
          <c:spPr>
            <a:solidFill>
              <a:schemeClr val="accent1"/>
            </a:solidFill>
            <a:ln>
              <a:noFill/>
            </a:ln>
            <a:effectLst/>
          </c:spPr>
          <c:invertIfNegative val="0"/>
          <c:cat>
            <c:strRef>
              <c:f>Sheet2!$A$4:$A$8</c:f>
              <c:strCache>
                <c:ptCount val="5"/>
                <c:pt idx="0">
                  <c:v>quintile1</c:v>
                </c:pt>
                <c:pt idx="1">
                  <c:v>quintile2</c:v>
                </c:pt>
                <c:pt idx="2">
                  <c:v>quintile3</c:v>
                </c:pt>
                <c:pt idx="3">
                  <c:v>quintile4</c:v>
                </c:pt>
                <c:pt idx="4">
                  <c:v>quintile5</c:v>
                </c:pt>
              </c:strCache>
            </c:strRef>
          </c:cat>
          <c:val>
            <c:numRef>
              <c:f>Sheet1!$J$4:$J$8</c:f>
              <c:numCache>
                <c:formatCode>General</c:formatCode>
                <c:ptCount val="5"/>
                <c:pt idx="0">
                  <c:v>1.2693627192171699</c:v>
                </c:pt>
                <c:pt idx="1">
                  <c:v>2.4761954440467102</c:v>
                </c:pt>
                <c:pt idx="2">
                  <c:v>2.7539703031580101</c:v>
                </c:pt>
                <c:pt idx="3">
                  <c:v>2.7217001356589501</c:v>
                </c:pt>
                <c:pt idx="4">
                  <c:v>3.1948007690687401</c:v>
                </c:pt>
              </c:numCache>
            </c:numRef>
          </c:val>
          <c:extLst>
            <c:ext xmlns:c16="http://schemas.microsoft.com/office/drawing/2014/chart" uri="{C3380CC4-5D6E-409C-BE32-E72D297353CC}">
              <c16:uniqueId val="{00000000-4CBA-42BD-A09A-73D1F35F97A0}"/>
            </c:ext>
          </c:extLst>
        </c:ser>
        <c:ser>
          <c:idx val="1"/>
          <c:order val="1"/>
          <c:tx>
            <c:strRef>
              <c:f>Sheet1!$L$2</c:f>
              <c:strCache>
                <c:ptCount val="1"/>
                <c:pt idx="0">
                  <c:v>TAXPLAN C</c:v>
                </c:pt>
              </c:strCache>
            </c:strRef>
          </c:tx>
          <c:spPr>
            <a:solidFill>
              <a:schemeClr val="accent2"/>
            </a:solidFill>
            <a:ln>
              <a:noFill/>
            </a:ln>
            <a:effectLst/>
          </c:spPr>
          <c:invertIfNegative val="0"/>
          <c:val>
            <c:numRef>
              <c:f>Sheet1!$O$4:$O$8</c:f>
              <c:numCache>
                <c:formatCode>General</c:formatCode>
                <c:ptCount val="5"/>
                <c:pt idx="0">
                  <c:v>1.27418037716891</c:v>
                </c:pt>
                <c:pt idx="1">
                  <c:v>2.5020201990562398</c:v>
                </c:pt>
                <c:pt idx="2">
                  <c:v>2.7636767818968</c:v>
                </c:pt>
                <c:pt idx="3">
                  <c:v>2.8011620021410399</c:v>
                </c:pt>
                <c:pt idx="4">
                  <c:v>3.0749900108866002</c:v>
                </c:pt>
              </c:numCache>
            </c:numRef>
          </c:val>
          <c:extLst>
            <c:ext xmlns:c16="http://schemas.microsoft.com/office/drawing/2014/chart" uri="{C3380CC4-5D6E-409C-BE32-E72D297353CC}">
              <c16:uniqueId val="{00000001-4CBA-42BD-A09A-73D1F35F97A0}"/>
            </c:ext>
          </c:extLst>
        </c:ser>
        <c:dLbls>
          <c:showLegendKey val="0"/>
          <c:showVal val="0"/>
          <c:showCatName val="0"/>
          <c:showSerName val="0"/>
          <c:showPercent val="0"/>
          <c:showBubbleSize val="0"/>
        </c:dLbls>
        <c:gapWidth val="219"/>
        <c:overlap val="-27"/>
        <c:axId val="654222672"/>
        <c:axId val="654217752"/>
      </c:barChart>
      <c:catAx>
        <c:axId val="65422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17752"/>
        <c:crosses val="autoZero"/>
        <c:auto val="1"/>
        <c:lblAlgn val="ctr"/>
        <c:lblOffset val="100"/>
        <c:noMultiLvlLbl val="0"/>
      </c:catAx>
      <c:valAx>
        <c:axId val="65421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2267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Deltas</a:t>
            </a:r>
            <a:r>
              <a:rPr lang="en-US" sz="1400" baseline="0"/>
              <a:t> (taxplan C / static)</a:t>
            </a:r>
            <a:r>
              <a:rPr lang="en-US" sz="1400" b="0" i="0" u="none" strike="noStrike" baseline="0">
                <a:effectLst/>
              </a:rPr>
              <a:t> - open economy with low K return</a:t>
            </a:r>
            <a:endParaRPr lang="en-US" sz="14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c:f>
              <c:strCache>
                <c:ptCount val="1"/>
                <c:pt idx="0">
                  <c:v>Taxable income</c:v>
                </c:pt>
              </c:strCache>
            </c:strRef>
          </c:tx>
          <c:spPr>
            <a:solidFill>
              <a:schemeClr val="accent1"/>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Sheet1!$V$4:$V$8</c:f>
              <c:numCache>
                <c:formatCode>General</c:formatCode>
                <c:ptCount val="5"/>
                <c:pt idx="0">
                  <c:v>1.0012034351696097</c:v>
                </c:pt>
                <c:pt idx="1">
                  <c:v>1.0074688130518736</c:v>
                </c:pt>
                <c:pt idx="2">
                  <c:v>1.010991937464448</c:v>
                </c:pt>
                <c:pt idx="3">
                  <c:v>1.0033740693463853</c:v>
                </c:pt>
                <c:pt idx="4">
                  <c:v>1.0139836249106027</c:v>
                </c:pt>
              </c:numCache>
            </c:numRef>
          </c:val>
          <c:extLst>
            <c:ext xmlns:c16="http://schemas.microsoft.com/office/drawing/2014/chart" uri="{C3380CC4-5D6E-409C-BE32-E72D297353CC}">
              <c16:uniqueId val="{00000000-AE8E-4DE8-B59D-35E38C1A60C4}"/>
            </c:ext>
          </c:extLst>
        </c:ser>
        <c:ser>
          <c:idx val="1"/>
          <c:order val="1"/>
          <c:tx>
            <c:strRef>
              <c:f>Sheet1!$W$3</c:f>
              <c:strCache>
                <c:ptCount val="1"/>
                <c:pt idx="0">
                  <c:v>CIT</c:v>
                </c:pt>
              </c:strCache>
            </c:strRef>
          </c:tx>
          <c:spPr>
            <a:solidFill>
              <a:schemeClr val="accent2"/>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Sheet1!$W$4:$W$8</c:f>
              <c:numCache>
                <c:formatCode>General</c:formatCode>
                <c:ptCount val="5"/>
                <c:pt idx="0">
                  <c:v>0.60083693985215936</c:v>
                </c:pt>
                <c:pt idx="1">
                  <c:v>0.60480774413843819</c:v>
                </c:pt>
                <c:pt idx="2">
                  <c:v>0.60067485088288153</c:v>
                </c:pt>
                <c:pt idx="3">
                  <c:v>0.61604069712412701</c:v>
                </c:pt>
                <c:pt idx="4">
                  <c:v>0.57611791607321339</c:v>
                </c:pt>
              </c:numCache>
            </c:numRef>
          </c:val>
          <c:extLst>
            <c:ext xmlns:c16="http://schemas.microsoft.com/office/drawing/2014/chart" uri="{C3380CC4-5D6E-409C-BE32-E72D297353CC}">
              <c16:uniqueId val="{00000001-AE8E-4DE8-B59D-35E38C1A60C4}"/>
            </c:ext>
          </c:extLst>
        </c:ser>
        <c:ser>
          <c:idx val="2"/>
          <c:order val="2"/>
          <c:tx>
            <c:strRef>
              <c:f>Sheet1!$X$3</c:f>
              <c:strCache>
                <c:ptCount val="1"/>
                <c:pt idx="0">
                  <c:v>PIT</c:v>
                </c:pt>
              </c:strCache>
            </c:strRef>
          </c:tx>
          <c:spPr>
            <a:solidFill>
              <a:schemeClr val="accent3"/>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Sheet1!$X$4:$X$8</c:f>
              <c:numCache>
                <c:formatCode>General</c:formatCode>
                <c:ptCount val="5"/>
                <c:pt idx="0">
                  <c:v>1.0022651508096196</c:v>
                </c:pt>
                <c:pt idx="1">
                  <c:v>1.0119520653593934</c:v>
                </c:pt>
                <c:pt idx="2">
                  <c:v>1.0173250326923464</c:v>
                </c:pt>
                <c:pt idx="3">
                  <c:v>1.0074613312549998</c:v>
                </c:pt>
                <c:pt idx="4">
                  <c:v>1.0176273053758829</c:v>
                </c:pt>
              </c:numCache>
            </c:numRef>
          </c:val>
          <c:extLst>
            <c:ext xmlns:c16="http://schemas.microsoft.com/office/drawing/2014/chart" uri="{C3380CC4-5D6E-409C-BE32-E72D297353CC}">
              <c16:uniqueId val="{00000002-AE8E-4DE8-B59D-35E38C1A60C4}"/>
            </c:ext>
          </c:extLst>
        </c:ser>
        <c:ser>
          <c:idx val="3"/>
          <c:order val="3"/>
          <c:tx>
            <c:strRef>
              <c:f>Sheet1!$Y$3</c:f>
              <c:strCache>
                <c:ptCount val="1"/>
                <c:pt idx="0">
                  <c:v>Asset holdings</c:v>
                </c:pt>
              </c:strCache>
            </c:strRef>
          </c:tx>
          <c:spPr>
            <a:solidFill>
              <a:schemeClr val="accent4"/>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Sheet1!$Y$4:$Y$8</c:f>
              <c:numCache>
                <c:formatCode>General</c:formatCode>
                <c:ptCount val="5"/>
                <c:pt idx="0">
                  <c:v>1.0037953359420475</c:v>
                </c:pt>
                <c:pt idx="1">
                  <c:v>1.0104292070610248</c:v>
                </c:pt>
                <c:pt idx="2">
                  <c:v>1.0035245400895061</c:v>
                </c:pt>
                <c:pt idx="3">
                  <c:v>1.0291956727491771</c:v>
                </c:pt>
                <c:pt idx="4">
                  <c:v>0.96249820666687025</c:v>
                </c:pt>
              </c:numCache>
            </c:numRef>
          </c:val>
          <c:extLst>
            <c:ext xmlns:c16="http://schemas.microsoft.com/office/drawing/2014/chart" uri="{C3380CC4-5D6E-409C-BE32-E72D297353CC}">
              <c16:uniqueId val="{00000003-AE8E-4DE8-B59D-35E38C1A60C4}"/>
            </c:ext>
          </c:extLst>
        </c:ser>
        <c:ser>
          <c:idx val="4"/>
          <c:order val="4"/>
          <c:tx>
            <c:strRef>
              <c:f>Sheet1!$Z$3</c:f>
              <c:strCache>
                <c:ptCount val="1"/>
                <c:pt idx="0">
                  <c:v>Labor income</c:v>
                </c:pt>
              </c:strCache>
            </c:strRef>
          </c:tx>
          <c:spPr>
            <a:solidFill>
              <a:schemeClr val="accent5"/>
            </a:solidFill>
            <a:ln>
              <a:noFill/>
            </a:ln>
            <a:effectLst/>
          </c:spPr>
          <c:invertIfNegative val="0"/>
          <c:cat>
            <c:strRef>
              <c:f>Sheet1!$A$4:$A$8</c:f>
              <c:strCache>
                <c:ptCount val="5"/>
                <c:pt idx="0">
                  <c:v>quintile1</c:v>
                </c:pt>
                <c:pt idx="1">
                  <c:v>quintile2</c:v>
                </c:pt>
                <c:pt idx="2">
                  <c:v>quintile3</c:v>
                </c:pt>
                <c:pt idx="3">
                  <c:v>quintile4</c:v>
                </c:pt>
                <c:pt idx="4">
                  <c:v>quintile5</c:v>
                </c:pt>
              </c:strCache>
            </c:strRef>
          </c:cat>
          <c:val>
            <c:numRef>
              <c:f>Sheet1!$Z$4:$Z$8</c:f>
              <c:numCache>
                <c:formatCode>General</c:formatCode>
                <c:ptCount val="5"/>
                <c:pt idx="0">
                  <c:v>0.92471076171241839</c:v>
                </c:pt>
                <c:pt idx="1">
                  <c:v>1.0144486696896111</c:v>
                </c:pt>
                <c:pt idx="2">
                  <c:v>1.0098950214247058</c:v>
                </c:pt>
                <c:pt idx="3">
                  <c:v>0.99482356207889533</c:v>
                </c:pt>
                <c:pt idx="4">
                  <c:v>1.0064520817317106</c:v>
                </c:pt>
              </c:numCache>
            </c:numRef>
          </c:val>
          <c:extLst>
            <c:ext xmlns:c16="http://schemas.microsoft.com/office/drawing/2014/chart" uri="{C3380CC4-5D6E-409C-BE32-E72D297353CC}">
              <c16:uniqueId val="{00000004-AE8E-4DE8-B59D-35E38C1A60C4}"/>
            </c:ext>
          </c:extLst>
        </c:ser>
        <c:dLbls>
          <c:showLegendKey val="0"/>
          <c:showVal val="0"/>
          <c:showCatName val="0"/>
          <c:showSerName val="0"/>
          <c:showPercent val="0"/>
          <c:showBubbleSize val="0"/>
        </c:dLbls>
        <c:gapWidth val="219"/>
        <c:overlap val="-27"/>
        <c:axId val="669238304"/>
        <c:axId val="669235352"/>
      </c:barChart>
      <c:catAx>
        <c:axId val="66923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5352"/>
        <c:crosses val="autoZero"/>
        <c:auto val="1"/>
        <c:lblAlgn val="ctr"/>
        <c:lblOffset val="100"/>
        <c:noMultiLvlLbl val="0"/>
      </c:catAx>
      <c:valAx>
        <c:axId val="66923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830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Deltas for the open economy with low K return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delta_open_high_dep!$D$2</c:f>
              <c:strCache>
                <c:ptCount val="1"/>
                <c:pt idx="0">
                  <c:v>revenue</c:v>
                </c:pt>
              </c:strCache>
            </c:strRef>
          </c:tx>
          <c:spPr>
            <a:ln w="28575" cap="rnd">
              <a:solidFill>
                <a:schemeClr val="accent1"/>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delta_open_high_dep!$D$3:$D$26</c:f>
              <c:numCache>
                <c:formatCode>General</c:formatCode>
                <c:ptCount val="24"/>
                <c:pt idx="0">
                  <c:v>1</c:v>
                </c:pt>
                <c:pt idx="1">
                  <c:v>0.994229762848585</c:v>
                </c:pt>
                <c:pt idx="2">
                  <c:v>0.99182100608700197</c:v>
                </c:pt>
                <c:pt idx="3">
                  <c:v>0.99109525739887305</c:v>
                </c:pt>
                <c:pt idx="4">
                  <c:v>0.99049693133189698</c:v>
                </c:pt>
                <c:pt idx="5">
                  <c:v>0.98997285850791295</c:v>
                </c:pt>
                <c:pt idx="6">
                  <c:v>0.98943486508169898</c:v>
                </c:pt>
                <c:pt idx="7">
                  <c:v>0.98900470357363601</c:v>
                </c:pt>
                <c:pt idx="8">
                  <c:v>0.98855769528974202</c:v>
                </c:pt>
                <c:pt idx="9">
                  <c:v>0.98815168394975705</c:v>
                </c:pt>
                <c:pt idx="10">
                  <c:v>0.98773842362317399</c:v>
                </c:pt>
                <c:pt idx="11">
                  <c:v>0.98730459408749605</c:v>
                </c:pt>
                <c:pt idx="12">
                  <c:v>0.98697861345488902</c:v>
                </c:pt>
                <c:pt idx="13">
                  <c:v>0.98660045259522999</c:v>
                </c:pt>
                <c:pt idx="14">
                  <c:v>0.98624557449123196</c:v>
                </c:pt>
                <c:pt idx="15">
                  <c:v>0.98590843255171901</c:v>
                </c:pt>
                <c:pt idx="16">
                  <c:v>0.98556638448579403</c:v>
                </c:pt>
                <c:pt idx="17">
                  <c:v>0.98524062306962001</c:v>
                </c:pt>
                <c:pt idx="18">
                  <c:v>0.98489107763160499</c:v>
                </c:pt>
                <c:pt idx="19">
                  <c:v>0.98464068261770699</c:v>
                </c:pt>
                <c:pt idx="20">
                  <c:v>0.98437776987102599</c:v>
                </c:pt>
                <c:pt idx="21">
                  <c:v>0.98405494443531105</c:v>
                </c:pt>
                <c:pt idx="22">
                  <c:v>0.98380202185135901</c:v>
                </c:pt>
                <c:pt idx="23">
                  <c:v>0.98356908093619999</c:v>
                </c:pt>
              </c:numCache>
            </c:numRef>
          </c:val>
          <c:smooth val="0"/>
          <c:extLst>
            <c:ext xmlns:c16="http://schemas.microsoft.com/office/drawing/2014/chart" uri="{C3380CC4-5D6E-409C-BE32-E72D297353CC}">
              <c16:uniqueId val="{00000000-5A33-44EB-AC37-95C7947158BC}"/>
            </c:ext>
          </c:extLst>
        </c:ser>
        <c:ser>
          <c:idx val="1"/>
          <c:order val="1"/>
          <c:tx>
            <c:strRef>
              <c:f>delta_open_high_dep!$E$2</c:f>
              <c:strCache>
                <c:ptCount val="1"/>
                <c:pt idx="0">
                  <c:v>capital</c:v>
                </c:pt>
              </c:strCache>
            </c:strRef>
          </c:tx>
          <c:spPr>
            <a:ln w="28575" cap="rnd">
              <a:solidFill>
                <a:schemeClr val="accent2"/>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delta_open_high_dep!$E$3:$E$26</c:f>
              <c:numCache>
                <c:formatCode>General</c:formatCode>
                <c:ptCount val="24"/>
                <c:pt idx="0">
                  <c:v>1</c:v>
                </c:pt>
                <c:pt idx="1">
                  <c:v>1.0254514123515199</c:v>
                </c:pt>
                <c:pt idx="2">
                  <c:v>1.02501624450191</c:v>
                </c:pt>
                <c:pt idx="3">
                  <c:v>1.0247045006761899</c:v>
                </c:pt>
                <c:pt idx="4">
                  <c:v>1.0244299405808599</c:v>
                </c:pt>
                <c:pt idx="5">
                  <c:v>1.0241889654890199</c:v>
                </c:pt>
                <c:pt idx="6">
                  <c:v>1.0239554105176401</c:v>
                </c:pt>
                <c:pt idx="7">
                  <c:v>1.0237347956048</c:v>
                </c:pt>
                <c:pt idx="8">
                  <c:v>1.0235286793043901</c:v>
                </c:pt>
                <c:pt idx="9">
                  <c:v>1.02333663250518</c:v>
                </c:pt>
                <c:pt idx="10">
                  <c:v>1.0231426183425301</c:v>
                </c:pt>
                <c:pt idx="11">
                  <c:v>1.02295993908904</c:v>
                </c:pt>
                <c:pt idx="12">
                  <c:v>1.0227869191983201</c:v>
                </c:pt>
                <c:pt idx="13">
                  <c:v>1.0226192597823001</c:v>
                </c:pt>
                <c:pt idx="14">
                  <c:v>1.0224648580218501</c:v>
                </c:pt>
                <c:pt idx="15">
                  <c:v>1.0223105758159501</c:v>
                </c:pt>
                <c:pt idx="16">
                  <c:v>1.02214942386801</c:v>
                </c:pt>
                <c:pt idx="17">
                  <c:v>1.02199982362065</c:v>
                </c:pt>
                <c:pt idx="18">
                  <c:v>1.0218471275585901</c:v>
                </c:pt>
                <c:pt idx="19">
                  <c:v>1.0217251677759001</c:v>
                </c:pt>
                <c:pt idx="20">
                  <c:v>1.02159467147135</c:v>
                </c:pt>
                <c:pt idx="21">
                  <c:v>1.02146857931313</c:v>
                </c:pt>
                <c:pt idx="22">
                  <c:v>1.0213512963703899</c:v>
                </c:pt>
                <c:pt idx="23">
                  <c:v>1.02123349287442</c:v>
                </c:pt>
              </c:numCache>
            </c:numRef>
          </c:val>
          <c:smooth val="0"/>
          <c:extLst>
            <c:ext xmlns:c16="http://schemas.microsoft.com/office/drawing/2014/chart" uri="{C3380CC4-5D6E-409C-BE32-E72D297353CC}">
              <c16:uniqueId val="{00000001-5A33-44EB-AC37-95C7947158BC}"/>
            </c:ext>
          </c:extLst>
        </c:ser>
        <c:ser>
          <c:idx val="2"/>
          <c:order val="2"/>
          <c:tx>
            <c:strRef>
              <c:f>delta_open_high_dep!$F$2</c:f>
              <c:strCache>
                <c:ptCount val="1"/>
                <c:pt idx="0">
                  <c:v>labor</c:v>
                </c:pt>
              </c:strCache>
            </c:strRef>
          </c:tx>
          <c:spPr>
            <a:ln w="28575" cap="rnd">
              <a:solidFill>
                <a:schemeClr val="accent3"/>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delta_open_high_dep!$F$3:$F$26</c:f>
              <c:numCache>
                <c:formatCode>General</c:formatCode>
                <c:ptCount val="24"/>
                <c:pt idx="0">
                  <c:v>1</c:v>
                </c:pt>
                <c:pt idx="1">
                  <c:v>1.0030284274772601</c:v>
                </c:pt>
                <c:pt idx="2">
                  <c:v>1.00245461435603</c:v>
                </c:pt>
                <c:pt idx="3">
                  <c:v>1.0020963080707599</c:v>
                </c:pt>
                <c:pt idx="4">
                  <c:v>1.0017590797173801</c:v>
                </c:pt>
                <c:pt idx="5">
                  <c:v>1.00148554930175</c:v>
                </c:pt>
                <c:pt idx="6">
                  <c:v>1.0011903440437999</c:v>
                </c:pt>
                <c:pt idx="7">
                  <c:v>1.0009045357003801</c:v>
                </c:pt>
                <c:pt idx="8">
                  <c:v>1.00063773376679</c:v>
                </c:pt>
                <c:pt idx="9">
                  <c:v>1.0003936110384199</c:v>
                </c:pt>
                <c:pt idx="10">
                  <c:v>1.0001379349192301</c:v>
                </c:pt>
                <c:pt idx="11">
                  <c:v>0.99990198310587297</c:v>
                </c:pt>
                <c:pt idx="12">
                  <c:v>0.99967474419582103</c:v>
                </c:pt>
                <c:pt idx="13">
                  <c:v>0.99946183606810701</c:v>
                </c:pt>
                <c:pt idx="14">
                  <c:v>0.99928418302826305</c:v>
                </c:pt>
                <c:pt idx="15">
                  <c:v>0.99909297015420095</c:v>
                </c:pt>
                <c:pt idx="16">
                  <c:v>0.99884801907634602</c:v>
                </c:pt>
                <c:pt idx="17">
                  <c:v>0.99864856832865501</c:v>
                </c:pt>
                <c:pt idx="18">
                  <c:v>0.99841169115100303</c:v>
                </c:pt>
                <c:pt idx="19">
                  <c:v>0.99826152883674302</c:v>
                </c:pt>
                <c:pt idx="20">
                  <c:v>0.99809016014552898</c:v>
                </c:pt>
                <c:pt idx="21">
                  <c:v>0.99792483531976195</c:v>
                </c:pt>
                <c:pt idx="22">
                  <c:v>0.99776861850948895</c:v>
                </c:pt>
                <c:pt idx="23">
                  <c:v>0.99761200966594099</c:v>
                </c:pt>
              </c:numCache>
            </c:numRef>
          </c:val>
          <c:smooth val="0"/>
          <c:extLst>
            <c:ext xmlns:c16="http://schemas.microsoft.com/office/drawing/2014/chart" uri="{C3380CC4-5D6E-409C-BE32-E72D297353CC}">
              <c16:uniqueId val="{00000002-5A33-44EB-AC37-95C7947158BC}"/>
            </c:ext>
          </c:extLst>
        </c:ser>
        <c:ser>
          <c:idx val="3"/>
          <c:order val="3"/>
          <c:tx>
            <c:strRef>
              <c:f>delta_open_high_dep!$G$2</c:f>
              <c:strCache>
                <c:ptCount val="1"/>
                <c:pt idx="0">
                  <c:v>labor_efficient</c:v>
                </c:pt>
              </c:strCache>
            </c:strRef>
          </c:tx>
          <c:spPr>
            <a:ln w="28575" cap="rnd">
              <a:solidFill>
                <a:schemeClr val="accent4"/>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delta_open_high_dep!$G$3:$G$26</c:f>
              <c:numCache>
                <c:formatCode>General</c:formatCode>
                <c:ptCount val="24"/>
                <c:pt idx="0">
                  <c:v>1</c:v>
                </c:pt>
                <c:pt idx="1">
                  <c:v>1.0032430396001</c:v>
                </c:pt>
                <c:pt idx="2">
                  <c:v>1.0028172962533899</c:v>
                </c:pt>
                <c:pt idx="3">
                  <c:v>1.0025123039158399</c:v>
                </c:pt>
                <c:pt idx="4">
                  <c:v>1.00224369001442</c:v>
                </c:pt>
                <c:pt idx="5">
                  <c:v>1.0020079337604499</c:v>
                </c:pt>
                <c:pt idx="6">
                  <c:v>1.0017794369281501</c:v>
                </c:pt>
                <c:pt idx="7">
                  <c:v>1.0015635999093799</c:v>
                </c:pt>
                <c:pt idx="8">
                  <c:v>1.00136194750416</c:v>
                </c:pt>
                <c:pt idx="9">
                  <c:v>1.0011740598946</c:v>
                </c:pt>
                <c:pt idx="10">
                  <c:v>1.00098424752912</c:v>
                </c:pt>
                <c:pt idx="11">
                  <c:v>1.0008055245907801</c:v>
                </c:pt>
                <c:pt idx="12">
                  <c:v>1.0006362518207701</c:v>
                </c:pt>
                <c:pt idx="13">
                  <c:v>1.0004722234327601</c:v>
                </c:pt>
                <c:pt idx="14">
                  <c:v>1.0003211655770701</c:v>
                </c:pt>
                <c:pt idx="15">
                  <c:v>1.0001702246867099</c:v>
                </c:pt>
                <c:pt idx="16">
                  <c:v>1.00001256283346</c:v>
                </c:pt>
                <c:pt idx="17">
                  <c:v>0.99986620250367997</c:v>
                </c:pt>
                <c:pt idx="18">
                  <c:v>0.99971681340576801</c:v>
                </c:pt>
                <c:pt idx="19">
                  <c:v>0.99959749492648997</c:v>
                </c:pt>
                <c:pt idx="20">
                  <c:v>0.99946982480223601</c:v>
                </c:pt>
                <c:pt idx="21">
                  <c:v>0.99934646344297595</c:v>
                </c:pt>
                <c:pt idx="22">
                  <c:v>0.99923172051654097</c:v>
                </c:pt>
                <c:pt idx="23">
                  <c:v>0.99911646831059198</c:v>
                </c:pt>
              </c:numCache>
            </c:numRef>
          </c:val>
          <c:smooth val="0"/>
          <c:extLst>
            <c:ext xmlns:c16="http://schemas.microsoft.com/office/drawing/2014/chart" uri="{C3380CC4-5D6E-409C-BE32-E72D297353CC}">
              <c16:uniqueId val="{00000003-5A33-44EB-AC37-95C7947158BC}"/>
            </c:ext>
          </c:extLst>
        </c:ser>
        <c:ser>
          <c:idx val="4"/>
          <c:order val="4"/>
          <c:tx>
            <c:strRef>
              <c:f>delta_open_high_dep!$H$2</c:f>
              <c:strCache>
                <c:ptCount val="1"/>
                <c:pt idx="0">
                  <c:v>labor_pit</c:v>
                </c:pt>
              </c:strCache>
            </c:strRef>
          </c:tx>
          <c:spPr>
            <a:ln w="28575" cap="rnd">
              <a:solidFill>
                <a:schemeClr val="accent5"/>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delta_open_high_dep!$H$3:$H$26</c:f>
              <c:numCache>
                <c:formatCode>General</c:formatCode>
                <c:ptCount val="24"/>
                <c:pt idx="0">
                  <c:v>1</c:v>
                </c:pt>
                <c:pt idx="1">
                  <c:v>1.0160763291763999</c:v>
                </c:pt>
                <c:pt idx="2">
                  <c:v>1.0155551490213599</c:v>
                </c:pt>
                <c:pt idx="3">
                  <c:v>1.0151562337165401</c:v>
                </c:pt>
                <c:pt idx="4">
                  <c:v>1.01482873213035</c:v>
                </c:pt>
                <c:pt idx="5">
                  <c:v>1.01454147966261</c:v>
                </c:pt>
                <c:pt idx="6">
                  <c:v>1.01427628142242</c:v>
                </c:pt>
                <c:pt idx="7">
                  <c:v>1.01402757668692</c:v>
                </c:pt>
                <c:pt idx="8">
                  <c:v>1.0137961103657001</c:v>
                </c:pt>
                <c:pt idx="9">
                  <c:v>1.0135803711557301</c:v>
                </c:pt>
                <c:pt idx="10">
                  <c:v>1.01336281887908</c:v>
                </c:pt>
                <c:pt idx="11">
                  <c:v>1.01315670491621</c:v>
                </c:pt>
                <c:pt idx="12">
                  <c:v>1.0129603892556001</c:v>
                </c:pt>
                <c:pt idx="13">
                  <c:v>1.01277017475381</c:v>
                </c:pt>
                <c:pt idx="14">
                  <c:v>1.01258948259015</c:v>
                </c:pt>
                <c:pt idx="15">
                  <c:v>1.0124113881594301</c:v>
                </c:pt>
                <c:pt idx="16">
                  <c:v>1.01223845784289</c:v>
                </c:pt>
                <c:pt idx="17">
                  <c:v>1.0120684225755101</c:v>
                </c:pt>
                <c:pt idx="18">
                  <c:v>1.0119035278820501</c:v>
                </c:pt>
                <c:pt idx="19">
                  <c:v>1.0117588855887301</c:v>
                </c:pt>
                <c:pt idx="20">
                  <c:v>1.0116088496681299</c:v>
                </c:pt>
                <c:pt idx="21">
                  <c:v>1.0114635794833899</c:v>
                </c:pt>
                <c:pt idx="22">
                  <c:v>1.0113284388560899</c:v>
                </c:pt>
                <c:pt idx="23">
                  <c:v>1.0111927922253101</c:v>
                </c:pt>
              </c:numCache>
            </c:numRef>
          </c:val>
          <c:smooth val="0"/>
          <c:extLst>
            <c:ext xmlns:c16="http://schemas.microsoft.com/office/drawing/2014/chart" uri="{C3380CC4-5D6E-409C-BE32-E72D297353CC}">
              <c16:uniqueId val="{00000004-5A33-44EB-AC37-95C7947158BC}"/>
            </c:ext>
          </c:extLst>
        </c:ser>
        <c:ser>
          <c:idx val="5"/>
          <c:order val="5"/>
          <c:tx>
            <c:strRef>
              <c:f>delta_open_high_dep!$I$2</c:f>
              <c:strCache>
                <c:ptCount val="1"/>
                <c:pt idx="0">
                  <c:v>caprevs</c:v>
                </c:pt>
              </c:strCache>
            </c:strRef>
          </c:tx>
          <c:spPr>
            <a:ln w="28575" cap="rnd">
              <a:solidFill>
                <a:schemeClr val="accent6"/>
              </a:solidFill>
              <a:round/>
            </a:ln>
            <a:effectLst/>
          </c:spPr>
          <c:marker>
            <c:symbol val="none"/>
          </c:marker>
          <c:cat>
            <c:numRef>
              <c:f>delta_open_high_dep!$A$3:$A$26</c:f>
              <c:numCache>
                <c:formatCode>General</c:formatCode>
                <c:ptCount val="24"/>
                <c:pt idx="0">
                  <c:v>2017</c:v>
                </c:pt>
                <c:pt idx="1">
                  <c:v>2018</c:v>
                </c:pt>
                <c:pt idx="2">
                  <c:v>2019</c:v>
                </c:pt>
                <c:pt idx="3">
                  <c:v>2020</c:v>
                </c:pt>
                <c:pt idx="4">
                  <c:v>2021</c:v>
                </c:pt>
                <c:pt idx="5">
                  <c:v>2022</c:v>
                </c:pt>
                <c:pt idx="6">
                  <c:v>2023</c:v>
                </c:pt>
                <c:pt idx="7">
                  <c:v>2024</c:v>
                </c:pt>
                <c:pt idx="8">
                  <c:v>2025</c:v>
                </c:pt>
                <c:pt idx="9">
                  <c:v>2026</c:v>
                </c:pt>
                <c:pt idx="10">
                  <c:v>2027</c:v>
                </c:pt>
                <c:pt idx="11">
                  <c:v>2028</c:v>
                </c:pt>
                <c:pt idx="12">
                  <c:v>2029</c:v>
                </c:pt>
                <c:pt idx="13">
                  <c:v>2030</c:v>
                </c:pt>
                <c:pt idx="14">
                  <c:v>2031</c:v>
                </c:pt>
                <c:pt idx="15">
                  <c:v>2032</c:v>
                </c:pt>
                <c:pt idx="16">
                  <c:v>2033</c:v>
                </c:pt>
                <c:pt idx="17">
                  <c:v>2034</c:v>
                </c:pt>
                <c:pt idx="18">
                  <c:v>2035</c:v>
                </c:pt>
                <c:pt idx="19">
                  <c:v>2036</c:v>
                </c:pt>
                <c:pt idx="20">
                  <c:v>2037</c:v>
                </c:pt>
                <c:pt idx="21">
                  <c:v>2038</c:v>
                </c:pt>
                <c:pt idx="22">
                  <c:v>2039</c:v>
                </c:pt>
                <c:pt idx="23">
                  <c:v>2040</c:v>
                </c:pt>
              </c:numCache>
            </c:numRef>
          </c:cat>
          <c:val>
            <c:numRef>
              <c:f>delta_open_high_dep!$I$3:$I$26</c:f>
              <c:numCache>
                <c:formatCode>General</c:formatCode>
                <c:ptCount val="24"/>
                <c:pt idx="0">
                  <c:v>1</c:v>
                </c:pt>
                <c:pt idx="1">
                  <c:v>0.98802481829640898</c:v>
                </c:pt>
                <c:pt idx="2">
                  <c:v>0.98582168582983798</c:v>
                </c:pt>
                <c:pt idx="3">
                  <c:v>0.98527729094078498</c:v>
                </c:pt>
                <c:pt idx="4">
                  <c:v>0.98485964386506797</c:v>
                </c:pt>
                <c:pt idx="5">
                  <c:v>0.98450460701584597</c:v>
                </c:pt>
                <c:pt idx="6">
                  <c:v>0.98413584768293205</c:v>
                </c:pt>
                <c:pt idx="7">
                  <c:v>0.98387254310234196</c:v>
                </c:pt>
                <c:pt idx="8">
                  <c:v>0.983583395978053</c:v>
                </c:pt>
                <c:pt idx="9">
                  <c:v>0.98332814773771104</c:v>
                </c:pt>
                <c:pt idx="10">
                  <c:v>0.98306898707885204</c:v>
                </c:pt>
                <c:pt idx="11">
                  <c:v>0.982781391493045</c:v>
                </c:pt>
                <c:pt idx="12">
                  <c:v>0.98259940319480299</c:v>
                </c:pt>
                <c:pt idx="13">
                  <c:v>0.98236049927900204</c:v>
                </c:pt>
                <c:pt idx="14">
                  <c:v>0.98213670396085195</c:v>
                </c:pt>
                <c:pt idx="15">
                  <c:v>0.98193229053939801</c:v>
                </c:pt>
                <c:pt idx="16">
                  <c:v>0.98172934929731803</c:v>
                </c:pt>
                <c:pt idx="17">
                  <c:v>0.98153498141524698</c:v>
                </c:pt>
                <c:pt idx="18">
                  <c:v>0.981319209373402</c:v>
                </c:pt>
                <c:pt idx="19">
                  <c:v>0.98118252660545902</c:v>
                </c:pt>
                <c:pt idx="20">
                  <c:v>0.98104014363480496</c:v>
                </c:pt>
                <c:pt idx="21">
                  <c:v>0.98083269081411695</c:v>
                </c:pt>
                <c:pt idx="22">
                  <c:v>0.98069096591448801</c:v>
                </c:pt>
                <c:pt idx="23">
                  <c:v>0.98057050944683599</c:v>
                </c:pt>
              </c:numCache>
            </c:numRef>
          </c:val>
          <c:smooth val="0"/>
          <c:extLst>
            <c:ext xmlns:c16="http://schemas.microsoft.com/office/drawing/2014/chart" uri="{C3380CC4-5D6E-409C-BE32-E72D297353CC}">
              <c16:uniqueId val="{00000005-5A33-44EB-AC37-95C7947158BC}"/>
            </c:ext>
          </c:extLst>
        </c:ser>
        <c:dLbls>
          <c:showLegendKey val="0"/>
          <c:showVal val="0"/>
          <c:showCatName val="0"/>
          <c:showSerName val="0"/>
          <c:showPercent val="0"/>
          <c:showBubbleSize val="0"/>
        </c:dLbls>
        <c:smooth val="0"/>
        <c:axId val="587315240"/>
        <c:axId val="587318192"/>
      </c:lineChart>
      <c:catAx>
        <c:axId val="58731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8192"/>
        <c:crosses val="autoZero"/>
        <c:auto val="1"/>
        <c:lblAlgn val="ctr"/>
        <c:lblOffset val="100"/>
        <c:tickMarkSkip val="5"/>
        <c:noMultiLvlLbl val="0"/>
      </c:catAx>
      <c:valAx>
        <c:axId val="587318192"/>
        <c:scaling>
          <c:orientation val="minMax"/>
          <c:min val="0.9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31524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costa, Daniela</dc:creator>
  <cp:keywords/>
  <dc:description/>
  <cp:lastModifiedBy>Viana costa, Daniela</cp:lastModifiedBy>
  <cp:revision>2</cp:revision>
  <dcterms:created xsi:type="dcterms:W3CDTF">2017-12-05T21:27:00Z</dcterms:created>
  <dcterms:modified xsi:type="dcterms:W3CDTF">2017-12-05T21:27:00Z</dcterms:modified>
</cp:coreProperties>
</file>