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3864"/>
          <w:sz w:val="36"/>
          <w:szCs w:val="36"/>
        </w:rPr>
        <w:t xml:space="preserve">Requirements Baseline Change Log</w:t>
      </w:r>
    </w:p>
    <w:p>
      <w:pPr>
        <w:spacing w:after="60" w:before="0"/>
        <w:jc w:val="center"/>
      </w:pPr>
      <w:r>
        <w:rPr>
          <w:rFonts w:ascii="Arial" w:cs="Arial" w:eastAsia="Arial" w:hAnsi="Arial"/>
          <w:color w:val="2E75B6"/>
          <w:sz w:val="22"/>
          <w:szCs w:val="22"/>
        </w:rPr>
        <w:t xml:space="preserve">Camera-Based Posture Detection System  |  Scope and Technology Evolution</w:t>
      </w:r>
    </w:p>
    <w:p>
      <w:pPr>
        <w:spacing w:after="160" w:before="0"/>
        <w:jc w:val="center"/>
      </w:pPr>
      <w:r>
        <w:rPr>
          <w:rFonts w:ascii="Arial" w:cs="Arial" w:eastAsia="Arial" w:hAnsi="Arial"/>
          <w:color w:val="888888"/>
          <w:sz w:val="18"/>
          <w:szCs w:val="18"/>
        </w:rPr>
        <w:t xml:space="preserve">WP1.1  |  MEng Capstone  |  Robotics &amp; Intelligent Autonomous Systems</w:t>
      </w:r>
    </w:p>
    <w:tbl>
      <w:tblPr>
        <w:tblW w:type="dxa" w:w="12000"/>
        <w:tblBorders>
          <w:top w:val="single" w:color="auto" w:sz="4"/>
          <w:left w:val="single" w:color="auto" w:sz="4"/>
          <w:bottom w:val="single" w:color="auto" w:sz="4"/>
          <w:right w:val="single" w:color="auto" w:sz="4"/>
          <w:insideH w:val="single" w:color="auto" w:sz="4"/>
          <w:insideV w:val="single" w:color="auto" w:sz="4"/>
        </w:tblBorders>
      </w:tblPr>
      <w:tblGrid>
        <w:gridCol w:w="3000"/>
        <w:gridCol w:w="9000"/>
      </w:tblGrid>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Document type</w:t>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Requirements Baseline Change Log</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Work package</w:t>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WP1.1: Requirements Baseline Management</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Baseline established</w:t>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3  |  May 31, 2026  |  SRS v1.0</w:t>
            </w:r>
          </w:p>
        </w:tc>
      </w:tr>
      <w:tr>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Purpose</w:t>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Documents all material changes to project scope, technology selection, and requirements since initial advisor engagement. Satisfies V-Model configuration management requirement for tracked baseline evolution.</w:t>
            </w:r>
          </w:p>
        </w:tc>
      </w:tr>
    </w:tbl>
    <w:p>
      <w:pPr>
        <w:pBdr>
          <w:bottom w:val="single" w:color="2E75B6" w:sz="6" w:space="1"/>
        </w:pBdr>
        <w:spacing w:after="160" w:before="160"/>
      </w:pPr>
    </w:p>
    <w:p>
      <w:pPr>
        <w:pStyle w:val="Heading1"/>
        <w:spacing w:after="120" w:before="260"/>
      </w:pPr>
      <w:r>
        <w:rPr>
          <w:rFonts w:ascii="Arial" w:cs="Arial" w:eastAsia="Arial" w:hAnsi="Arial"/>
          <w:b/>
          <w:bCs/>
          <w:color w:val="1F3864"/>
          <w:sz w:val="28"/>
          <w:szCs w:val="28"/>
        </w:rPr>
        <w:t xml:space="preserve">1.  Context: Why a Change Log Is Required</w:t>
      </w:r>
    </w:p>
    <w:p>
      <w:pPr>
        <w:spacing w:after="80" w:before="80" w:line="360"/>
      </w:pPr>
      <w:r>
        <w:rPr>
          <w:rFonts w:ascii="Arial" w:cs="Arial" w:eastAsia="Arial" w:hAnsi="Arial"/>
          <w:sz w:val="22"/>
          <w:szCs w:val="22"/>
        </w:rPr>
        <w:t xml:space="preserve">The V-Model framework (ISO/IEC/IEEE 15288) requires that once a requirements baseline is established, all subsequent changes are formally documented with rationale. This prevents silent scope creep and ensures downstream design documents remain traceable to a coherent set of decisions. This project underwent nine scope and technology changes between initial scoping (Week 1) and the formal SRS baseline (Week 3). Each change is documented here with the original position, the new position, the rationale, and which documents were updated.</w:t>
      </w:r>
    </w:p>
    <w:p>
      <w:pPr>
        <w:pBdr>
          <w:bottom w:val="single" w:color="2E75B6" w:sz="6" w:space="1"/>
        </w:pBdr>
        <w:spacing w:after="160" w:before="160"/>
      </w:pPr>
    </w:p>
    <w:p>
      <w:pPr>
        <w:pStyle w:val="Heading1"/>
        <w:spacing w:after="120" w:before="260"/>
      </w:pPr>
      <w:r>
        <w:rPr>
          <w:rFonts w:ascii="Arial" w:cs="Arial" w:eastAsia="Arial" w:hAnsi="Arial"/>
          <w:b/>
          <w:bCs/>
          <w:color w:val="1F3864"/>
          <w:sz w:val="28"/>
          <w:szCs w:val="28"/>
        </w:rPr>
        <w:t xml:space="preserve">2.  Change Log</w:t>
      </w:r>
    </w:p>
    <w:p>
      <w:pPr>
        <w:spacing w:after="80" w:before="8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2600"/>
        <w:gridCol w:w="3200"/>
        <w:gridCol w:w="2600"/>
        <w:gridCol w:w="26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CR-ID</w:t>
            </w:r>
          </w:p>
        </w:tc>
        <w:tc>
          <w:tcPr>
            <w:tcW w:type="dxa" w:w="26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Original scope or decision</w:t>
            </w:r>
          </w:p>
        </w:tc>
        <w:tc>
          <w:tcPr>
            <w:tcW w:type="dxa" w:w="26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Revised scope or decision</w:t>
            </w:r>
          </w:p>
        </w:tc>
        <w:tc>
          <w:tcPr>
            <w:tcW w:type="dxa" w:w="3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Rationale</w:t>
            </w:r>
          </w:p>
        </w:tc>
        <w:tc>
          <w:tcPr>
            <w:tcW w:type="dxa" w:w="26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Impact on documents</w:t>
            </w:r>
          </w:p>
        </w:tc>
        <w:tc>
          <w:tcPr>
            <w:tcW w:type="dxa" w:w="26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Status</w:t>
            </w:r>
          </w:p>
        </w:tc>
      </w:tr>
      <w:tr>
        <w:tc>
          <w:tcPr>
            <w:tcW w:type="dxa" w:w="8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8"/>
                <w:szCs w:val="18"/>
              </w:rPr>
              <w:t xml:space="preserve">CR-01</w:t>
            </w:r>
          </w:p>
        </w:tc>
        <w:tc>
          <w:tcPr>
            <w:tcW w:type="dxa" w:w="26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8"/>
                <w:szCs w:val="18"/>
              </w:rPr>
              <w:t xml:space="preserve">Full smart desk system: posture detection AND physical actuation (motor control, height adjustment hardware)</w:t>
            </w:r>
          </w:p>
        </w:tc>
        <w:tc>
          <w:tcPr>
            <w:tcW w:type="dxa" w:w="26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8"/>
                <w:szCs w:val="18"/>
              </w:rPr>
              <w:t xml:space="preserve">Perception only: posture detection, intent filtering, and control signal emission. No physical hardware connected.</w:t>
            </w:r>
          </w:p>
        </w:tc>
        <w:tc>
          <w:tcPr>
            <w:tcW w:type="dxa" w:w="32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8"/>
                <w:szCs w:val="18"/>
              </w:rPr>
              <w:t xml:space="preserve">Scope of a MEng capstone. Physical actuation, motor control, and safety-rated hardware integration each constitute a full engineering project. Constraining to perception layer allows complete, rigorous treatment of the camera-to-signal pipeline. Actuation interface is defined (SRS FR-024) for future extension.</w:t>
            </w:r>
          </w:p>
        </w:tc>
        <w:tc>
          <w:tcPr>
            <w:tcW w:type="dxa" w:w="26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8"/>
                <w:szCs w:val="18"/>
              </w:rPr>
              <w:t xml:space="preserve">Proposal v2, SRS scope statement, WP2.2 architecture, WP3.0 FMEA (PFMEA excluded), Schedule (Phase 3 renamed)</w:t>
            </w:r>
          </w:p>
        </w:tc>
        <w:tc>
          <w:tcPr>
            <w:tcW w:type="dxa" w:w="26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8"/>
                <w:szCs w:val="18"/>
              </w:rPr>
              <w:t xml:space="preserve">Approved. Reflected in all documents.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CR-02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MediaPipe BlazePose (Approach A) as primary implementation. Gemma 4 and Claude as secondary evaluated alternatives.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Gemma 4 26B MoE as primary local implementation. MediaPipe evaluated in literature review but not implemented.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Literature review (WP2.1) found VLM approaches offer richer zero-shot scene understanding without feature engineering. MediaPipe requires keypoint geometry rules vulnerable to desk occlusion. Gemma 4 achieves comparable accuracy without task-specific training and is extensible to future posture quality analysis.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WP2.1 Section 2 reframed as evaluated alternatives. WP2.2 Section 4.1 marked not implemented. SRS approach requirements updated. Schedule Phase 3 restructured.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Approved. Consistently reflected across all documents.</w:t>
            </w:r>
          </w:p>
        </w:tc>
      </w:tr>
      <w:tr>
        <w:tc>
          <w:tcPr>
            <w:tcW w:type="dxa" w:w="8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8"/>
                <w:szCs w:val="18"/>
              </w:rPr>
              <w:t xml:space="preserve">CR-03</w:t>
            </w:r>
          </w:p>
        </w:tc>
        <w:tc>
          <w:tcPr>
            <w:tcW w:type="dxa" w:w="26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8"/>
                <w:szCs w:val="18"/>
              </w:rPr>
              <w:t xml:space="preserve">Claude API documented as evaluated alternative, not implemented.</w:t>
            </w:r>
          </w:p>
        </w:tc>
        <w:tc>
          <w:tcPr>
            <w:tcW w:type="dxa" w:w="26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8"/>
                <w:szCs w:val="18"/>
              </w:rPr>
              <w:t xml:space="preserve">Claude API elevated to active proof-of-concept comparison: implemented on any PC with webcam and internet, no GPU required.</w:t>
            </w:r>
          </w:p>
        </w:tc>
        <w:tc>
          <w:tcPr>
            <w:tcW w:type="dxa" w:w="32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8"/>
                <w:szCs w:val="18"/>
              </w:rPr>
              <w:t xml:space="preserve">Hardware accessibility is a genuine research contribution. Testing Claude API on a low-specification PC demonstrates the cloud vs local tradeoff empirically rather than theoretically. Cost (~USD 2-5 per month), latency variability, connectivity risks, and the shared infrastructure sustainability argument are all testable claims.</w:t>
            </w:r>
          </w:p>
        </w:tc>
        <w:tc>
          <w:tcPr>
            <w:tcW w:type="dxa" w:w="26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8"/>
                <w:szCs w:val="18"/>
              </w:rPr>
              <w:t xml:space="preserve">WP2.1 Section 3.1 expanded with cloud risks, cost analysis, and ewaste argument. WP2.2 Section 4.2 changed from documented alternative to Active PoC. Schedule WP3.2 added as active work package.</w:t>
            </w:r>
          </w:p>
        </w:tc>
        <w:tc>
          <w:tcPr>
            <w:tcW w:type="dxa" w:w="26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8"/>
                <w:szCs w:val="18"/>
              </w:rPr>
              <w:t xml:space="preserve">Approved. Literature review and architecture reflect PoC status.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CR-04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Gemma 4 E4B not included in original project scope.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Gemma 4 E4B mobile extension added as WP3.3: deploy via LiteRT-LM on Android or iOS.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E4B requires only 3 GB device RAM and runs on any modern smartphone at 8-15 tok/s. This adds a zero-additional-hardware deployment path and extends the comparative evaluation to three hardware configurations (server GPU, phone, cloud). Apache 2.0 license permits full mobile deployment.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Schedule WP3.3 added. WP2.1 Section 3.3 updated with E4B specifications. SRS NFR-018 added for mobile hardware requirements. WP2.2 updated with E4B sub-variant.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Approved.</w:t>
            </w:r>
          </w:p>
        </w:tc>
      </w:tr>
      <w:tr>
        <w:tc>
          <w:tcPr>
            <w:tcW w:type="dxa" w:w="8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8"/>
                <w:szCs w:val="18"/>
              </w:rPr>
              <w:t xml:space="preserve">CR-05</w:t>
            </w:r>
          </w:p>
        </w:tc>
        <w:tc>
          <w:tcPr>
            <w:tcW w:type="dxa" w:w="26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8"/>
                <w:szCs w:val="18"/>
              </w:rPr>
              <w:t xml:space="preserve">Qwen2.5-VL-7B listed as Approach B2 (primary open-source VLM candidate).</w:t>
            </w:r>
          </w:p>
        </w:tc>
        <w:tc>
          <w:tcPr>
            <w:tcW w:type="dxa" w:w="26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8"/>
                <w:szCs w:val="18"/>
              </w:rPr>
              <w:t xml:space="preserve">Qwen2.5-VL evaluated in literature review but not implemented. Gemma 4 selected instead.</w:t>
            </w:r>
          </w:p>
        </w:tc>
        <w:tc>
          <w:tcPr>
            <w:tcW w:type="dxa" w:w="32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8"/>
                <w:szCs w:val="18"/>
              </w:rPr>
              <w:t xml:space="preserve">Gemma 4 (April 2026) post-dates the initial Qwen evaluation and offers: (1) Apache 2.0 license vs Qwen's Tongyi commercial restrictions, (2) MoE architecture reducing active parameters without quality loss, (3) E4B mobile path unavailable in Qwen, (4) stronger vision benchmarks on the April 2026 release. Qwen retained in WP2.1 as a documented alternative for academic completeness.</w:t>
            </w:r>
          </w:p>
        </w:tc>
        <w:tc>
          <w:tcPr>
            <w:tcW w:type="dxa" w:w="26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8"/>
                <w:szCs w:val="18"/>
              </w:rPr>
              <w:t xml:space="preserve">WP2.1 Section 3.2 reframed as evaluated alternative, not pursued. Qwen references removed from WP2.2 active approach sections. SRS approach requirements reference Gemma 4 and Claude only.</w:t>
            </w:r>
          </w:p>
        </w:tc>
        <w:tc>
          <w:tcPr>
            <w:tcW w:type="dxa" w:w="26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8"/>
                <w:szCs w:val="18"/>
              </w:rPr>
              <w:t xml:space="preserve">Approved. Qwen retained in literature review for academic completeness.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CR-06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Traditional sensing approaches (chair pressure sensor, floor mat) not evaluated in scope.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Chair pressure sensor and floor mat approaches evaluated and explicitly rejected in WP2.1 literature review.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Evaluating and rejecting traditional alternatives strengthens the justification for the camera-based VLM approach. Documented limitations: binary detection only (no absent vs standing distinction), mechanical failure modes, single-location installation requirement, non-portability.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WP2.1 Section 5.1 added with full comparison table. Proposal v2 Section 2 references sensor evaluation. No SRS or architecture impact.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Approved. Adds academic rigour to technology selection rationale.</w:t>
            </w:r>
          </w:p>
        </w:tc>
      </w:tr>
      <w:tr>
        <w:tc>
          <w:tcPr>
            <w:tcW w:type="dxa" w:w="8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8"/>
                <w:szCs w:val="18"/>
              </w:rPr>
              <w:t xml:space="preserve">CR-07</w:t>
            </w:r>
          </w:p>
        </w:tc>
        <w:tc>
          <w:tcPr>
            <w:tcW w:type="dxa" w:w="26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8"/>
                <w:szCs w:val="18"/>
              </w:rPr>
              <w:t xml:space="preserve">Integrated risk management limited to FMEA.</w:t>
            </w:r>
          </w:p>
        </w:tc>
        <w:tc>
          <w:tcPr>
            <w:tcW w:type="dxa" w:w="26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8"/>
                <w:szCs w:val="18"/>
              </w:rPr>
              <w:t xml:space="preserve">Fault Tree Analysis (FTA) added as WP2.3 to complement FMEA. FTA provides top-down deductive analysis of the primary safety concern.</w:t>
            </w:r>
          </w:p>
        </w:tc>
        <w:tc>
          <w:tcPr>
            <w:tcW w:type="dxa" w:w="32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8"/>
                <w:szCs w:val="18"/>
              </w:rPr>
              <w:t xml:space="preserve">Engineering work process guide (V-Model reference) identifies FTA and FMEA as complementary. FTA catches systemic combinations; FMEA catches individual component failures. FTA specifically addresses the safety invariant: can the desk ever adjust without prior user signal? This is a gap in the bottom-up FMEA coverage.</w:t>
            </w:r>
          </w:p>
        </w:tc>
        <w:tc>
          <w:tcPr>
            <w:tcW w:type="dxa" w:w="26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8"/>
                <w:szCs w:val="18"/>
              </w:rPr>
              <w:t xml:space="preserve">WP2.3_Fault_Tree_Analysis.docx created. SRS NFR-013 cross-referenced. FMEA S3 test T1 directly verifiable against FTA MCS-1. Schedule WP2.3 added.</w:t>
            </w:r>
          </w:p>
        </w:tc>
        <w:tc>
          <w:tcPr>
            <w:tcW w:type="dxa" w:w="26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8"/>
                <w:szCs w:val="18"/>
              </w:rPr>
              <w:t xml:space="preserve">Approved. Retroactive gap closure.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CR-08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Evaluation activities treated as a single verification phase.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Verification and Validation explicitly separated per V-Model Phase 4/5. Validation Plan added as WP5.0 with four UAT scenarios at a real desk.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V-Model (ISO/IEC/IEEE 15288) requires both phases. Verification confirms the system matches the SRS. Validation confirms the SRS captured the right user need. A system can pass all verification tests and fail validation (e.g. countdown not visible from working position). The UAT scenarios close this gap.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WP5.0_Validation_Plan.docx created. WP1.2 Evaluation Framework cross-referenced. Schedule WP5.1 split into Verification and Validation sub-activities.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Approved. Retroactive gap closure.</w:t>
            </w:r>
          </w:p>
        </w:tc>
      </w:tr>
    </w:tbl>
    <w:p>
      <w:pPr>
        <w:pBdr>
          <w:bottom w:val="single" w:color="2E75B6" w:sz="6" w:space="1"/>
        </w:pBdr>
        <w:spacing w:after="160" w:before="160"/>
      </w:pPr>
    </w:p>
    <w:p>
      <w:pPr>
        <w:pStyle w:val="Heading1"/>
        <w:spacing w:after="120" w:before="260"/>
      </w:pPr>
      <w:r>
        <w:rPr>
          <w:rFonts w:ascii="Arial" w:cs="Arial" w:eastAsia="Arial" w:hAnsi="Arial"/>
          <w:b/>
          <w:bCs/>
          <w:color w:val="1F3864"/>
          <w:sz w:val="28"/>
          <w:szCs w:val="28"/>
        </w:rPr>
        <w:t xml:space="preserve">3.  Changes Considered but Not Adopted</w:t>
      </w:r>
    </w:p>
    <w:tbl>
      <w:tblPr>
        <w:tblW w:type="dxa" w:w="1200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640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Proposed change</w:t>
            </w:r>
          </w:p>
        </w:tc>
        <w:tc>
          <w:tcPr>
            <w:tcW w:type="dxa" w:w="40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Reason considered</w:t>
            </w:r>
          </w:p>
        </w:tc>
        <w:tc>
          <w:tcPr>
            <w:tcW w:type="dxa" w:w="64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Reason not adopted</w:t>
            </w:r>
          </w:p>
        </w:tc>
      </w:tr>
      <w:tr>
        <w:tc>
          <w:tcPr>
            <w:tcW w:type="dxa" w:w="16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8"/>
                <w:szCs w:val="18"/>
              </w:rPr>
              <w:t xml:space="preserve">Multi-user support</w:t>
            </w:r>
          </w:p>
        </w:tc>
        <w:tc>
          <w:tcPr>
            <w:tcW w:type="dxa" w:w="40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8"/>
                <w:szCs w:val="18"/>
              </w:rPr>
              <w:t xml:space="preserve">Some desk environments have shared workstations</w:t>
            </w:r>
          </w:p>
        </w:tc>
        <w:tc>
          <w:tcPr>
            <w:tcW w:type="dxa" w:w="64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8"/>
                <w:szCs w:val="18"/>
              </w:rPr>
              <w:t xml:space="preserve">Fundamental classifier design change; single-user assumption is explicit in SRS CONSTRAINT-01; out of capstone scope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Depth camera (RealSense / Kinect)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Improved occlusion handling vs RGB</w:t>
            </w:r>
          </w:p>
        </w:tc>
        <w:tc>
          <w:tcPr>
            <w:tcW w:type="dxa" w:w="6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Hardware cost and availability; capstone available hardware is MacBook built-in camera; added complexity out of scope</w:t>
            </w:r>
          </w:p>
        </w:tc>
      </w:tr>
      <w:tr>
        <w:tc>
          <w:tcPr>
            <w:tcW w:type="dxa" w:w="16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8"/>
                <w:szCs w:val="18"/>
              </w:rPr>
              <w:t xml:space="preserve">Direct desk Bluetooth/serial integration</w:t>
            </w:r>
          </w:p>
        </w:tc>
        <w:tc>
          <w:tcPr>
            <w:tcW w:type="dxa" w:w="40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8"/>
                <w:szCs w:val="18"/>
              </w:rPr>
              <w:t xml:space="preserve">Reduce latency from signal to adjustment</w:t>
            </w:r>
          </w:p>
        </w:tc>
        <w:tc>
          <w:tcPr>
            <w:tcW w:type="dxa" w:w="6400"/>
            <w:tcBorders>
              <w:top w:val="single" w:color="CCCCCC" w:sz="1"/>
              <w:left w:val="single" w:color="CCCCCC" w:sz="1"/>
              <w:bottom w:val="single" w:color="CCCCCC" w:sz="1"/>
              <w:right w:val="single" w:color="CCCCCC" w:sz="1"/>
            </w:tcBorders>
            <w:shd w:fill="F0F4FA" w:val="clear"/>
            <w:tcMar>
              <w:top w:type="dxa" w:w="80"/>
              <w:left w:type="dxa" w:w="100"/>
              <w:bottom w:type="dxa" w:w="80"/>
              <w:right w:type="dxa" w:w="100"/>
            </w:tcMar>
          </w:tcPr>
          <w:p>
            <w:r>
              <w:rPr>
                <w:rFonts w:ascii="Arial" w:cs="Arial" w:eastAsia="Arial" w:hAnsi="Arial"/>
                <w:sz w:val="18"/>
                <w:szCs w:val="18"/>
              </w:rPr>
              <w:t xml:space="preserve">Physical actuation scope removed in CR-01; electrical integration not part of perception layer capstone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Posture quality scoring (slouch detection)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Ergonomic value beyond sit/stand</w:t>
            </w:r>
          </w:p>
        </w:tc>
        <w:tc>
          <w:tcPr>
            <w:tcW w:type="dxa" w:w="6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Three-class (sitting/standing/absent) is the defined scope per SRS FR-006; additional classes would expand dataset requirements substantially</w:t>
            </w:r>
          </w:p>
        </w:tc>
      </w:tr>
    </w:tbl>
    <w:p>
      <w:pPr>
        <w:pBdr>
          <w:bottom w:val="single" w:color="2E75B6" w:sz="6" w:space="1"/>
        </w:pBdr>
        <w:spacing w:after="160" w:before="160"/>
      </w:pPr>
    </w:p>
    <w:p>
      <w:pPr>
        <w:pStyle w:val="Heading1"/>
        <w:spacing w:after="120" w:before="260"/>
      </w:pPr>
      <w:r>
        <w:rPr>
          <w:rFonts w:ascii="Arial" w:cs="Arial" w:eastAsia="Arial" w:hAnsi="Arial"/>
          <w:b/>
          <w:bCs/>
          <w:color w:val="1F3864"/>
          <w:sz w:val="28"/>
          <w:szCs w:val="28"/>
        </w:rPr>
        <w:t xml:space="preserve">CR-09: Dataset Size Reduced to Reflect Zero-Shot VLM Evaluation</w:t>
      </w:r>
    </w:p>
    <w:p>
      <w:pPr>
        <w:spacing w:after="80" w:before="80" w:line="360"/>
      </w:pPr>
      <w:r>
        <w:rPr>
          <w:rFonts w:ascii="Arial" w:cs="Arial" w:eastAsia="Arial" w:hAnsi="Arial"/>
          <w:sz w:val="22"/>
          <w:szCs w:val="22"/>
        </w:rPr>
        <w:t xml:space="preserve">Original decision: WP1.2 Dataset Collection Protocol v1.0 specified a minimum of 300 labeled frames per posture class (900 total), split 60/20/20 into train/validation/test sets, with the training split framed as serving “Gemma 4 prompt validation and Claude PoC evaluation.”</w:t>
      </w:r>
    </w:p>
    <w:p>
      <w:pPr>
        <w:spacing w:after="80" w:before="80" w:line="360"/>
      </w:pPr>
      <w:r>
        <w:rPr>
          <w:rFonts w:ascii="Arial" w:cs="Arial" w:eastAsia="Arial" w:hAnsi="Arial"/>
          <w:sz w:val="22"/>
          <w:szCs w:val="22"/>
        </w:rPr>
        <w:t xml:space="preserve">Revised decision: Dataset reduced to 270 frames (90 per posture class). The train and validation splits are eliminated. The dataset is partitioned into a 210-frame development set (78%, for prompt iteration and optional few-shot experimentation) and a 60-frame held-out test set (22%, 20 per class, unseen until final evaluation).</w:t>
      </w:r>
    </w:p>
    <w:p>
      <w:pPr>
        <w:spacing w:after="80" w:before="80" w:line="360"/>
      </w:pPr>
      <w:r>
        <w:rPr>
          <w:rFonts w:ascii="Arial" w:cs="Arial" w:eastAsia="Arial" w:hAnsi="Arial"/>
          <w:sz w:val="22"/>
          <w:szCs w:val="22"/>
        </w:rPr>
        <w:t xml:space="preserve">Rationale: All three detection approaches use zero-shot VLM inference; no model weights are updated, so a training split serves no purpose. For zero-shot VLM evaluation, 50–100 well-chosen images per class is sufficient for statistically stable accuracy estimates (consistent with published VLM benchmark methodology). The critical factor is condition coverage (5 lighting × 3 background × 3 distance = 15 combinations); 90 images per class yields approximately 6 images per condition combination per class. The original 900-frame target created disproportionate collection effort relative to evaluation benefit for a zero-shot system.</w:t>
      </w:r>
    </w:p>
    <w:p>
      <w:pPr>
        <w:spacing w:after="80" w:before="80" w:line="360"/>
      </w:pPr>
      <w:r>
        <w:rPr>
          <w:rFonts w:ascii="Arial" w:cs="Arial" w:eastAsia="Arial" w:hAnsi="Arial"/>
          <w:sz w:val="22"/>
          <w:szCs w:val="22"/>
        </w:rPr>
        <w:t xml:space="preserve">Outcome: 754 frames collected (exceeds 270-frame minimum by 2.8×). Final split: 417 development + 337 held-out test. Impact on documents: WP1.2 Dataset Collection Protocol (Section 4.3) updated — 900→270 total, 300→90 per class, train/validation splits removed, Development (210 frames) and Held-out Test (60 frames) defined. WP1.2 Evaluation Framework (Sections 2.2.1, 3.1) updated — latency measurement window reduced from 100 to 60 test frames to match the actual held-out test set. WP2.2 Data Collection Log summary table updated. MEng Capstone Proposal v2 Phase 2 and Deliverables updated. PDSDA Capstone Final Report Draft Sections 5.1 and 5.2 updated. Schedule (capstone_schedule.jsx, Capstone_Schedule.pdf) Week 4 data collection task description updated. Status: Approved — retroactive gap closure post-WP1.2 baseline.</w:t>
      </w:r>
    </w:p>
    <w:p>
      <w:pPr>
        <w:pStyle w:val="Heading1"/>
        <w:spacing w:after="120" w:before="260"/>
      </w:pPr>
      <w:r>
        <w:rPr>
          <w:rFonts w:ascii="Arial" w:cs="Arial" w:eastAsia="Arial" w:hAnsi="Arial"/>
          <w:b/>
          <w:bCs/>
          <w:color w:val="1F3864"/>
          <w:sz w:val="28"/>
          <w:szCs w:val="28"/>
        </w:rPr>
        <w:t xml:space="preserve">4.  Baseline Integrity Statement</w:t>
      </w:r>
    </w:p>
    <w:p>
      <w:pPr>
        <w:spacing w:after="80" w:before="80" w:line="360"/>
      </w:pPr>
      <w:r>
        <w:rPr>
          <w:rFonts w:ascii="Arial" w:cs="Arial" w:eastAsia="Arial" w:hAnsi="Arial"/>
          <w:sz w:val="22"/>
          <w:szCs w:val="22"/>
        </w:rPr>
        <w:t xml:space="preserve">The SRS v1.0 (May 31, 2026) is the formal baseline for this project. All changes listed in this document were made before baseline establishment (CR-01 through CR-06) or were retroactive gap closures applied after baseline with explicit documentation (CR-07, CR-08). No SRS requirements were changed without a corresponding entry in this log after baseline establishment.</w:t>
      </w:r>
    </w:p>
    <w:p>
      <w:pPr>
        <w:spacing w:after="80" w:before="80"/>
      </w:pPr>
      <w:r>
        <w:t xml:space="preserve"/>
      </w:r>
    </w:p>
    <w:p>
      <w:pPr>
        <w:spacing w:after="80" w:before="80" w:line="360"/>
      </w:pPr>
      <w:r>
        <w:rPr>
          <w:rFonts w:ascii="Arial" w:cs="Arial" w:eastAsia="Arial" w:hAnsi="Arial"/>
          <w:sz w:val="22"/>
          <w:szCs w:val="22"/>
        </w:rPr>
        <w:t xml:space="preserve">All downstream documents (WP2.1 through WP5.0) reflect the current baseline including all approved change requests. A document version number of 1.0 in any artifact indicates full alignment with this change log as of June 14, 2026.</w:t>
      </w:r>
    </w:p>
    <w:sectPr>
      <w:pgSz w:w="16838" w:h="11906"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2026-06-14T19:55:16.928Z</dcterms:created>
  <dcterms:modified xsi:type="dcterms:W3CDTF">2026-06-14T19:55:16.929Z</dcterms:modified>
</cp:coreProperties>
</file>

<file path=docProps/custom.xml><?xml version="1.0" encoding="utf-8"?>
<Properties xmlns="http://schemas.openxmlformats.org/officeDocument/2006/custom-properties" xmlns:vt="http://schemas.openxmlformats.org/officeDocument/2006/docPropsVTypes"/>
</file>