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Evaluation Framework</w:t>
      </w:r>
    </w:p>
    <w:p>
      <w:pPr>
        <w:spacing w:after="60" w:before="0"/>
        <w:jc w:val="center"/>
      </w:pPr>
      <w:r>
        <w:rPr>
          <w:rFonts w:ascii="Arial" w:cs="Arial" w:eastAsia="Arial" w:hAnsi="Arial"/>
          <w:color w:val="2E75B6"/>
          <w:sz w:val="26"/>
          <w:szCs w:val="26"/>
        </w:rPr>
        <w:t xml:space="preserve">Camera-Based Posture Detection System</w:t>
      </w:r>
    </w:p>
    <w:p>
      <w:pPr>
        <w:spacing w:after="200" w:before="0"/>
        <w:jc w:val="center"/>
      </w:pPr>
      <w:r>
        <w:rPr>
          <w:rFonts w:ascii="Arial" w:cs="Arial" w:eastAsia="Arial" w:hAnsi="Arial"/>
          <w:color w:val="888888"/>
          <w:sz w:val="20"/>
          <w:szCs w:val="20"/>
        </w:rPr>
        <w:t xml:space="preserve">WP1.2 · Activity A4.1.2.1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Framework Specification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WP1.2: Evaluation Framework Design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 · May 18–24,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Purpose &amp; Scope</w:t>
      </w:r>
    </w:p>
    <w:p>
      <w:pPr>
        <w:spacing w:after="80" w:before="80" w:line="360"/>
      </w:pPr>
      <w:r>
        <w:rPr>
          <w:rFonts w:ascii="Arial" w:cs="Arial" w:eastAsia="Arial" w:hAnsi="Arial"/>
          <w:sz w:val="22"/>
          <w:szCs w:val="22"/>
        </w:rPr>
        <w:t xml:space="preserve">This document defines the evaluation framework for comparing three posture detection approaches as part of the MEng Capstone project. The framework establishes standardized success metrics, latency measurement procedures, and hardware resource monitoring protocols to ensure each approach is assessed on an equal and reproducible basis.</w:t>
      </w:r>
    </w:p>
    <w:p>
      <w:pPr>
        <w:spacing w:after="80" w:before="80"/>
      </w:pPr>
      <w:r>
        <w:t xml:space="preserve"/>
      </w:r>
    </w:p>
    <w:p>
      <w:pPr>
        <w:spacing w:after="80" w:before="80" w:line="360"/>
      </w:pPr>
      <w:r>
        <w:rPr>
          <w:rFonts w:ascii="Arial" w:cs="Arial" w:eastAsia="Arial" w:hAnsi="Arial"/>
          <w:sz w:val="22"/>
          <w:szCs w:val="22"/>
        </w:rPr>
        <w:t xml:space="preserve">Three approaches are implemented and evaluated against latency targets defined in SRS NFR-001 (Gemma 4 26B ≤2,000 ms mean), NFR-002 (Gemma 4 E4B ≤3,000 ms mean), and NFR-003 (Claude API ≤3,000 ms mean): Gemma 4 26B MoE (primary server) running on an AWS EC2 g5.2xlarge with NVIDIA A10G GPU via Ollama; Gemma 4 E4B (edge/mobile) for mobile and embedded deployment via Ollama; and the Claude API (cloud PoC) via claude-sonnet-4-6 on any PC with a webcam and internet connection. MediaPipe and Qwen2.5-VL were evaluated and not pursued (see WP2.1).</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Success Metrics</w:t>
      </w:r>
    </w:p>
    <w:p>
      <w:pPr>
        <w:spacing w:after="80" w:before="80" w:line="360"/>
      </w:pPr>
      <w:r>
        <w:rPr>
          <w:rFonts w:ascii="Arial" w:cs="Arial" w:eastAsia="Arial" w:hAnsi="Arial"/>
          <w:sz w:val="22"/>
          <w:szCs w:val="22"/>
        </w:rPr>
        <w:t xml:space="preserve">Each approach will be evaluated against the same labeled test dataset. Metrics are computed per posture class and overall.</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2.1  Classification Metrics</w:t>
      </w:r>
    </w:p>
    <w:p>
      <w:pPr>
        <w:pStyle w:val="Heading3"/>
        <w:spacing w:after="80" w:before="160"/>
      </w:pPr>
      <w:r>
        <w:rPr>
          <w:rFonts w:ascii="Arial" w:cs="Arial" w:eastAsia="Arial" w:hAnsi="Arial"/>
          <w:b/>
          <w:bCs/>
          <w:color w:val="444444"/>
          <w:sz w:val="22"/>
          <w:szCs w:val="22"/>
        </w:rPr>
        <w:t xml:space="preserve">2.1.1  Accuracy</w:t>
      </w:r>
    </w:p>
    <w:p>
      <w:pPr>
        <w:spacing w:after="80" w:before="80" w:line="360"/>
      </w:pPr>
      <w:r>
        <w:rPr>
          <w:rFonts w:ascii="Arial" w:cs="Arial" w:eastAsia="Arial" w:hAnsi="Arial"/>
          <w:sz w:val="22"/>
          <w:szCs w:val="22"/>
        </w:rPr>
        <w:t xml:space="preserve">Overall proportion of correctly classified frames across all posture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Accuracy = (TP + TN) / (TP + TN + FP + FN)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Target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90% on the held-out test set</w:t>
            </w:r>
          </w:p>
        </w:tc>
      </w:tr>
    </w:tbl>
    <w:p>
      <w:pPr>
        <w:spacing w:after="80" w:before="80"/>
      </w:pPr>
      <w:r>
        <w:t xml:space="preserve"/>
      </w:r>
    </w:p>
    <w:p>
      <w:pPr>
        <w:pStyle w:val="Heading3"/>
        <w:spacing w:after="80" w:before="160"/>
      </w:pPr>
      <w:r>
        <w:rPr>
          <w:rFonts w:ascii="Arial" w:cs="Arial" w:eastAsia="Arial" w:hAnsi="Arial"/>
          <w:b/>
          <w:bCs/>
          <w:color w:val="444444"/>
          <w:sz w:val="22"/>
          <w:szCs w:val="22"/>
        </w:rPr>
        <w:t xml:space="preserve">2.1.2  Precision, Recall, and F1 Score</w:t>
      </w:r>
    </w:p>
    <w:p>
      <w:pPr>
        <w:spacing w:after="80" w:before="80" w:line="360"/>
      </w:pPr>
      <w:r>
        <w:rPr>
          <w:rFonts w:ascii="Arial" w:cs="Arial" w:eastAsia="Arial" w:hAnsi="Arial"/>
          <w:sz w:val="22"/>
          <w:szCs w:val="22"/>
        </w:rPr>
        <w:t xml:space="preserve">Computed per class (sitting, standing, absent) and as a macro-average across all classes. Macro-average treats all classes equally regardless of frequency.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(per class)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Precision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sz w:val="20"/>
                <w:szCs w:val="20"/>
              </w:rPr>
              <w:t xml:space="preserve">TP / (TP + FP)</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0.88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TP / (TP + FN)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0.88</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F1 Score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sz w:val="20"/>
                <w:szCs w:val="20"/>
              </w:rPr>
              <w:t xml:space="preserve">2 x (P x R) / (P + 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0.88</w:t>
            </w:r>
          </w:p>
        </w:tc>
      </w:tr>
    </w:tbl>
    <w:p>
      <w:pPr>
        <w:spacing w:after="80" w:before="80"/>
      </w:pPr>
      <w:r>
        <w:t xml:space="preserve"/>
      </w:r>
    </w:p>
    <w:p>
      <w:pPr>
        <w:pStyle w:val="Heading3"/>
        <w:spacing w:after="80" w:before="160"/>
      </w:pPr>
      <w:r>
        <w:rPr>
          <w:rFonts w:ascii="Arial" w:cs="Arial" w:eastAsia="Arial" w:hAnsi="Arial"/>
          <w:b/>
          <w:bCs/>
          <w:color w:val="444444"/>
          <w:sz w:val="22"/>
          <w:szCs w:val="22"/>
        </w:rPr>
        <w:t xml:space="preserve">2.1.3  Confusion Matrix</w:t>
      </w:r>
    </w:p>
    <w:p>
      <w:pPr>
        <w:spacing w:after="80" w:before="80" w:line="360"/>
      </w:pPr>
      <w:r>
        <w:rPr>
          <w:rFonts w:ascii="Arial" w:cs="Arial" w:eastAsia="Arial" w:hAnsi="Arial"/>
          <w:sz w:val="22"/>
          <w:szCs w:val="22"/>
        </w:rPr>
        <w:t xml:space="preserve">A 3x3 confusion matrix (sitting / standing / absent) will be generated for each approach to reveal class-specific error patterns.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2.2  Latency Metrics</w:t>
      </w:r>
    </w:p>
    <w:p>
      <w:pPr>
        <w:pStyle w:val="Heading3"/>
        <w:spacing w:after="80" w:before="160"/>
      </w:pPr>
      <w:r>
        <w:rPr>
          <w:rFonts w:ascii="Arial" w:cs="Arial" w:eastAsia="Arial" w:hAnsi="Arial"/>
          <w:b/>
          <w:bCs/>
          <w:color w:val="444444"/>
          <w:sz w:val="22"/>
          <w:szCs w:val="22"/>
        </w:rPr>
        <w:t xml:space="preserve">2.2.1  Per-Frame Inference Latency</w:t>
      </w:r>
    </w:p>
    <w:p>
      <w:pPr>
        <w:spacing w:after="80" w:before="80" w:line="360"/>
      </w:pPr>
      <w:r>
        <w:rPr>
          <w:rFonts w:ascii="Arial" w:cs="Arial" w:eastAsia="Arial" w:hAnsi="Arial"/>
          <w:sz w:val="22"/>
          <w:szCs w:val="22"/>
        </w:rPr>
        <w:t xml:space="preserve">Measured as the wall-clock time between providing a single input frame and receiving a classified posture output. Reported as:</w:t>
      </w:r>
    </w:p>
    <w:p>
      <w:pPr>
        <w:pStyle w:val="ListParagraph"/>
        <w:numPr>
          <w:ilvl w:val="0"/>
          <w:numId w:val="2"/>
        </w:numPr>
        <w:spacing w:after="60" w:before="60" w:line="340"/>
      </w:pPr>
      <w:r>
        <w:rPr>
          <w:rFonts w:ascii="Arial" w:cs="Arial" w:eastAsia="Arial" w:hAnsi="Arial"/>
          <w:b w:val="false"/>
          <w:bCs w:val="false"/>
          <w:sz w:val="22"/>
          <w:szCs w:val="22"/>
        </w:rPr>
        <w:t xml:space="preserve">Mean latency in ms across the 60-frame held-out test set</w:t>
      </w:r>
    </w:p>
    <w:p>
      <w:pPr>
        <w:pStyle w:val="ListParagraph"/>
        <w:numPr>
          <w:ilvl w:val="0"/>
          <w:numId w:val="2"/>
        </w:numPr>
        <w:spacing w:after="60" w:before="60" w:line="340"/>
      </w:pPr>
      <w:r>
        <w:rPr>
          <w:rFonts w:ascii="Arial" w:cs="Arial" w:eastAsia="Arial" w:hAnsi="Arial"/>
          <w:b w:val="false"/>
          <w:bCs w:val="false"/>
          <w:sz w:val="22"/>
          <w:szCs w:val="22"/>
        </w:rPr>
        <w:t xml:space="preserve">95th percentile latency (p95), critical for real-time deployment suitability</w:t>
      </w:r>
    </w:p>
    <w:p>
      <w:pPr>
        <w:pStyle w:val="ListParagraph"/>
        <w:numPr>
          <w:ilvl w:val="0"/>
          <w:numId w:val="2"/>
        </w:numPr>
        <w:spacing w:after="60" w:before="60" w:line="340"/>
      </w:pPr>
      <w:r>
        <w:rPr>
          <w:rFonts w:ascii="Arial" w:cs="Arial" w:eastAsia="Arial" w:hAnsi="Arial"/>
          <w:b w:val="false"/>
          <w:bCs w:val="false"/>
          <w:sz w:val="22"/>
          <w:szCs w:val="22"/>
        </w:rPr>
        <w:t xml:space="preserve">Maximum observed latency (worst case)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Target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p95 Target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Deployment Viable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Gemma 4 26B MoE (GPU)</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&lt; 2,000ms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&lt; 4,000ms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Yes (1-2 fps polling)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Claude API (PoC)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3,000ms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5,000ms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(1-2 fps polling)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Gemma 4 E4B (mobile)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&lt; 3,000ms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&lt; 5,000ms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Yes (1-2 fps polling)</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2.3  Reporting Requirements</w:t>
      </w:r>
    </w:p>
    <w:p>
      <w:pPr>
        <w:spacing w:after="80" w:before="80" w:line="360"/>
      </w:pPr>
      <w:r>
        <w:rPr>
          <w:rFonts w:ascii="Arial" w:cs="Arial" w:eastAsia="Arial" w:hAnsi="Arial"/>
          <w:sz w:val="22"/>
          <w:szCs w:val="22"/>
        </w:rPr>
        <w:t xml:space="preserve">At the conclusion of evaluation, a comparative results table will be produced covering Gemma 4 (server and mobile) and Claude API (PoC) across all metrics, to inform the deployment recommendation in the final capstone report.</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Latency Measurement Methodology</w:t>
      </w:r>
    </w:p>
    <w:p>
      <w:pPr>
        <w:pStyle w:val="Heading2"/>
        <w:spacing w:after="100" w:before="200"/>
      </w:pPr>
      <w:r>
        <w:rPr>
          <w:rFonts w:ascii="Arial" w:cs="Arial" w:eastAsia="Arial" w:hAnsi="Arial"/>
          <w:b/>
          <w:bCs/>
          <w:color w:val="2E75B6"/>
          <w:sz w:val="24"/>
          <w:szCs w:val="24"/>
        </w:rPr>
        <w:t xml:space="preserve">3.1  Measurement Procedure</w:t>
      </w:r>
    </w:p>
    <w:p>
      <w:pPr>
        <w:spacing w:after="80" w:before="80" w:line="360"/>
      </w:pPr>
      <w:r>
        <w:rPr>
          <w:rFonts w:ascii="Arial" w:cs="Arial" w:eastAsia="Arial" w:hAnsi="Arial"/>
          <w:sz w:val="22"/>
          <w:szCs w:val="22"/>
        </w:rPr>
        <w:t xml:space="preserve">Latency will be measured using Python's time.perf_counter() for high-resolution wall-clock timing. The procedure is as follows:</w:t>
      </w:r>
    </w:p>
    <w:p>
      <w:pPr>
        <w:pStyle w:val="ListParagraph"/>
        <w:numPr>
          <w:ilvl w:val="0"/>
          <w:numId w:val="3"/>
        </w:numPr>
        <w:spacing w:after="60" w:before="60" w:line="340"/>
      </w:pPr>
      <w:r>
        <w:rPr>
          <w:rFonts w:ascii="Arial" w:cs="Arial" w:eastAsia="Arial" w:hAnsi="Arial"/>
          <w:sz w:val="22"/>
          <w:szCs w:val="22"/>
        </w:rPr>
        <w:t xml:space="preserve">Load the test frame from disk into memory (pre-load, not included in timing window).</w:t>
      </w:r>
    </w:p>
    <w:p>
      <w:pPr>
        <w:pStyle w:val="ListParagraph"/>
        <w:numPr>
          <w:ilvl w:val="0"/>
          <w:numId w:val="3"/>
        </w:numPr>
        <w:spacing w:after="60" w:before="60" w:line="340"/>
      </w:pPr>
      <w:r>
        <w:rPr>
          <w:rFonts w:ascii="Arial" w:cs="Arial" w:eastAsia="Arial" w:hAnsi="Arial"/>
          <w:sz w:val="22"/>
          <w:szCs w:val="22"/>
        </w:rPr>
        <w:t xml:space="preserve">Record t_start = time.perf_counter() immediately before calling the inference method.</w:t>
      </w:r>
    </w:p>
    <w:p>
      <w:pPr>
        <w:pStyle w:val="ListParagraph"/>
        <w:numPr>
          <w:ilvl w:val="0"/>
          <w:numId w:val="3"/>
        </w:numPr>
        <w:spacing w:after="60" w:before="60" w:line="340"/>
      </w:pPr>
      <w:r>
        <w:rPr>
          <w:rFonts w:ascii="Arial" w:cs="Arial" w:eastAsia="Arial" w:hAnsi="Arial"/>
          <w:sz w:val="22"/>
          <w:szCs w:val="22"/>
        </w:rPr>
        <w:t xml:space="preserve">Execute inference (MediaPipe processing, API call, or local VLM call).</w:t>
      </w:r>
    </w:p>
    <w:p>
      <w:pPr>
        <w:pStyle w:val="ListParagraph"/>
        <w:numPr>
          <w:ilvl w:val="0"/>
          <w:numId w:val="3"/>
        </w:numPr>
        <w:spacing w:after="60" w:before="60" w:line="340"/>
      </w:pPr>
      <w:r>
        <w:rPr>
          <w:rFonts w:ascii="Arial" w:cs="Arial" w:eastAsia="Arial" w:hAnsi="Arial"/>
          <w:sz w:val="22"/>
          <w:szCs w:val="22"/>
        </w:rPr>
        <w:t xml:space="preserve">Record t_end = time.perf_counter() immediately after receiving the classified result.</w:t>
      </w:r>
    </w:p>
    <w:p>
      <w:pPr>
        <w:pStyle w:val="ListParagraph"/>
        <w:numPr>
          <w:ilvl w:val="0"/>
          <w:numId w:val="3"/>
        </w:numPr>
        <w:spacing w:after="60" w:before="60" w:line="340"/>
      </w:pPr>
      <w:r>
        <w:rPr>
          <w:rFonts w:ascii="Arial" w:cs="Arial" w:eastAsia="Arial" w:hAnsi="Arial"/>
          <w:sz w:val="22"/>
          <w:szCs w:val="22"/>
        </w:rPr>
        <w:t xml:space="preserve">Compute latency_ms = (t_end - t_start) * 1000.</w:t>
      </w:r>
    </w:p>
    <w:p>
      <w:pPr>
        <w:pStyle w:val="ListParagraph"/>
        <w:numPr>
          <w:ilvl w:val="0"/>
          <w:numId w:val="3"/>
        </w:numPr>
        <w:spacing w:after="60" w:before="60" w:line="340"/>
      </w:pPr>
      <w:r>
        <w:rPr>
          <w:rFonts w:ascii="Arial" w:cs="Arial" w:eastAsia="Arial" w:hAnsi="Arial"/>
          <w:sz w:val="22"/>
          <w:szCs w:val="22"/>
        </w:rPr>
        <w:t xml:space="preserve">Repeat for all 60 held-out test frames. Discard the first 5 runs as warm-up.</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3.2  API Latency Notes (Claude API (PoC))</w:t>
      </w:r>
    </w:p>
    <w:p>
      <w:pPr>
        <w:spacing w:after="80" w:before="80" w:line="360"/>
      </w:pPr>
      <w:r>
        <w:rPr>
          <w:rFonts w:ascii="Arial" w:cs="Arial" w:eastAsia="Arial" w:hAnsi="Arial"/>
          <w:sz w:val="22"/>
          <w:szCs w:val="22"/>
        </w:rPr>
        <w:t xml:space="preserve">For the Claude API PoC, latency includes full round-trip network time: frame encoding, HTTPS transmission, model inference, and response parsing. Latency will be measured from three network conditions: wired Ethernet, Wi-Fi, and mobile hotspot.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3.3  Local VLM Latency Notes (B2)</w:t>
      </w:r>
    </w:p>
    <w:p>
      <w:pPr>
        <w:spacing w:after="80" w:before="80" w:line="360"/>
      </w:pPr>
      <w:r>
        <w:rPr>
          <w:rFonts w:ascii="Arial" w:cs="Arial" w:eastAsia="Arial" w:hAnsi="Arial"/>
          <w:sz w:val="22"/>
          <w:szCs w:val="22"/>
        </w:rPr>
        <w:t xml:space="preserve">For Gemma 4, measurements will be taken on both GPU-accelerated (if available) and CPU-only hardware configurations, as deployment environments will vary. Both configurations will be reported separately.</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Hardware Resource Monitoring Plan</w:t>
      </w:r>
    </w:p>
    <w:p>
      <w:pPr>
        <w:pStyle w:val="Heading2"/>
        <w:spacing w:after="100" w:before="200"/>
      </w:pPr>
      <w:r>
        <w:rPr>
          <w:rFonts w:ascii="Arial" w:cs="Arial" w:eastAsia="Arial" w:hAnsi="Arial"/>
          <w:b/>
          <w:bCs/>
          <w:color w:val="2E75B6"/>
          <w:sz w:val="24"/>
          <w:szCs w:val="24"/>
        </w:rPr>
        <w:t xml:space="preserve">4.1  Metrics to Monitor</w:t>
      </w:r>
    </w:p>
    <w:p>
      <w:pPr>
        <w:spacing w:after="80" w:before="80" w:line="360"/>
      </w:pPr>
      <w:r>
        <w:rPr>
          <w:rFonts w:ascii="Arial" w:cs="Arial" w:eastAsia="Arial" w:hAnsi="Arial"/>
          <w:sz w:val="22"/>
          <w:szCs w:val="22"/>
        </w:rPr>
        <w:t xml:space="preserve">The following system resources will be monitored during inference to assess deployment feasibility on embedded or consumer hardware: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Reported As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 Utilization (%)</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psutil.cpu_percent(interval=0.1)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Mean % during inference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Usage (MB)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psutil.Process().memory_info().rss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RSS during inference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GPU Utilization (%)</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nvidia-smi (if GPU present)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Mean % during inference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VRAM Usage (MB)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memory.used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VRAM during inference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 Cost (Claude API only)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Anthropic usage tokens x rate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Estimated cost per hour of use</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4.2  Monitoring Procedure</w:t>
      </w:r>
    </w:p>
    <w:p>
      <w:pPr>
        <w:spacing w:after="80" w:before="80" w:line="360"/>
      </w:pPr>
      <w:r>
        <w:rPr>
          <w:rFonts w:ascii="Arial" w:cs="Arial" w:eastAsia="Arial" w:hAnsi="Arial"/>
          <w:sz w:val="22"/>
          <w:szCs w:val="22"/>
        </w:rPr>
        <w:t xml:space="preserve">A background monitoring thread using psutil will sample CPU and RAM at 100ms intervals throughout each evaluation run. GPU metrics (where applicable) will be captured via subprocess calls to nvidia-smi at the same interval. Samples will be written to a CSV log file keyed by approach and frame index for post-run analysis.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4.3  Test Hardware Specification</w:t>
      </w:r>
    </w:p>
    <w:p>
      <w:pPr>
        <w:spacing w:after="80" w:before="80" w:line="360"/>
      </w:pPr>
      <w:r>
        <w:rPr>
          <w:rFonts w:ascii="Arial" w:cs="Arial" w:eastAsia="Arial" w:hAnsi="Arial"/>
          <w:sz w:val="22"/>
          <w:szCs w:val="22"/>
        </w:rPr>
        <w:t xml:space="preserve">All approaches will be evaluated on the same hardware to ensure fair comparison. The hardware specification must be documented and included in the final capstone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CPU</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make, model, core count, clock speed]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RAM</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total GB installed]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GPU</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make, model, VRAM , or N/A if CPU only]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OS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Windows / macOS / Linux + version]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Python 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e.g. 3.11.x]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Key Library Versions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anthropic SDK, transformers, torch</w:t>
            </w:r>
          </w:p>
        </w:tc>
      </w:tr>
    </w:tbl>
    <w:p>
      <w:pPr>
        <w:pBdr>
          <w:bottom w:val="single" w:color="2E75B6" w:sz="6" w:space="1"/>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2026-06-14T20:00:10.516Z</dcterms:created>
  <dcterms:modified xsi:type="dcterms:W3CDTF">2026-06-14T20:00:10.516Z</dcterms:modified>
</cp:coreProperties>
</file>

<file path=docProps/custom.xml><?xml version="1.0" encoding="utf-8"?>
<Properties xmlns="http://schemas.openxmlformats.org/officeDocument/2006/custom-properties" xmlns:vt="http://schemas.openxmlformats.org/officeDocument/2006/docPropsVTypes"/>
</file>