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F3864"/>
          <w:sz w:val="40"/>
          <w:szCs w:val="40"/>
        </w:rPr>
        <w:t xml:space="preserve">Fault Tree Analysis</w:t>
      </w:r>
    </w:p>
    <w:p>
      <w:pPr>
        <w:spacing w:after="60" w:before="0"/>
        <w:jc w:val="center"/>
      </w:pPr>
      <w:r>
        <w:rPr>
          <w:rFonts w:ascii="Arial" w:cs="Arial" w:eastAsia="Arial" w:hAnsi="Arial"/>
          <w:color w:val="2E75B6"/>
          <w:sz w:val="26"/>
          <w:szCs w:val="26"/>
        </w:rPr>
        <w:t xml:space="preserve">Camera-Based Posture Detection System  |  Safety Analysis</w:t>
      </w:r>
    </w:p>
    <w:p>
      <w:pPr>
        <w:spacing w:after="200" w:before="0"/>
        <w:jc w:val="center"/>
      </w:pPr>
      <w:r>
        <w:rPr>
          <w:rFonts w:ascii="Arial" w:cs="Arial" w:eastAsia="Arial" w:hAnsi="Arial"/>
          <w:color w:val="888888"/>
          <w:sz w:val="20"/>
          <w:szCs w:val="20"/>
        </w:rPr>
        <w:t xml:space="preserve">WP2.3  |  MEng Capstone  |  Robotics &amp; Intelligent Autonomous Systems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444444"/>
                <w:sz w:val="20"/>
                <w:szCs w:val="20"/>
              </w:rPr>
              <w:t xml:space="preserve">Document type</w:t>
            </w:r>
          </w:p>
        </w:tc>
        <w:tc>
          <w:tcPr>
            <w:tcW w:type="dxa" w:w="6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Fault Tree Analysis (FTA)</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444444"/>
                <w:sz w:val="20"/>
                <w:szCs w:val="20"/>
              </w:rPr>
              <w:t xml:space="preserve">Work package</w:t>
            </w:r>
          </w:p>
        </w:tc>
        <w:tc>
          <w:tcPr>
            <w:tcW w:type="dxa" w:w="6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WP2.3: Integrated Risk Management</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444444"/>
                <w:sz w:val="20"/>
                <w:szCs w:val="20"/>
              </w:rPr>
              <w:t xml:space="preserve">Complements</w:t>
            </w:r>
          </w:p>
        </w:tc>
        <w:tc>
          <w:tcPr>
            <w:tcW w:type="dxa" w:w="6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WP3.0 FMEA / Reliability / Intent Detection Design</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444444"/>
                <w:sz w:val="20"/>
                <w:szCs w:val="20"/>
              </w:rPr>
              <w:t xml:space="preserve">Standard</w:t>
            </w:r>
          </w:p>
        </w:tc>
        <w:tc>
          <w:tcPr>
            <w:tcW w:type="dxa" w:w="6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IEC 61025 (Fault Tree Analysis)</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444444"/>
                <w:sz w:val="20"/>
                <w:szCs w:val="20"/>
              </w:rPr>
              <w:t xml:space="preserve">Author</w:t>
            </w:r>
          </w:p>
        </w:tc>
        <w:tc>
          <w:tcPr>
            <w:tcW w:type="dxa" w:w="6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Anand Singh</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444444"/>
                <w:sz w:val="20"/>
                <w:szCs w:val="20"/>
              </w:rPr>
              <w:t xml:space="preserve">Version</w:t>
            </w:r>
          </w:p>
        </w:tc>
        <w:tc>
          <w:tcPr>
            <w:tcW w:type="dxa" w:w="6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444444"/>
                <w:sz w:val="20"/>
                <w:szCs w:val="20"/>
              </w:rPr>
              <w:t xml:space="preserve">Date</w:t>
            </w:r>
          </w:p>
        </w:tc>
        <w:tc>
          <w:tcPr>
            <w:tcW w:type="dxa" w:w="6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5  |  June 14, 2026</w:t>
            </w:r>
          </w:p>
        </w:tc>
      </w:tr>
    </w:tbl>
    <w:p>
      <w:pPr>
        <w:pBdr>
          <w:bottom w:val="single" w:color="2E75B6" w:sz="6" w:space="1"/>
        </w:pBdr>
        <w:spacing w:after="160" w:before="160"/>
      </w:pPr>
    </w:p>
    <w:p>
      <w:pPr>
        <w:pStyle w:val="Heading1"/>
        <w:spacing w:after="120" w:before="260"/>
      </w:pPr>
      <w:r>
        <w:rPr>
          <w:rFonts w:ascii="Arial" w:cs="Arial" w:eastAsia="Arial" w:hAnsi="Arial"/>
          <w:b/>
          <w:bCs/>
          <w:color w:val="1F3864"/>
          <w:sz w:val="28"/>
          <w:szCs w:val="28"/>
        </w:rPr>
        <w:t xml:space="preserve">1.  Purpose and Relationship to FMEA</w:t>
      </w:r>
    </w:p>
    <w:p>
      <w:pPr>
        <w:spacing w:after="80" w:before="80" w:line="360"/>
      </w:pPr>
      <w:r>
        <w:rPr>
          <w:rFonts w:ascii="Arial" w:cs="Arial" w:eastAsia="Arial" w:hAnsi="Arial"/>
          <w:sz w:val="22"/>
          <w:szCs w:val="22"/>
        </w:rPr>
        <w:t xml:space="preserve">This document presents the Fault Tree Analysis (FTA) for the posture detection system, specifically addressing the primary safety concern: an unexpected or unintended desk adjustment signal being emitted. FTA and FMEA are complementary, not redundant. They approach risk from opposite directions:</w:t>
      </w:r>
    </w:p>
    <w:p>
      <w:pPr>
        <w:spacing w:after="80" w:before="8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600"/>
      </w:tblGrid>
      <w:tr>
        <w:tc>
          <w:tcPr>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Dimension</w:t>
            </w:r>
          </w:p>
        </w:tc>
        <w:tc>
          <w:tcPr>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Fault Tree Analysis (this document)</w:t>
            </w:r>
          </w:p>
        </w:tc>
        <w:tc>
          <w:tcPr>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FMEA (WP3.0)</w:t>
            </w:r>
          </w:p>
        </w:tc>
      </w:tr>
      <w:tr>
        <w:tc>
          <w:tcPr>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pPr>
              <w:jc w:val="left"/>
            </w:pPr>
            <w:r>
              <w:rPr>
                <w:rFonts w:ascii="Arial" w:cs="Arial" w:eastAsia="Arial" w:hAnsi="Arial"/>
                <w:sz w:val="19"/>
                <w:szCs w:val="19"/>
              </w:rPr>
              <w:t xml:space="preserve">Direction</w:t>
            </w:r>
          </w:p>
        </w:tc>
        <w:tc>
          <w:tcPr>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pPr>
              <w:jc w:val="center"/>
            </w:pPr>
            <w:r>
              <w:rPr>
                <w:rFonts w:ascii="Arial" w:cs="Arial" w:eastAsia="Arial" w:hAnsi="Arial"/>
                <w:sz w:val="19"/>
                <w:szCs w:val="19"/>
              </w:rPr>
              <w:t xml:space="preserve">Top-down deductive</w:t>
            </w:r>
          </w:p>
        </w:tc>
        <w:tc>
          <w:tcPr>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pPr>
              <w:jc w:val="left"/>
            </w:pPr>
            <w:r>
              <w:rPr>
                <w:rFonts w:ascii="Arial" w:cs="Arial" w:eastAsia="Arial" w:hAnsi="Arial"/>
                <w:sz w:val="19"/>
                <w:szCs w:val="19"/>
              </w:rPr>
              <w:t xml:space="preserve">Bottom-up inductive</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sz w:val="19"/>
                <w:szCs w:val="19"/>
              </w:rPr>
              <w:t xml:space="preserve">Starting point</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19"/>
                <w:szCs w:val="19"/>
              </w:rPr>
              <w:t xml:space="preserve">A specific undesired event</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sz w:val="19"/>
                <w:szCs w:val="19"/>
              </w:rPr>
              <w:t xml:space="preserve">An individual component or failure mode</w:t>
            </w:r>
          </w:p>
        </w:tc>
      </w:tr>
      <w:tr>
        <w:tc>
          <w:tcPr>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pPr>
              <w:jc w:val="left"/>
            </w:pPr>
            <w:r>
              <w:rPr>
                <w:rFonts w:ascii="Arial" w:cs="Arial" w:eastAsia="Arial" w:hAnsi="Arial"/>
                <w:sz w:val="19"/>
                <w:szCs w:val="19"/>
              </w:rPr>
              <w:t xml:space="preserve">Question asked</w:t>
            </w:r>
          </w:p>
        </w:tc>
        <w:tc>
          <w:tcPr>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pPr>
              <w:jc w:val="center"/>
            </w:pPr>
            <w:r>
              <w:rPr>
                <w:rFonts w:ascii="Arial" w:cs="Arial" w:eastAsia="Arial" w:hAnsi="Arial"/>
                <w:sz w:val="19"/>
                <w:szCs w:val="19"/>
              </w:rPr>
              <w:t xml:space="preserve">What combination of events could cause this?</w:t>
            </w:r>
          </w:p>
        </w:tc>
        <w:tc>
          <w:tcPr>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pPr>
              <w:jc w:val="left"/>
            </w:pPr>
            <w:r>
              <w:rPr>
                <w:rFonts w:ascii="Arial" w:cs="Arial" w:eastAsia="Arial" w:hAnsi="Arial"/>
                <w:sz w:val="19"/>
                <w:szCs w:val="19"/>
              </w:rPr>
              <w:t xml:space="preserve">If this component fails, what happens?</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sz w:val="19"/>
                <w:szCs w:val="19"/>
              </w:rPr>
              <w:t xml:space="preserve">Output</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19"/>
                <w:szCs w:val="19"/>
              </w:rPr>
              <w:t xml:space="preserve">Minimum cut sets; probability paths</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sz w:val="19"/>
                <w:szCs w:val="19"/>
              </w:rPr>
              <w:t xml:space="preserve">Risk Priority Numbers; mitigations per mode</w:t>
            </w:r>
          </w:p>
        </w:tc>
      </w:tr>
      <w:tr>
        <w:tc>
          <w:tcPr>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pPr>
              <w:jc w:val="left"/>
            </w:pPr>
            <w:r>
              <w:rPr>
                <w:rFonts w:ascii="Arial" w:cs="Arial" w:eastAsia="Arial" w:hAnsi="Arial"/>
                <w:sz w:val="19"/>
                <w:szCs w:val="19"/>
              </w:rPr>
              <w:t xml:space="preserve">Best for</w:t>
            </w:r>
          </w:p>
        </w:tc>
        <w:tc>
          <w:tcPr>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pPr>
              <w:jc w:val="center"/>
            </w:pPr>
            <w:r>
              <w:rPr>
                <w:rFonts w:ascii="Arial" w:cs="Arial" w:eastAsia="Arial" w:hAnsi="Arial"/>
                <w:sz w:val="19"/>
                <w:szCs w:val="19"/>
              </w:rPr>
              <w:t xml:space="preserve">Systemic combinations; proving safety invariants</w:t>
            </w:r>
          </w:p>
        </w:tc>
        <w:tc>
          <w:tcPr>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pPr>
              <w:jc w:val="left"/>
            </w:pPr>
            <w:r>
              <w:rPr>
                <w:rFonts w:ascii="Arial" w:cs="Arial" w:eastAsia="Arial" w:hAnsi="Arial"/>
                <w:sz w:val="19"/>
                <w:szCs w:val="19"/>
              </w:rPr>
              <w:t xml:space="preserve">Comprehensive component coverage</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sz w:val="19"/>
                <w:szCs w:val="19"/>
              </w:rPr>
              <w:t xml:space="preserve">Standard</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19"/>
                <w:szCs w:val="19"/>
              </w:rPr>
              <w:t xml:space="preserve">IEC 61025</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sz w:val="19"/>
                <w:szCs w:val="19"/>
              </w:rPr>
              <w:t xml:space="preserve">IEC 60812 / AIAG-VDA</w:t>
            </w:r>
          </w:p>
        </w:tc>
      </w:tr>
    </w:tbl>
    <w:p>
      <w:pPr>
        <w:spacing w:after="80" w:before="80"/>
      </w:pPr>
      <w:r>
        <w:t xml:space="preserve"/>
      </w:r>
    </w:p>
    <w:p>
      <w:pPr>
        <w:spacing w:after="80" w:before="80" w:line="360"/>
      </w:pPr>
      <w:r>
        <w:rPr>
          <w:rFonts w:ascii="Arial" w:cs="Arial" w:eastAsia="Arial" w:hAnsi="Arial"/>
          <w:sz w:val="22"/>
          <w:szCs w:val="22"/>
        </w:rPr>
        <w:t xml:space="preserve">The FTA in this document focuses on one top-level undesired event (TUE): the desk control signal being emitted when the user did not intend an adjustment. The FMEA in WP3.0 covers all 29 individual failure modes across six system categories. Together they provide complementary safety assurance for the V-Model Phase 2 risk management requirement.</w:t>
      </w:r>
    </w:p>
    <w:p>
      <w:pPr>
        <w:pBdr>
          <w:bottom w:val="single" w:color="2E75B6" w:sz="6" w:space="1"/>
        </w:pBdr>
        <w:spacing w:after="160" w:before="160"/>
      </w:pPr>
    </w:p>
    <w:p>
      <w:pPr>
        <w:pStyle w:val="Heading1"/>
        <w:spacing w:after="120" w:before="260"/>
      </w:pPr>
      <w:r>
        <w:rPr>
          <w:rFonts w:ascii="Arial" w:cs="Arial" w:eastAsia="Arial" w:hAnsi="Arial"/>
          <w:b/>
          <w:bCs/>
          <w:color w:val="1F3864"/>
          <w:sz w:val="28"/>
          <w:szCs w:val="28"/>
        </w:rPr>
        <w:t xml:space="preserve">2.  Top Undesired Event</w:t>
      </w:r>
    </w:p>
    <w:p>
      <w:pPr>
        <w:spacing w:after="80" w:before="80" w:line="360"/>
      </w:pPr>
      <w:r>
        <w:rPr>
          <w:rFonts w:ascii="Arial" w:cs="Arial" w:eastAsia="Arial" w:hAnsi="Arial"/>
          <w:sz w:val="22"/>
          <w:szCs w:val="22"/>
        </w:rPr>
        <w:t xml:space="preserve">TUE: Desk control signal emitted unexpectedly, causing an unintended or potentially unsafe desk height adjustment.</w:t>
      </w:r>
    </w:p>
    <w:p>
      <w:pPr>
        <w:spacing w:after="80" w:before="80"/>
      </w:pPr>
      <w:r>
        <w:t xml:space="preserve"/>
      </w:r>
    </w:p>
    <w:p>
      <w:pPr>
        <w:spacing w:after="80" w:before="80" w:line="360"/>
      </w:pPr>
      <w:r>
        <w:rPr>
          <w:rFonts w:ascii="Arial" w:cs="Arial" w:eastAsia="Arial" w:hAnsi="Arial"/>
          <w:sz w:val="22"/>
          <w:szCs w:val="22"/>
        </w:rPr>
        <w:t xml:space="preserve">This event is the primary safety concern because:</w:t>
      </w:r>
    </w:p>
    <w:p>
      <w:pPr>
        <w:pStyle w:val="ListParagraph"/>
        <w:numPr>
          <w:ilvl w:val="0"/>
          <w:numId w:val="2"/>
        </w:numPr>
        <w:spacing w:after="60" w:before="60" w:line="340"/>
      </w:pPr>
      <w:r>
        <w:rPr>
          <w:rFonts w:ascii="Arial" w:cs="Arial" w:eastAsia="Arial" w:hAnsi="Arial"/>
          <w:sz w:val="22"/>
          <w:szCs w:val="22"/>
        </w:rPr>
        <w:t xml:space="preserve">Unexpected desk movement while the user is reaching, bending, or otherwise occupying the desk zone could cause physical injury.</w:t>
      </w:r>
    </w:p>
    <w:p>
      <w:pPr>
        <w:pStyle w:val="ListParagraph"/>
        <w:numPr>
          <w:ilvl w:val="0"/>
          <w:numId w:val="2"/>
        </w:numPr>
        <w:spacing w:after="60" w:before="60" w:line="340"/>
      </w:pPr>
      <w:r>
        <w:rPr>
          <w:rFonts w:ascii="Arial" w:cs="Arial" w:eastAsia="Arial" w:hAnsi="Arial"/>
          <w:sz w:val="22"/>
          <w:szCs w:val="22"/>
        </w:rPr>
        <w:t xml:space="preserve">Unexpected adjustment while the user is absent represents wasted energy and mechanical wear, and may place the desk at an inconvenient height for return.</w:t>
      </w:r>
    </w:p>
    <w:p>
      <w:pPr>
        <w:pStyle w:val="ListParagraph"/>
        <w:numPr>
          <w:ilvl w:val="0"/>
          <w:numId w:val="2"/>
        </w:numPr>
        <w:spacing w:after="60" w:before="60" w:line="340"/>
      </w:pPr>
      <w:r>
        <w:rPr>
          <w:rFonts w:ascii="Arial" w:cs="Arial" w:eastAsia="Arial" w:hAnsi="Arial"/>
          <w:sz w:val="22"/>
          <w:szCs w:val="22"/>
        </w:rPr>
        <w:t xml:space="preserve">The system design holds a strict safety invariant (SRS NFR-011 and NFR-013) that this event must never occur without prior visual signal and user cancellation opportunity.</w:t>
      </w:r>
    </w:p>
    <w:p>
      <w:pPr>
        <w:pBdr>
          <w:bottom w:val="single" w:color="2E75B6" w:sz="6" w:space="1"/>
        </w:pBdr>
        <w:spacing w:after="160" w:before="160"/>
      </w:pPr>
    </w:p>
    <w:p>
      <w:pPr>
        <w:pStyle w:val="Heading1"/>
        <w:spacing w:after="120" w:before="260"/>
      </w:pPr>
      <w:r>
        <w:rPr>
          <w:rFonts w:ascii="Arial" w:cs="Arial" w:eastAsia="Arial" w:hAnsi="Arial"/>
          <w:b/>
          <w:bCs/>
          <w:color w:val="1F3864"/>
          <w:sz w:val="28"/>
          <w:szCs w:val="28"/>
        </w:rPr>
        <w:t xml:space="preserve">3.  Fault Tree Structure</w:t>
      </w:r>
    </w:p>
    <w:p>
      <w:pPr>
        <w:pStyle w:val="Heading2"/>
        <w:spacing w:after="100" w:before="200"/>
      </w:pPr>
      <w:r>
        <w:rPr>
          <w:rFonts w:ascii="Arial" w:cs="Arial" w:eastAsia="Arial" w:hAnsi="Arial"/>
          <w:b/>
          <w:bCs/>
          <w:color w:val="2E75B6"/>
          <w:sz w:val="24"/>
          <w:szCs w:val="24"/>
        </w:rPr>
        <w:t xml:space="preserve">3.1  Level 1: Two Independent Paths</w:t>
      </w:r>
    </w:p>
    <w:p>
      <w:pPr>
        <w:spacing w:after="80" w:before="80" w:line="360"/>
      </w:pPr>
      <w:r>
        <w:rPr>
          <w:rFonts w:ascii="Arial" w:cs="Arial" w:eastAsia="Arial" w:hAnsi="Arial"/>
          <w:sz w:val="22"/>
          <w:szCs w:val="22"/>
        </w:rPr>
        <w:t xml:space="preserve">The top undesired event can occur via exactly two paths, joined by an OR gate. Either path is sufficient to produce the TUE:</w:t>
      </w:r>
    </w:p>
    <w:p>
      <w:pPr>
        <w:spacing w:after="80" w:before="8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200"/>
        <w:gridCol w:w="3200"/>
      </w:tblGrid>
      <w:tr>
        <w:tc>
          <w:tcPr>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Event</w:t>
            </w:r>
          </w:p>
        </w:tc>
        <w:tc>
          <w:tcPr>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Label</w:t>
            </w:r>
          </w:p>
        </w:tc>
        <w:tc>
          <w:tcPr>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Description</w:t>
            </w:r>
          </w:p>
        </w:tc>
        <w:tc>
          <w:tcPr>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Gate</w:t>
            </w:r>
          </w:p>
        </w:tc>
      </w:tr>
      <w:tr>
        <w:tc>
          <w:tcPr>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pPr>
              <w:jc w:val="left"/>
            </w:pPr>
            <w:r>
              <w:rPr>
                <w:rFonts w:ascii="Arial" w:cs="Arial" w:eastAsia="Arial" w:hAnsi="Arial"/>
                <w:sz w:val="19"/>
                <w:szCs w:val="19"/>
              </w:rPr>
              <w:t xml:space="preserve">E1</w:t>
            </w:r>
          </w:p>
        </w:tc>
        <w:tc>
          <w:tcPr>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pPr>
              <w:jc w:val="center"/>
            </w:pPr>
            <w:r>
              <w:rPr>
                <w:rFonts w:ascii="Arial" w:cs="Arial" w:eastAsia="Arial" w:hAnsi="Arial"/>
                <w:sz w:val="19"/>
                <w:szCs w:val="19"/>
              </w:rPr>
              <w:t xml:space="preserve">Safety invariant violated</w:t>
            </w:r>
          </w:p>
        </w:tc>
        <w:tc>
          <w:tcPr>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pPr>
              <w:jc w:val="center"/>
            </w:pPr>
            <w:r>
              <w:rPr>
                <w:rFonts w:ascii="Arial" w:cs="Arial" w:eastAsia="Arial" w:hAnsi="Arial"/>
                <w:sz w:val="19"/>
                <w:szCs w:val="19"/>
              </w:rPr>
              <w:t xml:space="preserve">The ADJUSTING state is reached without passing through the SIGNALING state. Requires simultaneous software failures.</w:t>
            </w:r>
          </w:p>
        </w:tc>
        <w:tc>
          <w:tcPr>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pPr>
              <w:jc w:val="left"/>
            </w:pPr>
            <w:r>
              <w:rPr>
                <w:rFonts w:ascii="Arial" w:cs="Arial" w:eastAsia="Arial" w:hAnsi="Arial"/>
                <w:sz w:val="19"/>
                <w:szCs w:val="19"/>
              </w:rPr>
              <w:t xml:space="preserve">AND (both sub-events required)</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sz w:val="19"/>
                <w:szCs w:val="19"/>
              </w:rPr>
              <w:t xml:space="preserve">E2</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19"/>
                <w:szCs w:val="19"/>
              </w:rPr>
              <w:t xml:space="preserve">Countdown fires but user cannot prevent</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19"/>
                <w:szCs w:val="19"/>
              </w:rPr>
              <w:t xml:space="preserve">A valid countdown completes and the user either did not notice, could not cancel, or the trigger was a false positive.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sz w:val="19"/>
                <w:szCs w:val="19"/>
              </w:rPr>
              <w:t xml:space="preserve">OR (any sub-event sufficient)</w:t>
            </w:r>
          </w:p>
        </w:tc>
      </w:tr>
    </w:tbl>
    <w:p>
      <w:pPr>
        <w:spacing w:after="80" w:before="80"/>
      </w:pPr>
      <w:r>
        <w:t xml:space="preserve"/>
      </w:r>
    </w:p>
    <w:p>
      <w:pPr>
        <w:pStyle w:val="Heading2"/>
        <w:spacing w:after="100" w:before="200"/>
      </w:pPr>
      <w:r>
        <w:rPr>
          <w:rFonts w:ascii="Arial" w:cs="Arial" w:eastAsia="Arial" w:hAnsi="Arial"/>
          <w:b/>
          <w:bCs/>
          <w:color w:val="2E75B6"/>
          <w:sz w:val="24"/>
          <w:szCs w:val="24"/>
        </w:rPr>
        <w:t xml:space="preserve">3.2  E1 Branch: Safety Invariant Violated (AND Gate)</w:t>
      </w:r>
    </w:p>
    <w:p>
      <w:pPr>
        <w:spacing w:after="80" w:before="80" w:line="360"/>
      </w:pPr>
      <w:r>
        <w:rPr>
          <w:rFonts w:ascii="Arial" w:cs="Arial" w:eastAsia="Arial" w:hAnsi="Arial"/>
          <w:sz w:val="22"/>
          <w:szCs w:val="22"/>
        </w:rPr>
        <w:t xml:space="preserve">E1 requires both basic events to occur simultaneously. The AND gate means this branch is near-impossible by design.</w:t>
      </w:r>
    </w:p>
    <w:p>
      <w:pPr>
        <w:spacing w:after="80" w:before="8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000"/>
        <w:gridCol w:w="3000"/>
      </w:tblGrid>
      <w:tr>
        <w:tc>
          <w:tcPr>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ID</w:t>
            </w:r>
          </w:p>
        </w:tc>
        <w:tc>
          <w:tcPr>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Basic event</w:t>
            </w:r>
          </w:p>
        </w:tc>
        <w:tc>
          <w:tcPr>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Root cause</w:t>
            </w:r>
          </w:p>
        </w:tc>
        <w:tc>
          <w:tcPr>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Mitigation</w:t>
            </w:r>
          </w:p>
        </w:tc>
      </w:tr>
      <w:tr>
        <w:tc>
          <w:tcPr>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pPr>
              <w:jc w:val="left"/>
            </w:pPr>
            <w:r>
              <w:rPr>
                <w:rFonts w:ascii="Arial" w:cs="Arial" w:eastAsia="Arial" w:hAnsi="Arial"/>
                <w:sz w:val="19"/>
                <w:szCs w:val="19"/>
              </w:rPr>
              <w:t xml:space="preserve">B1</w:t>
            </w:r>
          </w:p>
        </w:tc>
        <w:tc>
          <w:tcPr>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pPr>
              <w:jc w:val="center"/>
            </w:pPr>
            <w:r>
              <w:rPr>
                <w:rFonts w:ascii="Arial" w:cs="Arial" w:eastAsia="Arial" w:hAnsi="Arial"/>
                <w:sz w:val="19"/>
                <w:szCs w:val="19"/>
              </w:rPr>
              <w:t xml:space="preserve">Code path bypasses SIGNALING state</w:t>
            </w:r>
          </w:p>
        </w:tc>
        <w:tc>
          <w:tcPr>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pPr>
              <w:jc w:val="center"/>
            </w:pPr>
            <w:r>
              <w:rPr>
                <w:rFonts w:ascii="Arial" w:cs="Arial" w:eastAsia="Arial" w:hAnsi="Arial"/>
                <w:sz w:val="19"/>
                <w:szCs w:val="19"/>
              </w:rPr>
              <w:t xml:space="preserve">A defect exists allowing direct MONITORING to ADJUSTING transition in code</w:t>
            </w:r>
          </w:p>
        </w:tc>
        <w:tc>
          <w:tcPr>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pPr>
              <w:jc w:val="left"/>
            </w:pPr>
            <w:r>
              <w:rPr>
                <w:rFonts w:ascii="Arial" w:cs="Arial" w:eastAsia="Arial" w:hAnsi="Arial"/>
                <w:sz w:val="19"/>
                <w:szCs w:val="19"/>
              </w:rPr>
              <w:t xml:space="preserve">State machine enforced structurally: ADJUSTING reachable only from SIGNALING. No code path exists. Verified by unit test (WP3.0 Test T1).</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sz w:val="19"/>
                <w:szCs w:val="19"/>
              </w:rPr>
              <w:t xml:space="preserve">B2</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19"/>
                <w:szCs w:val="19"/>
              </w:rPr>
              <w:t xml:space="preserve">Runtime error skips ADJUSTING gate check</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19"/>
                <w:szCs w:val="19"/>
              </w:rPr>
              <w:t xml:space="preserve">Unhandled exception or memory error forces state transition outside the state machine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sz w:val="19"/>
                <w:szCs w:val="19"/>
              </w:rPr>
              <w:t xml:space="preserve">Watchdog process monitors pipeline (WP3.0 FMEA P1). State machine uses thread lock; corrupted state defaults to MONITORING, not ADJUSTING.</w:t>
            </w:r>
          </w:p>
        </w:tc>
      </w:tr>
    </w:tbl>
    <w:p>
      <w:pPr>
        <w:spacing w:after="80" w:before="80"/>
      </w:pPr>
      <w:r>
        <w:t xml:space="preserve"/>
      </w:r>
    </w:p>
    <w:p>
      <w:pPr>
        <w:spacing w:after="80" w:before="80" w:line="360"/>
      </w:pPr>
      <w:r>
        <w:rPr>
          <w:rFonts w:ascii="Arial" w:cs="Arial" w:eastAsia="Arial" w:hAnsi="Arial"/>
          <w:sz w:val="22"/>
          <w:szCs w:val="22"/>
        </w:rPr>
        <w:t xml:space="preserve">Assessment: The E1 AND gate requires both B1 (no code path exists by structural enforcement) and B2 (runtime error bypasses the structural check) simultaneously. This combination is considered near-impossible. B1 is prevented at design time; B2 alone cannot trigger the TUE because the state machine has no runtime path from MONITORING to ADJUSTING.</w:t>
      </w:r>
    </w:p>
    <w:p>
      <w:pPr>
        <w:spacing w:after="80" w:before="80"/>
      </w:pPr>
      <w:r>
        <w:t xml:space="preserve"/>
      </w:r>
    </w:p>
    <w:p>
      <w:pPr>
        <w:pStyle w:val="Heading2"/>
        <w:spacing w:after="100" w:before="200"/>
      </w:pPr>
      <w:r>
        <w:rPr>
          <w:rFonts w:ascii="Arial" w:cs="Arial" w:eastAsia="Arial" w:hAnsi="Arial"/>
          <w:b/>
          <w:bCs/>
          <w:color w:val="2E75B6"/>
          <w:sz w:val="24"/>
          <w:szCs w:val="24"/>
        </w:rPr>
        <w:t xml:space="preserve">3.3  E2 Branch: Countdown Fires Without Prevention (OR Gate)</w:t>
      </w:r>
    </w:p>
    <w:p>
      <w:pPr>
        <w:spacing w:after="80" w:before="80" w:line="360"/>
      </w:pPr>
      <w:r>
        <w:rPr>
          <w:rFonts w:ascii="Arial" w:cs="Arial" w:eastAsia="Arial" w:hAnsi="Arial"/>
          <w:sz w:val="22"/>
          <w:szCs w:val="22"/>
        </w:rPr>
        <w:t xml:space="preserve">E2 requires only one of three basic events. The OR gate means any single failure is sufficient to reach the TUE from the E2 branch.</w:t>
      </w:r>
    </w:p>
    <w:p>
      <w:pPr>
        <w:spacing w:after="80" w:before="8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000"/>
        <w:gridCol w:w="3000"/>
      </w:tblGrid>
      <w:tr>
        <w:tc>
          <w:tcPr>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ID</w:t>
            </w:r>
          </w:p>
        </w:tc>
        <w:tc>
          <w:tcPr>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Basic event</w:t>
            </w:r>
          </w:p>
        </w:tc>
        <w:tc>
          <w:tcPr>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Root cause</w:t>
            </w:r>
          </w:p>
        </w:tc>
        <w:tc>
          <w:tcPr>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Mitigation</w:t>
            </w:r>
          </w:p>
        </w:tc>
      </w:tr>
      <w:tr>
        <w:tc>
          <w:tcPr>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pPr>
              <w:jc w:val="left"/>
            </w:pPr>
            <w:r>
              <w:rPr>
                <w:rFonts w:ascii="Arial" w:cs="Arial" w:eastAsia="Arial" w:hAnsi="Arial"/>
                <w:sz w:val="19"/>
                <w:szCs w:val="19"/>
              </w:rPr>
              <w:t xml:space="preserve">B3</w:t>
            </w:r>
          </w:p>
        </w:tc>
        <w:tc>
          <w:tcPr>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pPr>
              <w:jc w:val="center"/>
            </w:pPr>
            <w:r>
              <w:rPr>
                <w:rFonts w:ascii="Arial" w:cs="Arial" w:eastAsia="Arial" w:hAnsi="Arial"/>
                <w:sz w:val="19"/>
                <w:szCs w:val="19"/>
              </w:rPr>
              <w:t xml:space="preserve">User misses countdown signal</w:t>
            </w:r>
          </w:p>
        </w:tc>
        <w:tc>
          <w:tcPr>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pPr>
              <w:jc w:val="center"/>
            </w:pPr>
            <w:r>
              <w:rPr>
                <w:rFonts w:ascii="Arial" w:cs="Arial" w:eastAsia="Arial" w:hAnsi="Arial"/>
                <w:sz w:val="19"/>
                <w:szCs w:val="19"/>
              </w:rPr>
              <w:t xml:space="preserve">User not watching screen during 10-second visual countdown; notification not visible at working distance</w:t>
            </w:r>
          </w:p>
        </w:tc>
        <w:tc>
          <w:tcPr>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pPr>
              <w:jc w:val="left"/>
            </w:pPr>
            <w:r>
              <w:rPr>
                <w:rFonts w:ascii="Arial" w:cs="Arial" w:eastAsia="Arial" w:hAnsi="Arial"/>
                <w:sz w:val="19"/>
                <w:szCs w:val="19"/>
              </w:rPr>
              <w:t xml:space="preserve">10-second countdown duration (SRS FR-018) provides generous observation window. Optional audio cue configurable. Camera-facing monitor placement guideline documented.</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sz w:val="19"/>
                <w:szCs w:val="19"/>
              </w:rPr>
              <w:t xml:space="preserve">B4</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19"/>
                <w:szCs w:val="19"/>
              </w:rPr>
              <w:t xml:space="preserve">Cancel mechanism unavailable or fails</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19"/>
                <w:szCs w:val="19"/>
              </w:rPr>
              <w:t xml:space="preserve">UI WebSocket drops during countdown; Cancel button not rendered; Esc key unbound</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sz w:val="19"/>
                <w:szCs w:val="19"/>
              </w:rPr>
              <w:t xml:space="preserve">Dual cancel mechanism: button and Esc key (SRS FR-020, UI-005). WebSocket reconnection automatic. Cancel tested in WP3.0 Test T5.</w:t>
            </w:r>
          </w:p>
        </w:tc>
      </w:tr>
      <w:tr>
        <w:tc>
          <w:tcPr>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pPr>
              <w:jc w:val="left"/>
            </w:pPr>
            <w:r>
              <w:rPr>
                <w:rFonts w:ascii="Arial" w:cs="Arial" w:eastAsia="Arial" w:hAnsi="Arial"/>
                <w:sz w:val="19"/>
                <w:szCs w:val="19"/>
              </w:rPr>
              <w:t xml:space="preserve">B5</w:t>
            </w:r>
          </w:p>
        </w:tc>
        <w:tc>
          <w:tcPr>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pPr>
              <w:jc w:val="center"/>
            </w:pPr>
            <w:r>
              <w:rPr>
                <w:rFonts w:ascii="Arial" w:cs="Arial" w:eastAsia="Arial" w:hAnsi="Arial"/>
                <w:sz w:val="19"/>
                <w:szCs w:val="19"/>
              </w:rPr>
              <w:t xml:space="preserve">False positive passes 5-frame intent filter</w:t>
            </w:r>
          </w:p>
        </w:tc>
        <w:tc>
          <w:tcPr>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pPr>
              <w:jc w:val="center"/>
            </w:pPr>
            <w:r>
              <w:rPr>
                <w:rFonts w:ascii="Arial" w:cs="Arial" w:eastAsia="Arial" w:hAnsi="Arial"/>
                <w:sz w:val="19"/>
                <w:szCs w:val="19"/>
              </w:rPr>
              <w:t xml:space="preserve">Transient event (shoe-tying, floor pickup) lasts &gt; 5 consecutive seconds with confidence &gt;= 0.70 AND user fails to cancel in 10-second countdown</w:t>
            </w:r>
          </w:p>
        </w:tc>
        <w:tc>
          <w:tcPr>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pPr>
              <w:jc w:val="left"/>
            </w:pPr>
            <w:r>
              <w:rPr>
                <w:rFonts w:ascii="Arial" w:cs="Arial" w:eastAsia="Arial" w:hAnsi="Arial"/>
                <w:sz w:val="19"/>
                <w:szCs w:val="19"/>
              </w:rPr>
              <w:t xml:space="preserve">5-frame consecutive confirmation (SRS FR-014) requires 5+ seconds of consistent posture. Research shows shoe-tying takes 8-20 seconds total but bent posture phase is typically 5-12 seconds at lower confidence. Any posture revert resets counter (FR-015). If filter passed, 10-second countdown provides a second cancellation window (WP3.0 Test T2, T3).</w:t>
            </w:r>
          </w:p>
        </w:tc>
      </w:tr>
    </w:tbl>
    <w:p>
      <w:pPr>
        <w:pBdr>
          <w:bottom w:val="single" w:color="2E75B6" w:sz="6" w:space="1"/>
        </w:pBdr>
        <w:spacing w:after="160" w:before="160"/>
      </w:pPr>
    </w:p>
    <w:p>
      <w:pPr>
        <w:pStyle w:val="Heading1"/>
        <w:spacing w:after="120" w:before="260"/>
      </w:pPr>
      <w:r>
        <w:rPr>
          <w:rFonts w:ascii="Arial" w:cs="Arial" w:eastAsia="Arial" w:hAnsi="Arial"/>
          <w:b/>
          <w:bCs/>
          <w:color w:val="1F3864"/>
          <w:sz w:val="28"/>
          <w:szCs w:val="28"/>
        </w:rPr>
        <w:t xml:space="preserve">4.  Minimum Cut Sets</w:t>
      </w:r>
    </w:p>
    <w:p>
      <w:pPr>
        <w:spacing w:after="80" w:before="80" w:line="360"/>
      </w:pPr>
      <w:r>
        <w:rPr>
          <w:rFonts w:ascii="Arial" w:cs="Arial" w:eastAsia="Arial" w:hAnsi="Arial"/>
          <w:sz w:val="22"/>
          <w:szCs w:val="22"/>
        </w:rPr>
        <w:t xml:space="preserve">A minimum cut set (MCS) is the smallest combination of basic events that is both necessary and sufficient to produce the top undesired event. Each MCS represents an independent path to the TUE.</w:t>
      </w:r>
    </w:p>
    <w:p>
      <w:pPr>
        <w:spacing w:after="80" w:before="8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200"/>
        <w:gridCol w:w="3200"/>
        <w:gridCol w:w="1200"/>
      </w:tblGrid>
      <w:tr>
        <w:tc>
          <w:tcPr>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MCS</w:t>
            </w:r>
          </w:p>
        </w:tc>
        <w:tc>
          <w:tcPr>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Basic events</w:t>
            </w:r>
          </w:p>
        </w:tc>
        <w:tc>
          <w:tcPr>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Gate logic</w:t>
            </w:r>
          </w:p>
        </w:tc>
        <w:tc>
          <w:tcPr>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Probability assessment</w:t>
            </w:r>
          </w:p>
        </w:tc>
        <w:tc>
          <w:tcPr>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SRS reference</w:t>
            </w:r>
          </w:p>
        </w:tc>
      </w:tr>
      <w:tr>
        <w:tc>
          <w:tcPr>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pPr>
              <w:jc w:val="left"/>
            </w:pPr>
            <w:r>
              <w:rPr>
                <w:rFonts w:ascii="Arial" w:cs="Arial" w:eastAsia="Arial" w:hAnsi="Arial"/>
                <w:sz w:val="19"/>
                <w:szCs w:val="19"/>
              </w:rPr>
              <w:t xml:space="preserve">MCS-1</w:t>
            </w:r>
          </w:p>
        </w:tc>
        <w:tc>
          <w:tcPr>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pPr>
              <w:jc w:val="center"/>
            </w:pPr>
            <w:r>
              <w:rPr>
                <w:rFonts w:ascii="Arial" w:cs="Arial" w:eastAsia="Arial" w:hAnsi="Arial"/>
                <w:sz w:val="19"/>
                <w:szCs w:val="19"/>
              </w:rPr>
              <w:t xml:space="preserve">{B1, B2}</w:t>
            </w:r>
          </w:p>
        </w:tc>
        <w:tc>
          <w:tcPr>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pPr>
              <w:jc w:val="center"/>
            </w:pPr>
            <w:r>
              <w:rPr>
                <w:rFonts w:ascii="Arial" w:cs="Arial" w:eastAsia="Arial" w:hAnsi="Arial"/>
                <w:sz w:val="19"/>
                <w:szCs w:val="19"/>
              </w:rPr>
              <w:t xml:space="preserve">AND: both required</w:t>
            </w:r>
          </w:p>
        </w:tc>
        <w:tc>
          <w:tcPr>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pPr>
              <w:jc w:val="center"/>
            </w:pPr>
            <w:r>
              <w:rPr>
                <w:rFonts w:ascii="Arial" w:cs="Arial" w:eastAsia="Arial" w:hAnsi="Arial"/>
                <w:sz w:val="19"/>
                <w:szCs w:val="19"/>
              </w:rPr>
              <w:t xml:space="preserve">Near-zero: structural code enforcement prevents B1; unit test T1 verifies</w:t>
            </w:r>
          </w:p>
        </w:tc>
        <w:tc>
          <w:tcPr>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pPr>
              <w:jc w:val="left"/>
            </w:pPr>
            <w:r>
              <w:rPr>
                <w:rFonts w:ascii="Arial" w:cs="Arial" w:eastAsia="Arial" w:hAnsi="Arial"/>
                <w:sz w:val="19"/>
                <w:szCs w:val="19"/>
              </w:rPr>
              <w:t xml:space="preserve">NFR-011, NFR-013</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sz w:val="19"/>
                <w:szCs w:val="19"/>
              </w:rPr>
              <w:t xml:space="preserve">MCS-2</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19"/>
                <w:szCs w:val="19"/>
              </w:rPr>
              <w:t xml:space="preserve">{B3}</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19"/>
                <w:szCs w:val="19"/>
              </w:rPr>
              <w:t xml:space="preserve">OR: sufficient alone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19"/>
                <w:szCs w:val="19"/>
              </w:rPr>
              <w:t xml:space="preserve">Low: 10-second countdown mitigates; screen placement guideline addresses</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sz w:val="19"/>
                <w:szCs w:val="19"/>
              </w:rPr>
              <w:t xml:space="preserve">FR-018, UI-002</w:t>
            </w:r>
          </w:p>
        </w:tc>
      </w:tr>
      <w:tr>
        <w:tc>
          <w:tcPr>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pPr>
              <w:jc w:val="left"/>
            </w:pPr>
            <w:r>
              <w:rPr>
                <w:rFonts w:ascii="Arial" w:cs="Arial" w:eastAsia="Arial" w:hAnsi="Arial"/>
                <w:sz w:val="19"/>
                <w:szCs w:val="19"/>
              </w:rPr>
              <w:t xml:space="preserve">MCS-3</w:t>
            </w:r>
          </w:p>
        </w:tc>
        <w:tc>
          <w:tcPr>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pPr>
              <w:jc w:val="center"/>
            </w:pPr>
            <w:r>
              <w:rPr>
                <w:rFonts w:ascii="Arial" w:cs="Arial" w:eastAsia="Arial" w:hAnsi="Arial"/>
                <w:sz w:val="19"/>
                <w:szCs w:val="19"/>
              </w:rPr>
              <w:t xml:space="preserve">{B4}</w:t>
            </w:r>
          </w:p>
        </w:tc>
        <w:tc>
          <w:tcPr>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pPr>
              <w:jc w:val="center"/>
            </w:pPr>
            <w:r>
              <w:rPr>
                <w:rFonts w:ascii="Arial" w:cs="Arial" w:eastAsia="Arial" w:hAnsi="Arial"/>
                <w:sz w:val="19"/>
                <w:szCs w:val="19"/>
              </w:rPr>
              <w:t xml:space="preserve">OR: sufficient alone</w:t>
            </w:r>
          </w:p>
        </w:tc>
        <w:tc>
          <w:tcPr>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pPr>
              <w:jc w:val="center"/>
            </w:pPr>
            <w:r>
              <w:rPr>
                <w:rFonts w:ascii="Arial" w:cs="Arial" w:eastAsia="Arial" w:hAnsi="Arial"/>
                <w:sz w:val="19"/>
                <w:szCs w:val="19"/>
              </w:rPr>
              <w:t xml:space="preserve">Low: dual cancel mechanisms; WebSocket auto-reconnects; tested in T5</w:t>
            </w:r>
          </w:p>
        </w:tc>
        <w:tc>
          <w:tcPr>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pPr>
              <w:jc w:val="left"/>
            </w:pPr>
            <w:r>
              <w:rPr>
                <w:rFonts w:ascii="Arial" w:cs="Arial" w:eastAsia="Arial" w:hAnsi="Arial"/>
                <w:sz w:val="19"/>
                <w:szCs w:val="19"/>
              </w:rPr>
              <w:t xml:space="preserve">FR-020, UI-005</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sz w:val="19"/>
                <w:szCs w:val="19"/>
              </w:rPr>
              <w:t xml:space="preserve">MCS-4</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19"/>
                <w:szCs w:val="19"/>
              </w:rPr>
              <w:t xml:space="preserve">{B5}</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19"/>
                <w:szCs w:val="19"/>
              </w:rPr>
              <w:t xml:space="preserve">OR: sufficient alone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19"/>
                <w:szCs w:val="19"/>
              </w:rPr>
              <w:t xml:space="preserve">Very low: requires &gt;5s transient at high confidence AND countdown miss; two independent filters must both fail</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sz w:val="19"/>
                <w:szCs w:val="19"/>
              </w:rPr>
              <w:t xml:space="preserve">FR-014, FR-021</w:t>
            </w:r>
          </w:p>
        </w:tc>
      </w:tr>
    </w:tbl>
    <w:p>
      <w:pPr>
        <w:spacing w:after="80" w:before="80"/>
      </w:pPr>
      <w:r>
        <w:t xml:space="preserve"/>
      </w:r>
    </w:p>
    <w:p>
      <w:pPr>
        <w:spacing w:after="80" w:before="80" w:line="360"/>
      </w:pPr>
      <w:r>
        <w:rPr>
          <w:rFonts w:ascii="Arial" w:cs="Arial" w:eastAsia="Arial" w:hAnsi="Arial"/>
          <w:sz w:val="22"/>
          <w:szCs w:val="22"/>
        </w:rPr>
        <w:t xml:space="preserve">Key observation: MCS-1 requires two simultaneous failures and is near-impossible. MCS-2, MCS-3, and MCS-4 are each individually sufficient but independently mitigated. The system has no single-point-of-failure that can bypass all mitigations simultaneously.</w:t>
      </w:r>
    </w:p>
    <w:p>
      <w:pPr>
        <w:pBdr>
          <w:bottom w:val="single" w:color="2E75B6" w:sz="6" w:space="1"/>
        </w:pBdr>
        <w:spacing w:after="160" w:before="160"/>
      </w:pPr>
    </w:p>
    <w:p>
      <w:pPr>
        <w:pStyle w:val="Heading1"/>
        <w:spacing w:after="120" w:before="260"/>
      </w:pPr>
      <w:r>
        <w:rPr>
          <w:rFonts w:ascii="Arial" w:cs="Arial" w:eastAsia="Arial" w:hAnsi="Arial"/>
          <w:b/>
          <w:bCs/>
          <w:color w:val="1F3864"/>
          <w:sz w:val="28"/>
          <w:szCs w:val="28"/>
        </w:rPr>
        <w:t xml:space="preserve">5.  FTA vs FMEA Coverage Comparison</w:t>
      </w:r>
    </w:p>
    <w:p>
      <w:pPr>
        <w:spacing w:after="80" w:before="80" w:line="360"/>
      </w:pPr>
      <w:r>
        <w:rPr>
          <w:rFonts w:ascii="Arial" w:cs="Arial" w:eastAsia="Arial" w:hAnsi="Arial"/>
          <w:sz w:val="22"/>
          <w:szCs w:val="22"/>
        </w:rPr>
        <w:t xml:space="preserve">This FTA completes the bidirectional risk coverage required by the Systems Engineering V-Model integrated risk management phase:</w:t>
      </w:r>
    </w:p>
    <w:p>
      <w:pPr>
        <w:spacing w:after="80" w:before="80"/>
      </w:pPr>
      <w:r>
        <w:t xml:space="preserve"/>
      </w:r>
    </w:p>
    <w:p>
      <w:pPr>
        <w:pStyle w:val="ListParagraph"/>
        <w:numPr>
          <w:ilvl w:val="0"/>
          <w:numId w:val="2"/>
        </w:numPr>
        <w:spacing w:after="60" w:before="60" w:line="340"/>
      </w:pPr>
      <w:r>
        <w:rPr>
          <w:rFonts w:ascii="Arial" w:cs="Arial" w:eastAsia="Arial" w:hAnsi="Arial"/>
          <w:sz w:val="22"/>
          <w:szCs w:val="22"/>
        </w:rPr>
        <w:t xml:space="preserve">The FMEA in WP3.0 identified 29 failure modes (H1-H5 hardware, G1-G5 Gemma 4, C1-C5 Claude API, I1-I6 intent detection, S1-S3 signaling, P1-P4 pipeline). It covers breadth: what can go wrong with each component.</w:t>
      </w:r>
    </w:p>
    <w:p>
      <w:pPr>
        <w:pStyle w:val="ListParagraph"/>
        <w:numPr>
          <w:ilvl w:val="0"/>
          <w:numId w:val="2"/>
        </w:numPr>
        <w:spacing w:after="60" w:before="60" w:line="340"/>
      </w:pPr>
      <w:r>
        <w:rPr>
          <w:rFonts w:ascii="Arial" w:cs="Arial" w:eastAsia="Arial" w:hAnsi="Arial"/>
          <w:sz w:val="22"/>
          <w:szCs w:val="22"/>
        </w:rPr>
        <w:t xml:space="preserve">This FTA covers depth for the single most safety-critical outcome: can the system ever emit an adjustment signal unexpectedly? The answer is documented as: only through MCS-1 (near-impossible by structural enforcement) or through one of MCS-2, 3, 4 (each independently mitigated).</w:t>
      </w:r>
    </w:p>
    <w:p>
      <w:pPr>
        <w:pStyle w:val="ListParagraph"/>
        <w:numPr>
          <w:ilvl w:val="0"/>
          <w:numId w:val="2"/>
        </w:numPr>
        <w:spacing w:after="60" w:before="60" w:line="340"/>
      </w:pPr>
      <w:r>
        <w:rPr>
          <w:rFonts w:ascii="Arial" w:cs="Arial" w:eastAsia="Arial" w:hAnsi="Arial"/>
          <w:sz w:val="22"/>
          <w:szCs w:val="22"/>
        </w:rPr>
        <w:t xml:space="preserve">FTA finding: the safety invariant (SRS NFR-011, NFR-013) is structurally sound. The E1 AND gate requires simultaneous code bypass and runtime state corruption, which cannot occur because the structural enforcement (B1 prevention) eliminates the first prerequisite entirely.</w:t>
      </w:r>
    </w:p>
    <w:p>
      <w:pPr>
        <w:pStyle w:val="ListParagraph"/>
        <w:numPr>
          <w:ilvl w:val="0"/>
          <w:numId w:val="2"/>
        </w:numPr>
        <w:spacing w:after="60" w:before="60" w:line="340"/>
      </w:pPr>
      <w:r>
        <w:rPr>
          <w:rFonts w:ascii="Arial" w:cs="Arial" w:eastAsia="Arial" w:hAnsi="Arial"/>
          <w:sz w:val="22"/>
          <w:szCs w:val="22"/>
        </w:rPr>
        <w:t xml:space="preserve">Together, FTA and FMEA satisfy the integrated risk management requirement of the V-Model Phase 2 (WP2.3) and provide the safety evidence required before any physical desk actuation hardware is connected.</w:t>
      </w:r>
    </w:p>
    <w:p>
      <w:pPr>
        <w:pBdr>
          <w:bottom w:val="single" w:color="2E75B6" w:sz="6" w:space="1"/>
        </w:pBdr>
        <w:spacing w:after="160" w:before="160"/>
      </w:pPr>
    </w:p>
    <w:p>
      <w:pPr>
        <w:pStyle w:val="Heading1"/>
        <w:spacing w:after="120" w:before="260"/>
      </w:pPr>
      <w:r>
        <w:rPr>
          <w:rFonts w:ascii="Arial" w:cs="Arial" w:eastAsia="Arial" w:hAnsi="Arial"/>
          <w:b/>
          <w:bCs/>
          <w:color w:val="1F3864"/>
          <w:sz w:val="28"/>
          <w:szCs w:val="28"/>
        </w:rPr>
        <w:t xml:space="preserve">6.  Safety Conclusion</w:t>
      </w:r>
    </w:p>
    <w:p>
      <w:pPr>
        <w:spacing w:after="80" w:before="80" w:line="360"/>
      </w:pPr>
      <w:r>
        <w:rPr>
          <w:rFonts w:ascii="Arial" w:cs="Arial" w:eastAsia="Arial" w:hAnsi="Arial"/>
          <w:sz w:val="22"/>
          <w:szCs w:val="22"/>
        </w:rPr>
        <w:t xml:space="preserve">The Fault Tree Analysis confirms that the primary safety invariant is structurally upheld by the design: the ADJUSTING state is only reachable from SIGNALING, SIGNALING is only reachable from TRANSITION_PENDING after the 5-frame threshold, and no code path exists that bypasses this chain. This structural enforcement means the E1 AND gate has one input (B1) that is permanently false by design, making MCS-1 non-credible.</w:t>
      </w:r>
    </w:p>
    <w:p>
      <w:pPr>
        <w:spacing w:after="80" w:before="80"/>
      </w:pPr>
      <w:r>
        <w:t xml:space="preserve"/>
      </w:r>
    </w:p>
    <w:p>
      <w:pPr>
        <w:spacing w:after="80" w:before="80" w:line="360"/>
      </w:pPr>
      <w:r>
        <w:rPr>
          <w:rFonts w:ascii="Arial" w:cs="Arial" w:eastAsia="Arial" w:hAnsi="Arial"/>
          <w:sz w:val="22"/>
          <w:szCs w:val="22"/>
        </w:rPr>
        <w:t xml:space="preserve">The E2 OR gate represents the operationally realistic risk path. Each of its three basic events (B3 user misses signal, B4 cancel fails, B5 false positive passes filter) is independently mitigated by design. No single mitigation failure produces the TUE from the E2 branch unless it combines with a countdown miss, which is independently addressed by the 10-second duration and dual cancel mechanisms.</w:t>
      </w:r>
    </w:p>
    <w:p>
      <w:pPr>
        <w:spacing w:after="80" w:before="80"/>
      </w:pPr>
      <w:r>
        <w:t xml:space="preserve"/>
      </w:r>
    </w:p>
    <w:p>
      <w:pPr>
        <w:spacing w:after="80" w:before="80" w:line="360"/>
      </w:pPr>
      <w:r>
        <w:rPr>
          <w:rFonts w:ascii="Arial" w:cs="Arial" w:eastAsia="Arial" w:hAnsi="Arial"/>
          <w:sz w:val="22"/>
          <w:szCs w:val="22"/>
        </w:rPr>
        <w:t xml:space="preserve">This analysis will be updated if: (1) the state machine design changes, (2) new approach modules are added that modify the signal emission path, or (3) physical desk actuation hardware is connected and introduces new failure modes.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2026-06-14T19:52:40.864Z</dcterms:created>
  <dcterms:modified xsi:type="dcterms:W3CDTF">2026-06-14T19:52:40.880Z</dcterms:modified>
</cp:coreProperties>
</file>

<file path=docProps/custom.xml><?xml version="1.0" encoding="utf-8"?>
<Properties xmlns="http://schemas.openxmlformats.org/officeDocument/2006/custom-properties" xmlns:vt="http://schemas.openxmlformats.org/officeDocument/2006/docPropsVTypes"/>
</file>