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Annotated Bibliography</w:t>
      </w:r>
    </w:p>
    <w:p>
      <w:pPr>
        <w:spacing w:after="200"/>
        <w:jc w:val="center"/>
      </w:pPr>
      <w:r>
        <w:rPr>
          <w:i/>
          <w:iCs/>
          <w:sz w:val="24"/>
          <w:szCs w:val="24"/>
        </w:rPr>
        <w:t xml:space="preserve">Camera-Based Posture Detection System for Smart Desk Automation</w:t>
      </w:r>
    </w:p>
    <w:p>
      <w:pPr>
        <w:jc w:val="center"/>
      </w:pPr>
      <w:r>
        <w:rPr>
          <w:sz w:val="20"/>
          <w:szCs w:val="20"/>
        </w:rPr>
        <w:t xml:space="preserve">Anand Singh  ·  MEng Robotics &amp; Intelligent Autonomous Systems  ·  University of Cincinnati</w:t>
      </w:r>
    </w:p>
    <w:p>
      <w:pPr>
        <w:spacing w:after="300"/>
        <w:jc w:val="center"/>
      </w:pPr>
      <w:r>
        <w:rPr>
          <w:sz w:val="20"/>
          <w:szCs w:val="20"/>
        </w:rPr>
        <w:t xml:space="preserve">singh7an@mail.uc.edu  ·  July 2026</w:t>
      </w:r>
    </w:p>
    <w:p>
      <w:pPr>
        <w:spacing w:after="300"/>
      </w:pPr>
      <w:r>
        <w:rPr>
          <w:i/>
          <w:iCs/>
          <w:sz w:val="20"/>
          <w:szCs w:val="20"/>
        </w:rPr>
        <w:t xml:space="preserve">Citations follow APA 7th edition. Sources are annotated per the UC Libraries guide (guides.libraries.uc.edu/annotated_bibliography). The capstone report itself uses IEEE numbered citations; the bracketed number after each entry maps to the report reference list.</w:t>
      </w:r>
    </w:p>
    <w:p>
      <w:pPr>
        <w:spacing w:after="100" w:before="200"/>
        <w:ind w:left="720" w:hanging="720"/>
      </w:pPr>
      <w:r>
        <w:rPr>
          <w:sz w:val="22"/>
          <w:szCs w:val="22"/>
        </w:rPr>
        <w:t xml:space="preserve">Biswas, A., Oh, P. I., Faulkner, G. E., Bajaj, R. R., Silver, M. A., Mitchell, M. S., &amp; Alter, D. A. (2015). Sedentary time and its association with risk for disease incidence, mortality, and hospitalization in adults: A systematic review and meta-analysis. Annals of Internal Medicine, 162(2), 123-132.  [Report ref. 1]</w:t>
      </w:r>
    </w:p>
    <w:p>
      <w:pPr>
        <w:spacing w:after="100"/>
      </w:pPr>
      <w:r>
        <w:rPr>
          <w:sz w:val="22"/>
          <w:szCs w:val="22"/>
        </w:rPr>
        <w:t xml:space="preserve">This systematic review and meta-analysis of 47 studies establishes the health case that motivates the entire project: prolonged sedentary time is associated with increased risk of cardiovascular disease, type 2 diabetes, cancer incidence, and all-cause mortality, independent of physical activity level. The independence finding is the critical point for desk automation — exercising outside work hours does not offset sitting during them, so reducing desk-based sitting itself has value. Cited in the Introduction to ground the problem statement in clinical evidence rather than ergonomic convention.</w:t>
      </w:r>
    </w:p>
    <w:p>
      <w:pPr>
        <w:spacing w:after="100" w:before="200"/>
        <w:ind w:left="720" w:hanging="720"/>
      </w:pPr>
      <w:r>
        <w:rPr>
          <w:sz w:val="22"/>
          <w:szCs w:val="22"/>
        </w:rPr>
        <w:t xml:space="preserve">Commissaris, D. A., Huysmans, M. A., Mathiassen, S. E., Srinivasan, D., Koppes, L. L., &amp; Hendriksen, I. J. (2016). Interventions to reduce sedentary behavior and increase physical activity during productive work: A systematic review. Scandinavian Journal of Work, Environment &amp; Health, 42(3), 181-191.  [Report ref. 2]</w:t>
      </w:r>
    </w:p>
    <w:p>
      <w:pPr>
        <w:spacing w:after="100"/>
      </w:pPr>
      <w:r>
        <w:rPr>
          <w:sz w:val="22"/>
          <w:szCs w:val="22"/>
        </w:rPr>
        <w:t xml:space="preserve">Reviews 40 workplace intervention studies and finds sit-stand desks are among the most effective interventions for reducing occupational sitting — but effectiveness depends on sustained use, which declines when transitions require deliberate effort. This adoption-friction finding is the direct justification for automation: the project's premise is that removing the manual adjustment step removes the primary barrier to sustained sit-stand behavior. Cited in the Introduction.</w:t>
      </w:r>
    </w:p>
    <w:p>
      <w:pPr>
        <w:spacing w:after="100" w:before="200"/>
        <w:ind w:left="720" w:hanging="720"/>
      </w:pPr>
      <w:r>
        <w:rPr>
          <w:sz w:val="22"/>
          <w:szCs w:val="22"/>
        </w:rPr>
        <w:t xml:space="preserve">Bazarevsky, V., Grishchenko, I., Raveendran, K., Zhu, T., Zhang, F., &amp; Grundmann, M. (2020). BlazePose: On-device real-time body pose tracking. arXiv:2006.10204.  [Report ref. 3]</w:t>
      </w:r>
    </w:p>
    <w:p>
      <w:pPr>
        <w:spacing w:after="100"/>
      </w:pPr>
      <w:r>
        <w:rPr>
          <w:sz w:val="22"/>
          <w:szCs w:val="22"/>
        </w:rPr>
        <w:t xml:space="preserve">Describes the 33-landmark pose estimation model underlying MediaPipe, the leading traditional approach evaluated and rejected in this project. The paper's own architecture explains the rejection: classification depends on hip and knee landmark geometry, and in a desk deployment those landmarks are systematically occluded by the desk surface at close range. Cited in Background Section 2.1 as the technical foundation for the landmark-occlusion argument that motivates the VLM approach.</w:t>
      </w:r>
    </w:p>
    <w:p>
      <w:pPr>
        <w:spacing w:after="100" w:before="200"/>
        <w:ind w:left="720" w:hanging="720"/>
      </w:pPr>
      <w:r>
        <w:rPr>
          <w:sz w:val="22"/>
          <w:szCs w:val="22"/>
        </w:rPr>
        <w:t xml:space="preserve">ISO/IEC/IEEE. (2018). Systems and software engineering — Life cycle management — Part 1: Guidelines for life cycle management (ISO/IEC/IEEE 24748-1:2018).  [Report ref. 4]</w:t>
      </w:r>
    </w:p>
    <w:p>
      <w:pPr>
        <w:spacing w:after="100"/>
      </w:pPr>
      <w:r>
        <w:rPr>
          <w:sz w:val="22"/>
          <w:szCs w:val="22"/>
        </w:rPr>
        <w:t xml:space="preserve">The international standard defining the system life cycle processes that the V-model methodology implements. Provides the authoritative basis for the verification/validation distinction applied in this project (CR-08): verification confirms the system meets the SRS; validation confirms the SRS captured the right user need. Cited in Methods Section 3.1 to anchor the project's process framework in a recognized standard.</w:t>
      </w:r>
    </w:p>
    <w:p>
      <w:pPr>
        <w:spacing w:after="100" w:before="200"/>
        <w:ind w:left="720" w:hanging="720"/>
      </w:pPr>
      <w:r>
        <w:rPr>
          <w:sz w:val="22"/>
          <w:szCs w:val="22"/>
        </w:rPr>
        <w:t xml:space="preserve">Cao, Z., Simon, T., Wei, S., &amp; Sheikh, Y. (2017). Realtime multi-person 2D pose estimation using part affinity fields. In Proceedings of the IEEE Conference on Computer Vision and Pattern Recognition (CVPR).  [Report ref. 5]</w:t>
      </w:r>
    </w:p>
    <w:p>
      <w:pPr>
        <w:spacing w:after="100"/>
      </w:pPr>
      <w:r>
        <w:rPr>
          <w:sz w:val="22"/>
          <w:szCs w:val="22"/>
        </w:rPr>
        <w:t xml:space="preserve">The OpenPose paper — the second traditional pose estimation approach evaluated. Its part-affinity-field method handles multi-person scenes better than BlazePose but shares the same fundamental dependency on lower-body keypoint visibility, and adds GPU requirements that conflict with the project's accessibility goals. Cited in Background Section 2.2 as part of the documented technology selection rationale.</w:t>
      </w:r>
    </w:p>
    <w:p>
      <w:pPr>
        <w:spacing w:after="100" w:before="200"/>
        <w:ind w:left="720" w:hanging="720"/>
      </w:pPr>
      <w:r>
        <w:rPr>
          <w:sz w:val="22"/>
          <w:szCs w:val="22"/>
        </w:rPr>
        <w:t xml:space="preserve">Ollama. (2024). Ollama: Get up and running with large language models locally. https://ollama.ai  [Report ref. 6]</w:t>
      </w:r>
    </w:p>
    <w:p>
      <w:pPr>
        <w:spacing w:after="100"/>
      </w:pPr>
      <w:r>
        <w:rPr>
          <w:sz w:val="22"/>
          <w:szCs w:val="22"/>
        </w:rPr>
        <w:t xml:space="preserve">Documentation for the model-serving runtime used for both Gemma 4 deployments (26B on EC2, E4B locally). Relevant because Ollama's GPU offloading behavior and Modelfile configuration directly determine the latency figures reported in Results — the gemma4-26b-a100 Modelfile with CUDA acceleration is what makes the 1,855 ms NFR-001 result achievable. A grey-literature source, but the operative technical reference for reproducing the deployment.</w:t>
      </w:r>
    </w:p>
    <w:p>
      <w:pPr>
        <w:spacing w:after="100" w:before="200"/>
        <w:ind w:left="720" w:hanging="720"/>
      </w:pPr>
      <w:r>
        <w:rPr>
          <w:sz w:val="22"/>
          <w:szCs w:val="22"/>
        </w:rPr>
        <w:t xml:space="preserve">INCOSE. (2023). Systems engineering handbook: A guide for system life cycle processes and activities (5th ed.). Wiley.  [Report ref. 7]</w:t>
      </w:r>
    </w:p>
    <w:p>
      <w:pPr>
        <w:spacing w:after="100"/>
      </w:pPr>
      <w:r>
        <w:rPr>
          <w:sz w:val="22"/>
          <w:szCs w:val="22"/>
        </w:rPr>
        <w:t xml:space="preserve">The systems engineering reference used to structure the project's work packages, requirements traceability, and integrated risk management. Its guidance that FTA and FMEA are complementary (top-down deductive vs. bottom-up inductive) drove change request CR-07, which added the fault tree analysis after the FMEA revealed a coverage gap on the primary safety invariant. Cited in Methods Section 3.1.</w:t>
      </w:r>
    </w:p>
    <w:p>
      <w:pPr>
        <w:spacing w:after="100" w:before="200"/>
        <w:ind w:left="720" w:hanging="720"/>
      </w:pPr>
      <w:r>
        <w:rPr>
          <w:sz w:val="22"/>
          <w:szCs w:val="22"/>
        </w:rPr>
        <w:t xml:space="preserve">U.S. Department of Defense. (1980). Procedures for performing a failure mode, effects and criticality analysis (MIL-STD-1629A).  [Report ref. 8]</w:t>
      </w:r>
    </w:p>
    <w:p>
      <w:pPr>
        <w:spacing w:after="100"/>
      </w:pPr>
      <w:r>
        <w:rPr>
          <w:sz w:val="22"/>
          <w:szCs w:val="22"/>
        </w:rPr>
        <w:t xml:space="preserve">The originating standard for FMEA methodology, defining the severity/occurrence/detection framework adapted in WP3.0. Used to structure the 29-failure-mode analysis whose highest-severity entries are summarized in report Appendix G. Its practical value was demonstrated when the hardware failure group it flagged as high-severity directed the T6 fault-injection testing that found three real camera lifecycle bugs.</w:t>
      </w:r>
    </w:p>
    <w:p>
      <w:pPr>
        <w:spacing w:after="100" w:before="200"/>
        <w:ind w:left="720" w:hanging="720"/>
      </w:pPr>
      <w:r>
        <w:rPr>
          <w:sz w:val="22"/>
          <w:szCs w:val="22"/>
        </w:rPr>
        <w:t xml:space="preserve">International Electrotechnical Commission. (2006). Fault tree analysis (FTA) (IEC 61025).  [Report ref. 9]</w:t>
      </w:r>
    </w:p>
    <w:p>
      <w:pPr>
        <w:spacing w:after="100"/>
      </w:pPr>
      <w:r>
        <w:rPr>
          <w:sz w:val="22"/>
          <w:szCs w:val="22"/>
        </w:rPr>
        <w:t xml:space="preserve">The standard governing fault tree construction, gate logic, and minimum cut set analysis, applied in WP2.3. The four minimum cut sets it produced (report Appendix G, Table G1) define the complete set of paths to the top undesired event, and MCS-1 became the safety invariant verified structurally in reliability test T1. Cited in Methods Section 3.1.</w:t>
      </w:r>
    </w:p>
    <w:p>
      <w:pPr>
        <w:spacing w:after="100" w:before="200"/>
        <w:ind w:left="720" w:hanging="720"/>
      </w:pPr>
      <w:r>
        <w:rPr>
          <w:sz w:val="22"/>
          <w:szCs w:val="22"/>
        </w:rPr>
        <w:t xml:space="preserve">IEEE. (1998). Recommended practice for software requirements specifications (IEEE Std 830-1998).  [Report ref. 10]</w:t>
      </w:r>
    </w:p>
    <w:p>
      <w:pPr>
        <w:spacing w:after="100"/>
      </w:pPr>
      <w:r>
        <w:rPr>
          <w:sz w:val="22"/>
          <w:szCs w:val="22"/>
        </w:rPr>
        <w:t xml:space="preserve">The reference practice used to structure the project SRS: functional and non-functional requirement separation, verifiability criteria, and the numbered requirement scheme (NFR-001 through NFR-018) that enables the traceability matrix in report Appendix E. Superseded by ISO/IEC/IEEE 29148 but retained as the more widely recognized citation for SRS structure.</w:t>
      </w:r>
    </w:p>
    <w:p>
      <w:pPr>
        <w:spacing w:after="100" w:before="200"/>
        <w:ind w:left="720" w:hanging="720"/>
      </w:pPr>
      <w:r>
        <w:rPr>
          <w:sz w:val="22"/>
          <w:szCs w:val="22"/>
        </w:rPr>
        <w:t xml:space="preserve">Anthropic. (2024). Claude API documentation. https://anthropic.com  [Report ref. 11]</w:t>
      </w:r>
    </w:p>
    <w:p>
      <w:pPr>
        <w:spacing w:after="100"/>
      </w:pPr>
      <w:r>
        <w:rPr>
          <w:sz w:val="22"/>
          <w:szCs w:val="22"/>
        </w:rPr>
        <w:t xml:space="preserve">API documentation for the cloud inference approach (claude-sonnet-4-6). Defines the vision request format, image encoding requirements, and published pricing used in the operational cost analysis (Discussion Section 5.1): approximately $7-10 per hour at 1 fps continuous operation. Grey literature, but the authoritative source for the cost and interface claims made in the report.</w:t>
      </w:r>
    </w:p>
    <w:p>
      <w:pPr>
        <w:spacing w:after="100" w:before="200"/>
        <w:ind w:left="720" w:hanging="720"/>
      </w:pPr>
      <w:r>
        <w:rPr>
          <w:sz w:val="22"/>
          <w:szCs w:val="22"/>
        </w:rPr>
        <w:t xml:space="preserve">Google DeepMind. (2026). Gemma 4 technical report. https://deepmind.google  [Report ref. 12]</w:t>
      </w:r>
    </w:p>
    <w:p>
      <w:pPr>
        <w:spacing w:after="100"/>
      </w:pPr>
      <w:r>
        <w:rPr>
          <w:sz w:val="22"/>
          <w:szCs w:val="22"/>
        </w:rPr>
        <w:t xml:space="preserve">The model card and technical report for the Gemma 4 family used in both local approaches. Documents the mixture-of-experts architecture (approximately 5B active parameters per forward pass on the 26B model) that explains the latency result in Results Section 4.2, the Apache 2.0 license that enabled unrestricted deployment (a deciding factor in CR-05 over Qwen2.5-VL), and the E4B variant specifications underlying the mobile deployment path added in CR-04.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2026-08-30T17:51:27.909Z</dcterms:created>
  <dcterms:modified xsi:type="dcterms:W3CDTF">2026-08-30T17:51:27.923Z</dcterms:modified>
</cp:coreProperties>
</file>

<file path=docProps/custom.xml><?xml version="1.0" encoding="utf-8"?>
<Properties xmlns="http://schemas.openxmlformats.org/officeDocument/2006/custom-properties" xmlns:vt="http://schemas.openxmlformats.org/officeDocument/2006/docPropsVTypes"/>
</file>