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3C2F598A" w:rsidR="00FC0C48" w:rsidRPr="00B907E9" w:rsidRDefault="000D5A1A" w:rsidP="00036E7D">
      <w:r w:rsidRPr="00B907E9">
        <w:t>S</w:t>
      </w:r>
      <w:r w:rsidR="001C274A">
        <w:t>ix</w:t>
      </w:r>
      <w:r w:rsidRPr="00B907E9">
        <w:t xml:space="preserve"> years of Indian bankruptcy laws: S</w:t>
      </w:r>
      <w:r w:rsidR="001C274A">
        <w:t>ome</w:t>
      </w:r>
      <w:r w:rsidRPr="00B907E9">
        <w:t xml:space="preserve"> stylized facts</w:t>
      </w:r>
    </w:p>
    <w:p w14:paraId="5A54B545" w14:textId="30B50355" w:rsidR="000D5A1A" w:rsidRDefault="005F702E" w:rsidP="00036E7D">
      <w:r w:rsidRPr="005F702E">
        <w:t>Abstract</w:t>
      </w:r>
    </w:p>
    <w:p w14:paraId="27FDB2A1" w14:textId="44A41774" w:rsidR="006B2B62" w:rsidRDefault="005F702E" w:rsidP="00036E7D">
      <w:pPr>
        <w:rPr>
          <w:lang w:val="en-US"/>
        </w:rPr>
      </w:pPr>
      <w:r w:rsidRPr="005F702E">
        <w:t xml:space="preserve">We present some stylized facts </w:t>
      </w:r>
      <w:r w:rsidR="006E5903">
        <w:t>from</w:t>
      </w:r>
      <w:r w:rsidRPr="005F702E">
        <w:t xml:space="preserve"> data on insolvency and bankruptcy proceedings in India, post the </w:t>
      </w:r>
      <w:r>
        <w:t>la</w:t>
      </w:r>
      <w:r w:rsidRPr="005F702E">
        <w:t>test</w:t>
      </w:r>
      <w:r>
        <w:t xml:space="preserve"> bankruptcy law, passed in 2016.</w:t>
      </w:r>
      <w:r w:rsidR="006B2B62">
        <w:t xml:space="preserve">. Specifically, </w:t>
      </w:r>
      <w:r w:rsidR="00A31169">
        <w:rPr>
          <w:lang w:val="en-US"/>
        </w:rPr>
        <w:t>for</w:t>
      </w:r>
      <w:r w:rsidR="00A31169">
        <w:rPr>
          <w:lang w:val="en-US"/>
        </w:rPr>
        <w:t xml:space="preserve"> the period between December 2016 and December 2022</w:t>
      </w:r>
      <w:r w:rsidR="00A31169">
        <w:rPr>
          <w:lang w:val="en-US"/>
        </w:rPr>
        <w:t xml:space="preserve">. </w:t>
      </w:r>
      <w:r w:rsidR="006B2B62">
        <w:t xml:space="preserve">we </w:t>
      </w:r>
      <w:r w:rsidR="00DC0782">
        <w:t>report</w:t>
      </w:r>
      <w:r w:rsidR="006B2B62">
        <w:t xml:space="preserve"> </w:t>
      </w:r>
      <w:r w:rsidR="006B2B62" w:rsidRPr="00211C51">
        <w:t xml:space="preserve">that </w:t>
      </w:r>
      <w:r w:rsidR="00211C51" w:rsidRPr="00A31169">
        <w:rPr>
          <w:highlight w:val="green"/>
        </w:rPr>
        <w:t>30.68</w:t>
      </w:r>
      <w:r w:rsidRPr="00A31169">
        <w:rPr>
          <w:highlight w:val="green"/>
        </w:rPr>
        <w:t>%</w:t>
      </w:r>
      <w:r w:rsidRPr="00B50CD0">
        <w:t xml:space="preserve"> of the </w:t>
      </w:r>
      <w:r w:rsidR="00A31169">
        <w:t xml:space="preserve">6195 </w:t>
      </w:r>
      <w:r w:rsidR="002B4E47">
        <w:t>insolvency proceedings</w:t>
      </w:r>
      <w:r w:rsidRPr="00B50CD0">
        <w:t xml:space="preserve"> end</w:t>
      </w:r>
      <w:r w:rsidR="002B4E47">
        <w:t>ed</w:t>
      </w:r>
      <w:r w:rsidRPr="00B50CD0">
        <w:t xml:space="preserve"> up in liquidation; </w:t>
      </w:r>
      <w:r w:rsidR="006B2B62">
        <w:t xml:space="preserve">recoveries for creditors </w:t>
      </w:r>
      <w:r w:rsidR="00211C51">
        <w:t xml:space="preserve">(overall) </w:t>
      </w:r>
      <w:r w:rsidR="006B2B62">
        <w:t>did not exceed</w:t>
      </w:r>
      <w:r w:rsidRPr="00B50CD0">
        <w:t xml:space="preserve"> </w:t>
      </w:r>
      <w:r w:rsidR="005C5627" w:rsidRPr="005C5627">
        <w:t>3</w:t>
      </w:r>
      <w:r w:rsidR="006C4440">
        <w:t>4</w:t>
      </w:r>
      <w:r w:rsidR="00211C51">
        <w:t xml:space="preserve"> per cent</w:t>
      </w:r>
      <w:r w:rsidRPr="00B50CD0">
        <w:t xml:space="preserve"> of the </w:t>
      </w:r>
      <w:r w:rsidR="006B2B62">
        <w:t>admitted claims</w:t>
      </w:r>
      <w:r w:rsidR="006C4440">
        <w:t>.</w:t>
      </w:r>
      <w:r w:rsidR="006C4440">
        <w:rPr>
          <w:lang w:val="en-US"/>
        </w:rPr>
        <w:t xml:space="preserve"> </w:t>
      </w:r>
      <w:r w:rsidR="00211C51">
        <w:rPr>
          <w:lang w:val="en-US"/>
        </w:rPr>
        <w:t xml:space="preserve">Recovery for </w:t>
      </w:r>
      <w:r w:rsidR="006C4440">
        <w:rPr>
          <w:lang w:val="en-US"/>
        </w:rPr>
        <w:t xml:space="preserve">financial creditors was 37.60 per cent. </w:t>
      </w:r>
      <w:r w:rsidR="00211C51">
        <w:t xml:space="preserve">Our findings  are in line with </w:t>
      </w:r>
      <w:proofErr w:type="spellStart"/>
      <w:r w:rsidR="00211C51">
        <w:rPr>
          <w:lang w:val="en-US"/>
        </w:rPr>
        <w:t>Djankov</w:t>
      </w:r>
      <w:proofErr w:type="spellEnd"/>
      <w:r w:rsidR="00211C51">
        <w:rPr>
          <w:lang w:val="en-US"/>
        </w:rPr>
        <w:t xml:space="preserve"> et al. (</w:t>
      </w:r>
      <w:r w:rsidR="00211C51">
        <w:rPr>
          <w:color w:val="0000FF"/>
          <w:lang w:val="en-US"/>
        </w:rPr>
        <w:t>2008</w:t>
      </w:r>
      <w:r w:rsidR="00211C51">
        <w:rPr>
          <w:lang w:val="en-US"/>
        </w:rPr>
        <w:t xml:space="preserve">), </w:t>
      </w:r>
      <w:proofErr w:type="spellStart"/>
      <w:r w:rsidR="00211C51">
        <w:rPr>
          <w:lang w:val="en-US"/>
        </w:rPr>
        <w:t>Succurro</w:t>
      </w:r>
      <w:proofErr w:type="spellEnd"/>
      <w:r w:rsidR="00211C51">
        <w:rPr>
          <w:lang w:val="en-US"/>
        </w:rPr>
        <w:t xml:space="preserve"> (2012) and </w:t>
      </w:r>
      <w:r w:rsidR="00211C51" w:rsidRPr="00211C51">
        <w:t>Camacho-</w:t>
      </w:r>
      <w:proofErr w:type="spellStart"/>
      <w:r w:rsidR="00211C51" w:rsidRPr="00211C51">
        <w:t>Miñano</w:t>
      </w:r>
      <w:proofErr w:type="spellEnd"/>
      <w:r w:rsidR="00211C51" w:rsidRPr="00211C51">
        <w:t xml:space="preserve"> (2013)</w:t>
      </w:r>
      <w:r w:rsidR="00211C51">
        <w:rPr>
          <w:rFonts w:ascii="Times New Roman" w:hAnsi="Times New Roman" w:cs="Times New Roman"/>
          <w:i/>
          <w:iCs/>
          <w:lang w:val="en-US"/>
        </w:rPr>
        <w:t xml:space="preserve">. </w:t>
      </w:r>
      <w:r w:rsidR="00392973">
        <w:rPr>
          <w:lang w:val="en-US"/>
        </w:rPr>
        <w:t xml:space="preserve">We </w:t>
      </w:r>
      <w:r w:rsidR="00A31169">
        <w:rPr>
          <w:lang w:val="en-US"/>
        </w:rPr>
        <w:t xml:space="preserve">further examine </w:t>
      </w:r>
      <w:r w:rsidR="00211C51">
        <w:rPr>
          <w:lang w:val="en-US"/>
        </w:rPr>
        <w:t xml:space="preserve">data on </w:t>
      </w:r>
      <w:r w:rsidR="00A31169">
        <w:rPr>
          <w:lang w:val="en-US"/>
        </w:rPr>
        <w:t xml:space="preserve">ease of </w:t>
      </w:r>
      <w:r w:rsidR="00596F28">
        <w:rPr>
          <w:lang w:val="en-US"/>
        </w:rPr>
        <w:t>access to the insolvency platform. We report that financial creditors’ have reduced their dependence on the statutory bankruptcy platform whereas operational creditors have increased their reliance. As a consequence, the amounts of admitted claims in litigation show a strong positive skew.</w:t>
      </w:r>
      <w:r w:rsidR="006856FE">
        <w:rPr>
          <w:lang w:val="en-US"/>
        </w:rPr>
        <w:t xml:space="preserve"> </w:t>
      </w:r>
      <w:r w:rsidR="00F3295B">
        <w:rPr>
          <w:lang w:val="en-US"/>
        </w:rPr>
        <w:t xml:space="preserve">We posit the measure of ease of access to bankruptcy resolution platforms is a robust measure of </w:t>
      </w:r>
      <w:r w:rsidR="006856FE">
        <w:rPr>
          <w:lang w:val="en-US"/>
        </w:rPr>
        <w:t xml:space="preserve">of </w:t>
      </w:r>
      <w:r w:rsidR="006856FE">
        <w:rPr>
          <w:i/>
          <w:lang w:val="en-US"/>
        </w:rPr>
        <w:t xml:space="preserve">ex post </w:t>
      </w:r>
      <w:r w:rsidR="006856FE">
        <w:rPr>
          <w:lang w:val="en-US"/>
        </w:rPr>
        <w:t xml:space="preserve"> efficiency of bankruptcy laws,</w:t>
      </w:r>
      <w:r w:rsidR="00F3295B">
        <w:rPr>
          <w:lang w:val="en-US"/>
        </w:rPr>
        <w:t xml:space="preserve"> even though the small amounts in litigation may overwhelm the judicial infrastructure, and lead to delays in closure of insolvency proceedings.</w:t>
      </w:r>
    </w:p>
    <w:p w14:paraId="662495EE" w14:textId="77777777" w:rsidR="00F3295B" w:rsidRDefault="00F3295B" w:rsidP="00036E7D"/>
    <w:p w14:paraId="33E47A14" w14:textId="77777777" w:rsidR="00621A61" w:rsidRDefault="006B2B62" w:rsidP="00036E7D">
      <w:r w:rsidRPr="00B907E9">
        <w:t xml:space="preserve"> </w:t>
      </w:r>
      <w:r w:rsidR="000D5A1A" w:rsidRPr="00B907E9">
        <w:t>Some stylized facts</w:t>
      </w:r>
    </w:p>
    <w:p w14:paraId="103BE5F8" w14:textId="4087C6DA" w:rsidR="000D5A1A" w:rsidRPr="00B907E9" w:rsidRDefault="000D5A1A" w:rsidP="00036E7D">
      <w:r w:rsidRPr="00B907E9">
        <w:t xml:space="preserve"> </w:t>
      </w:r>
      <w:r w:rsidRPr="00B907E9">
        <w:tab/>
        <w:t xml:space="preserve">Access to bankruptcy platforms: </w:t>
      </w:r>
    </w:p>
    <w:p w14:paraId="6E2ABC99" w14:textId="7B413930" w:rsidR="000D5A1A" w:rsidRPr="00B907E9" w:rsidRDefault="000D5A1A" w:rsidP="00036E7D">
      <w:pPr>
        <w:pStyle w:val="ListParagraph"/>
        <w:numPr>
          <w:ilvl w:val="2"/>
          <w:numId w:val="1"/>
        </w:numPr>
      </w:pPr>
      <w:r w:rsidRPr="00B907E9">
        <w:t>by initiator FC/OC/CD&lt;by year&gt;</w:t>
      </w:r>
    </w:p>
    <w:p w14:paraId="22AB845B" w14:textId="5D26D406" w:rsidR="000D5A1A" w:rsidRPr="00B907E9" w:rsidRDefault="000D5A1A" w:rsidP="00036E7D">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036E7D"/>
    <w:p w14:paraId="2364B5F5" w14:textId="77777777" w:rsidR="001A13AB" w:rsidRPr="00B907E9" w:rsidRDefault="001A13AB" w:rsidP="00036E7D"/>
    <w:p w14:paraId="17F8BF2B" w14:textId="075DF32B" w:rsidR="000D5A1A" w:rsidRPr="00B907E9" w:rsidRDefault="00400409" w:rsidP="00036E7D">
      <w:r w:rsidRPr="00B907E9">
        <w:t>begin</w:t>
      </w:r>
    </w:p>
    <w:p w14:paraId="428B35FB" w14:textId="77777777" w:rsidR="00DB104E" w:rsidRPr="00B907E9" w:rsidRDefault="00DB104E" w:rsidP="00036E7D">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036E7D"/>
    <w:p w14:paraId="4066A691" w14:textId="68B89A41" w:rsidR="00811689" w:rsidRPr="00B907E9" w:rsidRDefault="00F81351" w:rsidP="00036E7D">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036E7D">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036E7D">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036E7D">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036E7D"/>
    <w:p w14:paraId="134D934E" w14:textId="46654FDA" w:rsidR="001A13AB" w:rsidRPr="00B907E9" w:rsidRDefault="001A13AB" w:rsidP="00036E7D">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036E7D">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036E7D"/>
    <w:p w14:paraId="632F44E1" w14:textId="77542792" w:rsidR="00EF20C5" w:rsidRPr="00B907E9" w:rsidRDefault="00657FD4" w:rsidP="00036E7D">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036E7D">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036E7D">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036E7D">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036E7D">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036E7D">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036E7D">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036E7D">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036E7D">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036E7D">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036E7D">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036E7D">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036E7D">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036E7D">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036E7D">
      <w:pPr>
        <w:rPr>
          <w:rFonts w:ascii="Times New Roman" w:hAnsi="Times New Roman" w:cs="Times New Roman"/>
        </w:rPr>
      </w:pPr>
      <w:r w:rsidRPr="00B907E9">
        <w:t>India has</w:t>
      </w:r>
      <w:r w:rsidR="003E32DB" w:rsidRPr="00B907E9">
        <w:t xml:space="preserve"> inherited the common law provisions in English The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036E7D">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036E7D">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036E7D">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036E7D">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036E7D"/>
    <w:p w14:paraId="11A474DA" w14:textId="70DB3FE4" w:rsidR="00F641AD" w:rsidRPr="00B907E9" w:rsidRDefault="00F641AD" w:rsidP="00036E7D">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036E7D">
      <w:r w:rsidRPr="00B907E9">
        <w:t>The intention of Indian Parliament is clearly enunciated in the preamble of the Insolvency and Bankruptcy Code 2016:</w:t>
      </w:r>
    </w:p>
    <w:p w14:paraId="0EC16A11" w14:textId="6B9BA0C6" w:rsidR="00BD2B56" w:rsidRPr="00B907E9" w:rsidRDefault="008E248E" w:rsidP="00036E7D">
      <w:r w:rsidRPr="00B907E9">
        <w:t>"An Act to consolidate and amend the laws relating to reorganisation and insolvency resolution of corporate persons, partnership firms and individuals in a time bound manner for maximisation of value of assets of such persons, to promote entrepreneurship, availability of credit and balance the interests of all the stakeholders."</w:t>
      </w:r>
    </w:p>
    <w:p w14:paraId="04A013D5" w14:textId="0C259691" w:rsidR="007D771E" w:rsidRPr="00B907E9" w:rsidRDefault="007D771E" w:rsidP="00036E7D"/>
    <w:p w14:paraId="190DF765" w14:textId="5B85E5D7" w:rsidR="007D771E" w:rsidRPr="00B907E9" w:rsidRDefault="00922F31" w:rsidP="00036E7D">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036E7D">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036E7D">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036E7D">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036E7D">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036E7D">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036E7D">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036E7D">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036E7D">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036E7D">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036E7D">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036E7D">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036E7D">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036E7D">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(\cite{</w:t>
      </w:r>
      <w:proofErr w:type="spellStart"/>
      <w:r>
        <w:rPr>
          <w:lang w:val="en-US"/>
        </w:rPr>
        <w:t>Couwenberg</w:t>
      </w:r>
      <w:proofErr w:type="spellEnd"/>
      <w:r>
        <w:rPr>
          <w:lang w:val="en-US"/>
        </w:rPr>
        <w:t xml:space="preserve"> </w:t>
      </w:r>
      <w:r>
        <w:rPr>
          <w:color w:val="0000FF"/>
          <w:lang w:val="en-US"/>
        </w:rPr>
        <w:t>2008</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036E7D">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036E7D">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036E7D"/>
    <w:p w14:paraId="57BD3442" w14:textId="7B61D610" w:rsidR="00CA2159" w:rsidRPr="00CA2159" w:rsidRDefault="00CE77AC" w:rsidP="00036E7D">
      <w:pPr>
        <w:pStyle w:val="Heading2"/>
      </w:pPr>
      <w:r w:rsidRPr="00B907E9">
        <w:t>4. Some stylized fact</w:t>
      </w:r>
      <w:r w:rsidR="002B23D2">
        <w:t>s</w:t>
      </w:r>
    </w:p>
    <w:p w14:paraId="58192440" w14:textId="638DF357" w:rsidR="000811D3" w:rsidRDefault="000811D3" w:rsidP="00036E7D">
      <w:pPr>
        <w:rPr>
          <w:lang w:val="en-US"/>
        </w:rPr>
      </w:pPr>
      <w:r w:rsidRPr="00116235">
        <w:rPr>
          <w:lang w:val="en-US"/>
        </w:rPr>
        <w:t xml:space="preserve">In respect of the bankruptcy law procedures, there is no </w:t>
      </w:r>
      <w:r>
        <w:rPr>
          <w:lang w:val="en-US"/>
        </w:rPr>
        <w:t xml:space="preserve">one-size-fits-all </w:t>
      </w:r>
      <w:r w:rsidRPr="00116235">
        <w:rPr>
          <w:lang w:val="en-US"/>
        </w:rPr>
        <w:t xml:space="preserve">approach to the efficiency </w:t>
      </w:r>
      <w:r w:rsidR="001B22F5">
        <w:rPr>
          <w:lang w:val="en-US"/>
        </w:rPr>
        <w:t>measures</w:t>
      </w:r>
      <w:r w:rsidRPr="00116235">
        <w:rPr>
          <w:lang w:val="en-US"/>
        </w:rPr>
        <w:t xml:space="preserve">. The reference point for efficiency can take the form of market value or market oriented procedures </w:t>
      </w:r>
      <w:r w:rsidR="001B22F5">
        <w:rPr>
          <w:lang w:val="en-US"/>
        </w:rPr>
        <w:t>\cite{</w:t>
      </w:r>
      <w:proofErr w:type="spellStart"/>
      <w:r w:rsidRPr="00116235">
        <w:rPr>
          <w:lang w:val="en-US"/>
        </w:rPr>
        <w:t>Thorburn</w:t>
      </w:r>
      <w:r w:rsidRPr="00116235">
        <w:rPr>
          <w:color w:val="0000FF"/>
          <w:lang w:val="en-US"/>
        </w:rPr>
        <w:t>2000</w:t>
      </w:r>
      <w:proofErr w:type="spellEnd"/>
      <w:r w:rsidR="001B22F5">
        <w:rPr>
          <w:color w:val="0000FF"/>
          <w:lang w:val="en-US"/>
        </w:rPr>
        <w:t>}</w:t>
      </w:r>
      <w:r w:rsidRPr="00116235">
        <w:rPr>
          <w:lang w:val="en-US"/>
        </w:rPr>
        <w:t xml:space="preserve">, time, cost, and recovery rate of the procedure </w:t>
      </w:r>
      <w:r w:rsidR="001B22F5">
        <w:rPr>
          <w:lang w:val="en-US"/>
        </w:rPr>
        <w:t>\cite{</w:t>
      </w:r>
      <w:proofErr w:type="spellStart"/>
      <w:r w:rsidRPr="00116235">
        <w:rPr>
          <w:lang w:val="en-US"/>
        </w:rPr>
        <w:t>Succurro</w:t>
      </w:r>
      <w:r w:rsidRPr="00116235">
        <w:rPr>
          <w:color w:val="0000FF"/>
          <w:lang w:val="en-US"/>
        </w:rPr>
        <w:t>2012</w:t>
      </w:r>
      <w:proofErr w:type="spellEnd"/>
      <w:r w:rsidR="001B22F5">
        <w:rPr>
          <w:lang w:val="en-US"/>
        </w:rPr>
        <w:t>}.</w:t>
      </w:r>
    </w:p>
    <w:p w14:paraId="34CDAED2" w14:textId="1E0E15F2" w:rsidR="00E94613" w:rsidRDefault="005A4E9A" w:rsidP="00036E7D">
      <w:pPr>
        <w:rPr>
          <w:lang w:val="en-US"/>
        </w:rPr>
      </w:pPr>
      <w:r>
        <w:rPr>
          <w:lang w:val="en-US"/>
        </w:rPr>
        <w:t xml:space="preserve">The World Bank </w:t>
      </w:r>
      <w:r w:rsidRPr="006A516E">
        <w:rPr>
          <w:i/>
          <w:lang w:val="en-US"/>
        </w:rPr>
        <w:t>Doing Business</w:t>
      </w:r>
      <w:r>
        <w:rPr>
          <w:lang w:val="en-US"/>
        </w:rPr>
        <w:t xml:space="preserve"> </w:t>
      </w:r>
      <w:r w:rsidR="006A516E">
        <w:rPr>
          <w:i/>
          <w:iCs/>
          <w:shd w:val="clear" w:color="auto" w:fill="FFFFFF"/>
        </w:rPr>
        <w:t xml:space="preserve">Report </w:t>
      </w:r>
      <w:r w:rsidR="006A516E">
        <w:rPr>
          <w:shd w:val="clear" w:color="auto" w:fill="FFFFFF"/>
        </w:rPr>
        <w:t>(2020)—since discontinued--reports</w:t>
      </w:r>
      <w:r w:rsidR="006A516E" w:rsidRPr="006A516E">
        <w:rPr>
          <w:shd w:val="clear" w:color="auto" w:fill="FFFFFF"/>
        </w:rPr>
        <w:t xml:space="preserve"> the time, cost and outcome of insolvency proceedings involving domestic legal entities</w:t>
      </w:r>
      <w:r w:rsidR="006A516E">
        <w:rPr>
          <w:shd w:val="clear" w:color="auto" w:fill="FFFFFF"/>
        </w:rPr>
        <w:t xml:space="preserve">. </w:t>
      </w:r>
      <w:r w:rsidR="00DE4E60">
        <w:rPr>
          <w:lang w:val="en-US"/>
        </w:rPr>
        <w:t xml:space="preserve"> It </w:t>
      </w:r>
      <w:r>
        <w:rPr>
          <w:lang w:val="en-US"/>
        </w:rPr>
        <w:t xml:space="preserve">notes reforms relating to introduction or shortening time limits on bankruptcy procedures as positive reform. To the </w:t>
      </w:r>
      <w:proofErr w:type="spellStart"/>
      <w:r>
        <w:rPr>
          <w:lang w:val="en-US"/>
        </w:rPr>
        <w:t>Succur</w:t>
      </w:r>
      <w:r w:rsidR="00C8486A">
        <w:rPr>
          <w:lang w:val="en-US"/>
        </w:rPr>
        <w:t>r</w:t>
      </w:r>
      <w:r>
        <w:rPr>
          <w:lang w:val="en-US"/>
        </w:rPr>
        <w:t>o</w:t>
      </w:r>
      <w:proofErr w:type="spellEnd"/>
      <w:r>
        <w:rPr>
          <w:lang w:val="en-US"/>
        </w:rPr>
        <w:t xml:space="preserve"> (2012) metrics, we add </w:t>
      </w:r>
      <w:r w:rsidR="001B22F5">
        <w:rPr>
          <w:lang w:val="en-US"/>
        </w:rPr>
        <w:t>two innovative measures: (</w:t>
      </w:r>
      <w:proofErr w:type="spellStart"/>
      <w:r w:rsidR="001B22F5">
        <w:rPr>
          <w:lang w:val="en-US"/>
        </w:rPr>
        <w:t>i</w:t>
      </w:r>
      <w:proofErr w:type="spellEnd"/>
      <w:r w:rsidR="001B22F5">
        <w:rPr>
          <w:lang w:val="en-US"/>
        </w:rPr>
        <w:t xml:space="preserve">) access </w:t>
      </w:r>
      <w:r w:rsidR="001F18D8">
        <w:rPr>
          <w:lang w:val="en-US"/>
        </w:rPr>
        <w:t>efficiency</w:t>
      </w:r>
      <w:r w:rsidR="002B23D2">
        <w:rPr>
          <w:lang w:val="en-US"/>
        </w:rPr>
        <w:t xml:space="preserve"> as a measure of ease of access to the </w:t>
      </w:r>
      <w:r w:rsidR="001B22F5">
        <w:rPr>
          <w:lang w:val="en-US"/>
        </w:rPr>
        <w:t xml:space="preserve">initiator of insolvency proceedings and (ii) </w:t>
      </w:r>
      <w:r w:rsidR="00C8486A">
        <w:rPr>
          <w:lang w:val="en-US"/>
        </w:rPr>
        <w:t xml:space="preserve">market participation </w:t>
      </w:r>
      <w:r w:rsidR="002B23D2">
        <w:rPr>
          <w:lang w:val="en-US"/>
        </w:rPr>
        <w:t xml:space="preserve">efficiency as a measure of market participation </w:t>
      </w:r>
      <w:r w:rsidR="00C8486A">
        <w:rPr>
          <w:lang w:val="en-US"/>
        </w:rPr>
        <w:t xml:space="preserve">in the </w:t>
      </w:r>
      <w:r w:rsidR="002B23D2">
        <w:rPr>
          <w:lang w:val="en-US"/>
        </w:rPr>
        <w:t xml:space="preserve">bankruptcy liquidation </w:t>
      </w:r>
      <w:r w:rsidR="00C8486A">
        <w:rPr>
          <w:lang w:val="en-US"/>
        </w:rPr>
        <w:t>proceedings</w:t>
      </w:r>
      <w:r w:rsidR="003101EE">
        <w:rPr>
          <w:lang w:val="en-US"/>
        </w:rPr>
        <w:t>.</w:t>
      </w:r>
      <w:r w:rsidR="002B23D2">
        <w:rPr>
          <w:lang w:val="en-US"/>
        </w:rPr>
        <w:t xml:space="preserve"> </w:t>
      </w:r>
      <w:r w:rsidR="002B23D2" w:rsidRPr="002B23D2">
        <w:rPr>
          <w:highlight w:val="cyan"/>
          <w:lang w:val="en-US"/>
        </w:rPr>
        <w:t>The theoretical rationale here is that</w:t>
      </w:r>
      <w:r w:rsidR="002B23D2">
        <w:rPr>
          <w:highlight w:val="cyan"/>
          <w:lang w:val="en-US"/>
        </w:rPr>
        <w:t xml:space="preserve"> greater market participation in the bankruptcy liquidation process would lead to higher competitive </w:t>
      </w:r>
      <w:proofErr w:type="spellStart"/>
      <w:r w:rsidR="002B23D2">
        <w:rPr>
          <w:highlight w:val="cyan"/>
          <w:lang w:val="en-US"/>
        </w:rPr>
        <w:t>rigour</w:t>
      </w:r>
      <w:proofErr w:type="spellEnd"/>
      <w:r w:rsidR="002B23D2">
        <w:rPr>
          <w:highlight w:val="cyan"/>
          <w:lang w:val="en-US"/>
        </w:rPr>
        <w:t xml:space="preserve"> and lead to better price discovery for the bankrupt firm’s a</w:t>
      </w:r>
      <w:r w:rsidR="00A31169">
        <w:rPr>
          <w:highlight w:val="cyan"/>
          <w:lang w:val="en-US"/>
        </w:rPr>
        <w:t>s</w:t>
      </w:r>
      <w:r w:rsidR="002B23D2">
        <w:rPr>
          <w:highlight w:val="cyan"/>
          <w:lang w:val="en-US"/>
        </w:rPr>
        <w:t xml:space="preserve">sets. </w:t>
      </w:r>
      <w:r w:rsidR="002B23D2">
        <w:rPr>
          <w:lang w:val="en-US"/>
        </w:rPr>
        <w:t xml:space="preserve"> </w:t>
      </w:r>
    </w:p>
    <w:p w14:paraId="7C3C51E1" w14:textId="77777777" w:rsidR="00C8486A" w:rsidRDefault="00C8486A" w:rsidP="00036E7D">
      <w:pPr>
        <w:rPr>
          <w:lang w:val="en-US"/>
        </w:rPr>
      </w:pPr>
    </w:p>
    <w:p w14:paraId="416EF257" w14:textId="21AF0291" w:rsidR="003101EE" w:rsidRDefault="003101EE" w:rsidP="00036E7D">
      <w:pPr>
        <w:rPr>
          <w:lang w:val="en-US"/>
        </w:rPr>
      </w:pPr>
      <w:r>
        <w:rPr>
          <w:lang w:val="en-US"/>
        </w:rPr>
        <w:t xml:space="preserve">In what follows, we investigate </w:t>
      </w:r>
      <w:r w:rsidR="00BC0DB9">
        <w:rPr>
          <w:lang w:val="en-US"/>
        </w:rPr>
        <w:t>five</w:t>
      </w:r>
      <w:r>
        <w:rPr>
          <w:lang w:val="en-US"/>
        </w:rPr>
        <w:t xml:space="preserv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036E7D">
      <w:pPr>
        <w:pStyle w:val="ListParagraph"/>
        <w:numPr>
          <w:ilvl w:val="0"/>
          <w:numId w:val="3"/>
        </w:numPr>
        <w:rPr>
          <w:lang w:val="en-US"/>
        </w:rPr>
      </w:pPr>
      <w:r>
        <w:rPr>
          <w:lang w:val="en-US"/>
        </w:rPr>
        <w:t>Time taken from initiation of insolvency and bankruptcy proceedings to final decree;</w:t>
      </w:r>
    </w:p>
    <w:p w14:paraId="589C88D6" w14:textId="3FBAF6F2" w:rsidR="00544DFA" w:rsidRDefault="00544DFA" w:rsidP="00036E7D">
      <w:pPr>
        <w:pStyle w:val="ListParagraph"/>
        <w:numPr>
          <w:ilvl w:val="0"/>
          <w:numId w:val="3"/>
        </w:numPr>
        <w:rPr>
          <w:lang w:val="en-US"/>
        </w:rPr>
      </w:pPr>
      <w:r>
        <w:rPr>
          <w:lang w:val="en-US"/>
        </w:rPr>
        <w:t>Percentage of proceedings that end up in bankruptcy liquidation;</w:t>
      </w:r>
    </w:p>
    <w:p w14:paraId="02A06E7F" w14:textId="639E94AF" w:rsidR="00544DFA" w:rsidRDefault="00544DFA" w:rsidP="00036E7D">
      <w:pPr>
        <w:pStyle w:val="ListParagraph"/>
        <w:numPr>
          <w:ilvl w:val="0"/>
          <w:numId w:val="3"/>
        </w:numPr>
        <w:rPr>
          <w:lang w:val="en-US"/>
        </w:rPr>
      </w:pPr>
      <w:r>
        <w:rPr>
          <w:lang w:val="en-US"/>
        </w:rPr>
        <w:t>Percentage of recovery for creditors</w:t>
      </w:r>
      <w:r w:rsidR="00C8486A">
        <w:rPr>
          <w:lang w:val="en-US"/>
        </w:rPr>
        <w:t>;</w:t>
      </w:r>
    </w:p>
    <w:p w14:paraId="6D8FF6E1" w14:textId="61EF7467" w:rsidR="00C8486A" w:rsidRDefault="00C8486A" w:rsidP="00036E7D">
      <w:pPr>
        <w:pStyle w:val="ListParagraph"/>
        <w:numPr>
          <w:ilvl w:val="0"/>
          <w:numId w:val="3"/>
        </w:numPr>
        <w:rPr>
          <w:lang w:val="en-US"/>
        </w:rPr>
      </w:pPr>
      <w:r>
        <w:rPr>
          <w:lang w:val="en-US"/>
        </w:rPr>
        <w:t>Success rates by initiator of insolvency proceedings;</w:t>
      </w:r>
    </w:p>
    <w:p w14:paraId="3A518E3A" w14:textId="198BE246" w:rsidR="00C8486A" w:rsidRPr="00544DFA" w:rsidRDefault="00C8486A" w:rsidP="00036E7D">
      <w:pPr>
        <w:pStyle w:val="ListParagraph"/>
        <w:numPr>
          <w:ilvl w:val="0"/>
          <w:numId w:val="3"/>
        </w:numPr>
        <w:rPr>
          <w:lang w:val="en-US"/>
        </w:rPr>
      </w:pPr>
      <w:r>
        <w:rPr>
          <w:lang w:val="en-US"/>
        </w:rPr>
        <w:t>Competitive market participation in assets of insolvent firms.</w:t>
      </w:r>
    </w:p>
    <w:p w14:paraId="51E04792" w14:textId="7AC89D2D" w:rsidR="00576CE5" w:rsidRDefault="00576CE5" w:rsidP="00036E7D"/>
    <w:p w14:paraId="7D42BE55" w14:textId="2E82A84F" w:rsidR="00C02E7F" w:rsidRDefault="00EF7141" w:rsidP="00036E7D">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036E7D">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036E7D">
            <w:r w:rsidRPr="00572F21">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036E7D">
            <w:r w:rsidRPr="00572F21">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036E7D">
            <w:r w:rsidRPr="00572F21">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036E7D"/>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036E7D"/>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036E7D">
            <w:r w:rsidRPr="00572F21">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036E7D">
            <w:r w:rsidRPr="00572F21">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036E7D">
            <w:r w:rsidRPr="00572F21">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036E7D">
            <w:r w:rsidRPr="00572F21">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036E7D">
            <w:r w:rsidRPr="00572F21">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036E7D">
            <w:pPr>
              <w:pStyle w:val="ListParagraph"/>
              <w:numPr>
                <w:ilvl w:val="0"/>
                <w:numId w:val="4"/>
              </w:numPr>
            </w:pPr>
            <w:r w:rsidRPr="00C7753D">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036E7D">
            <w: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036E7D">
            <w: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036E7D">
            <w: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036E7D">
            <w: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036E7D"/>
        </w:tc>
        <w:tc>
          <w:tcPr>
            <w:tcW w:w="5320" w:type="dxa"/>
            <w:tcBorders>
              <w:top w:val="nil"/>
              <w:left w:val="nil"/>
              <w:bottom w:val="nil"/>
              <w:right w:val="nil"/>
            </w:tcBorders>
            <w:shd w:val="clear" w:color="auto" w:fill="auto"/>
            <w:hideMark/>
          </w:tcPr>
          <w:p w14:paraId="4560E34E" w14:textId="2D7F2551" w:rsidR="00197C36" w:rsidRPr="00C7753D" w:rsidRDefault="00197C36" w:rsidP="00036E7D">
            <w:pPr>
              <w:pStyle w:val="ListParagraph"/>
              <w:numPr>
                <w:ilvl w:val="0"/>
                <w:numId w:val="4"/>
              </w:numPr>
            </w:pPr>
            <w:r w:rsidRPr="00C7753D">
              <w:t xml:space="preserve">Closure by Withdrawal u/s </w:t>
            </w:r>
            <w:proofErr w:type="spellStart"/>
            <w:r w:rsidRPr="00C7753D">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036E7D">
            <w:r w:rsidRPr="00572F21">
              <w:t>2</w:t>
            </w:r>
            <w: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036E7D">
            <w: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036E7D">
            <w: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036E7D">
            <w: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036E7D"/>
        </w:tc>
        <w:tc>
          <w:tcPr>
            <w:tcW w:w="5320" w:type="dxa"/>
            <w:tcBorders>
              <w:top w:val="nil"/>
              <w:left w:val="nil"/>
              <w:bottom w:val="nil"/>
              <w:right w:val="nil"/>
            </w:tcBorders>
            <w:shd w:val="clear" w:color="auto" w:fill="auto"/>
            <w:hideMark/>
          </w:tcPr>
          <w:p w14:paraId="65EBEAF0" w14:textId="2FDB3D9F" w:rsidR="00197C36" w:rsidRPr="00C7753D" w:rsidRDefault="00197C36" w:rsidP="00036E7D">
            <w:pPr>
              <w:pStyle w:val="ListParagraph"/>
              <w:numPr>
                <w:ilvl w:val="0"/>
                <w:numId w:val="4"/>
              </w:numPr>
            </w:pPr>
            <w:r w:rsidRPr="00C7753D">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036E7D">
            <w: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036E7D">
            <w: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036E7D">
            <w:r>
              <w:t>5</w:t>
            </w:r>
            <w:r w:rsidR="00845CA0">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036E7D">
            <w: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036E7D"/>
        </w:tc>
        <w:tc>
          <w:tcPr>
            <w:tcW w:w="5320" w:type="dxa"/>
            <w:tcBorders>
              <w:top w:val="nil"/>
              <w:left w:val="nil"/>
              <w:bottom w:val="nil"/>
              <w:right w:val="nil"/>
            </w:tcBorders>
            <w:shd w:val="clear" w:color="auto" w:fill="auto"/>
            <w:hideMark/>
          </w:tcPr>
          <w:p w14:paraId="4314CF38" w14:textId="764E2134" w:rsidR="00197C36" w:rsidRPr="00C7753D" w:rsidRDefault="00197C36" w:rsidP="00036E7D">
            <w:pPr>
              <w:pStyle w:val="ListParagraph"/>
              <w:numPr>
                <w:ilvl w:val="0"/>
                <w:numId w:val="4"/>
              </w:numPr>
            </w:pPr>
            <w:r w:rsidRPr="00C7753D">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036E7D">
            <w: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036E7D">
            <w: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036E7D">
            <w: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036E7D">
            <w: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036E7D"/>
        </w:tc>
        <w:tc>
          <w:tcPr>
            <w:tcW w:w="5320" w:type="dxa"/>
            <w:tcBorders>
              <w:top w:val="nil"/>
              <w:left w:val="nil"/>
              <w:bottom w:val="nil"/>
              <w:right w:val="nil"/>
            </w:tcBorders>
            <w:shd w:val="clear" w:color="auto" w:fill="auto"/>
            <w:hideMark/>
          </w:tcPr>
          <w:p w14:paraId="15AD133C" w14:textId="4712E703" w:rsidR="00197C36" w:rsidRPr="00C7753D" w:rsidRDefault="00197C36" w:rsidP="00036E7D">
            <w:pPr>
              <w:pStyle w:val="ListParagraph"/>
              <w:numPr>
                <w:ilvl w:val="0"/>
                <w:numId w:val="4"/>
              </w:numPr>
            </w:pPr>
            <w:r w:rsidRPr="00C7753D">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036E7D">
            <w:r w:rsidRPr="00572F21">
              <w:t>10</w:t>
            </w:r>
            <w:r w:rsidR="00810955">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036E7D">
            <w:r w:rsidRPr="00572F21">
              <w:t>8</w:t>
            </w:r>
            <w:r w:rsidR="00810955">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036E7D">
            <w: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036E7D">
            <w: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036E7D"/>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036E7D">
            <w:r w:rsidRPr="00572F21">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036E7D">
            <w: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036E7D">
            <w:r w:rsidRPr="00572F21">
              <w:t>3</w:t>
            </w:r>
            <w:r w:rsidR="007279E5">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036E7D">
            <w: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036E7D">
            <w: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036E7D"/>
        </w:tc>
        <w:tc>
          <w:tcPr>
            <w:tcW w:w="10840" w:type="dxa"/>
            <w:gridSpan w:val="5"/>
            <w:tcBorders>
              <w:top w:val="single" w:sz="4" w:space="0" w:color="auto"/>
              <w:left w:val="nil"/>
              <w:bottom w:val="single" w:sz="4" w:space="0" w:color="auto"/>
              <w:right w:val="nil"/>
            </w:tcBorders>
            <w:shd w:val="clear" w:color="auto" w:fill="auto"/>
            <w:vAlign w:val="bottom"/>
          </w:tcPr>
          <w:p w14:paraId="12163237" w14:textId="7F8ACA76" w:rsidR="00432A67" w:rsidRPr="00432A67" w:rsidRDefault="00432A67" w:rsidP="00036E7D">
            <w:pPr>
              <w:rPr>
                <w:b/>
                <w:bCs/>
                <w:color w:val="000000"/>
                <w:sz w:val="28"/>
                <w:szCs w:val="36"/>
              </w:rPr>
            </w:pPr>
            <w:r w:rsidRPr="00432A67">
              <w:rPr>
                <w:lang w:val="en-US"/>
              </w:rPr>
              <w:t>FC: Financial creditors; OCs: Operational Creditors; CD: Corporate Debtors Providers</w:t>
            </w:r>
          </w:p>
        </w:tc>
      </w:tr>
    </w:tbl>
    <w:p w14:paraId="5E80A4B5" w14:textId="5E98CF73" w:rsidR="00432A67" w:rsidRPr="00432A67" w:rsidRDefault="00432A67" w:rsidP="00036E7D"/>
    <w:p w14:paraId="508F71FC" w14:textId="7791738D" w:rsidR="001770E1" w:rsidRDefault="00432A67" w:rsidP="00036E7D">
      <w:pPr>
        <w:rPr>
          <w:lang w:val="en-US"/>
        </w:rPr>
      </w:pPr>
      <w:r w:rsidRPr="00432A67">
        <w:rPr>
          <w:lang w:val="en-US"/>
        </w:rPr>
        <w:t>Table 1:</w:t>
      </w:r>
      <w:r>
        <w:rPr>
          <w:lang w:val="en-US"/>
        </w:rPr>
        <w:t xml:space="preserve"> </w:t>
      </w:r>
      <w:r w:rsidRPr="00432A67">
        <w:rPr>
          <w:lang w:val="en-US"/>
        </w:rPr>
        <w:t>Status of insolvency cases brought to adjudication under the Insolvency and Bankruptcy Code (2016).</w:t>
      </w:r>
    </w:p>
    <w:p w14:paraId="220AE13C" w14:textId="166F7BC3" w:rsidR="00C7753D" w:rsidRDefault="00C7753D" w:rsidP="00036E7D">
      <w:pPr>
        <w:rPr>
          <w:lang w:val="en-US"/>
        </w:rPr>
      </w:pPr>
    </w:p>
    <w:p w14:paraId="4DEBADD3" w14:textId="2F0E8A15" w:rsidR="00C7753D" w:rsidRDefault="008652B3" w:rsidP="00036E7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036E7D">
      <w:pPr>
        <w:rPr>
          <w:lang w:val="en-US"/>
        </w:rPr>
      </w:pPr>
    </w:p>
    <w:p w14:paraId="6FEF81D2" w14:textId="77777777" w:rsidR="00FE334C" w:rsidRDefault="00FE334C" w:rsidP="00036E7D">
      <w:pPr>
        <w:pStyle w:val="Heading3"/>
      </w:pPr>
      <w:r>
        <w:t>4.1 Time from initiation to closure</w:t>
      </w:r>
    </w:p>
    <w:p w14:paraId="2847DDEE" w14:textId="0A078E42" w:rsidR="00CA0852" w:rsidRPr="00CA6A1E" w:rsidRDefault="00F56B4D" w:rsidP="00036E7D">
      <w:pPr>
        <w:rPr>
          <w:rFonts w:ascii="Times New Roman" w:hAnsi="Times New Roman" w:cs="Times New Roman"/>
          <w:i/>
          <w:iCs/>
          <w:sz w:val="22"/>
          <w:szCs w:val="22"/>
          <w:lang w:val="en-US"/>
        </w:rPr>
      </w:pPr>
      <w:r>
        <w:rPr>
          <w:lang w:val="en-US"/>
        </w:rPr>
        <w:t xml:space="preserve">In what follows, we advance the findings of </w:t>
      </w:r>
      <w:proofErr w:type="spellStart"/>
      <w:r>
        <w:rPr>
          <w:lang w:val="en-US"/>
        </w:rPr>
        <w:t>Djankov</w:t>
      </w:r>
      <w:proofErr w:type="spellEnd"/>
      <w:r>
        <w:rPr>
          <w:lang w:val="en-US"/>
        </w:rPr>
        <w:t xml:space="preserve"> et al. (</w:t>
      </w:r>
      <w:r>
        <w:rPr>
          <w:color w:val="0000FF"/>
          <w:lang w:val="en-US"/>
        </w:rPr>
        <w:t>2008</w:t>
      </w:r>
      <w:r>
        <w:rPr>
          <w:lang w:val="en-US"/>
        </w:rPr>
        <w:t xml:space="preserve">) </w:t>
      </w:r>
      <w:r w:rsidR="0065026A">
        <w:rPr>
          <w:lang w:val="en-US"/>
        </w:rPr>
        <w:t xml:space="preserve">who report the </w:t>
      </w:r>
      <w:r>
        <w:rPr>
          <w:lang w:val="en-US"/>
        </w:rPr>
        <w:t>actual long term average of the duration of proceedings in Poland</w:t>
      </w:r>
      <w:r w:rsidR="0065026A">
        <w:rPr>
          <w:lang w:val="en-US"/>
        </w:rPr>
        <w:t xml:space="preserve"> </w:t>
      </w:r>
      <w:r w:rsidR="00B32B4B">
        <w:rPr>
          <w:lang w:val="en-US"/>
        </w:rPr>
        <w:t>at</w:t>
      </w:r>
      <w:r w:rsidR="0065026A">
        <w:rPr>
          <w:lang w:val="en-US"/>
        </w:rPr>
        <w:t xml:space="preserve"> 854 days</w:t>
      </w:r>
      <w:r w:rsidR="00C87120">
        <w:rPr>
          <w:lang w:val="en-US"/>
        </w:rPr>
        <w:t xml:space="preserve"> and </w:t>
      </w:r>
      <w:r w:rsidR="0065026A">
        <w:rPr>
          <w:lang w:val="en-US"/>
        </w:rPr>
        <w:t xml:space="preserve"> of </w:t>
      </w:r>
      <w:r w:rsidR="00695DD6" w:rsidRPr="00116235">
        <w:rPr>
          <w:lang w:val="en-US"/>
        </w:rPr>
        <w:t>Camacho-</w:t>
      </w:r>
      <w:proofErr w:type="spellStart"/>
      <w:r w:rsidR="00695DD6" w:rsidRPr="00116235">
        <w:rPr>
          <w:lang w:val="en-US"/>
        </w:rPr>
        <w:t>Miñano</w:t>
      </w:r>
      <w:proofErr w:type="spellEnd"/>
      <w:r w:rsidR="00695DD6">
        <w:rPr>
          <w:lang w:val="en-US"/>
        </w:rPr>
        <w:t xml:space="preserve"> </w:t>
      </w:r>
      <w:r w:rsidR="00695DD6">
        <w:rPr>
          <w:i/>
          <w:lang w:val="en-US"/>
        </w:rPr>
        <w:t xml:space="preserve"> et al</w:t>
      </w:r>
      <w:r w:rsidR="00695DD6">
        <w:rPr>
          <w:lang w:val="en-US"/>
        </w:rPr>
        <w:t xml:space="preserve"> </w:t>
      </w:r>
      <w:r w:rsidR="00CA6A1E">
        <w:rPr>
          <w:lang w:val="en-US"/>
        </w:rPr>
        <w:t xml:space="preserve"> (2013) who report</w:t>
      </w:r>
      <w:r w:rsidR="00CA6A1E" w:rsidRPr="00CA6A1E">
        <w:t xml:space="preserve"> mean duration in Spain is 427 days</w:t>
      </w:r>
      <w:r w:rsidR="00CA6A1E">
        <w:t>.</w:t>
      </w:r>
      <w:r w:rsidR="0065026A" w:rsidRPr="0065026A">
        <w:rPr>
          <w:lang w:val="en-US"/>
        </w:rPr>
        <w:t>.</w:t>
      </w:r>
      <w:r w:rsidR="0065026A">
        <w:rPr>
          <w:lang w:val="en-US"/>
        </w:rPr>
        <w:t xml:space="preserve"> </w:t>
      </w:r>
      <w:r w:rsidR="00CA0852">
        <w:rPr>
          <w:lang w:val="en-US"/>
        </w:rPr>
        <w:t>The World Bank Doing Business Report \cite{</w:t>
      </w:r>
      <w:proofErr w:type="spellStart"/>
      <w:r w:rsidR="00CA0852">
        <w:rPr>
          <w:lang w:val="en-US"/>
        </w:rPr>
        <w:t>WorldBank2021</w:t>
      </w:r>
      <w:proofErr w:type="spellEnd"/>
      <w:r w:rsidR="00CA0852">
        <w:rPr>
          <w:lang w:val="en-US"/>
        </w:rPr>
        <w:t>} provides a global database.</w:t>
      </w:r>
    </w:p>
    <w:p w14:paraId="2FC9E8AA" w14:textId="32855A4A" w:rsidR="00FE334C" w:rsidRPr="0065026A" w:rsidRDefault="00FF7697" w:rsidP="00036E7D">
      <w:pPr>
        <w:rPr>
          <w:color w:val="000000"/>
          <w:lang w:val="en-US"/>
        </w:rPr>
      </w:pPr>
      <w:r w:rsidRPr="0065026A">
        <w:rPr>
          <w:color w:val="000000"/>
          <w:lang w:val="en-US"/>
        </w:rPr>
        <w:t xml:space="preserve">Table 2 </w:t>
      </w:r>
      <w:proofErr w:type="spellStart"/>
      <w:r w:rsidRPr="0065026A">
        <w:rPr>
          <w:color w:val="000000"/>
          <w:lang w:val="en-US"/>
        </w:rPr>
        <w:t>summarises</w:t>
      </w:r>
      <w:proofErr w:type="spellEnd"/>
      <w:r w:rsidRPr="0065026A">
        <w:rPr>
          <w:color w:val="000000"/>
          <w:lang w:val="en-US"/>
        </w:rPr>
        <w:t xml:space="preserve"> the distribution of time taken by the</w:t>
      </w:r>
      <w:r>
        <w:rPr>
          <w:lang w:val="en-US"/>
        </w:rPr>
        <w:t xml:space="preserve"> judicial system</w:t>
      </w:r>
      <w:r w:rsidR="00CA0852">
        <w:rPr>
          <w:lang w:val="en-US"/>
        </w:rPr>
        <w:t xml:space="preserve"> in India</w:t>
      </w:r>
      <w:r>
        <w:rPr>
          <w:lang w:val="en-US"/>
        </w:rPr>
        <w:t>, from initiation of insolvency proceedings to closure.</w:t>
      </w:r>
    </w:p>
    <w:p w14:paraId="2ED40BF5" w14:textId="17DB91F2" w:rsidR="00FF7697" w:rsidRDefault="00FF7697" w:rsidP="00036E7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036E7D">
            <w:pPr>
              <w:rPr>
                <w:lang w:val="en-US"/>
              </w:rPr>
            </w:pPr>
            <w:r w:rsidRPr="00FF7697">
              <w:rPr>
                <w:lang w:val="en-US"/>
              </w:rPr>
              <w:t>Sr. No.</w:t>
            </w:r>
          </w:p>
        </w:tc>
        <w:tc>
          <w:tcPr>
            <w:tcW w:w="4394" w:type="dxa"/>
            <w:gridSpan w:val="2"/>
          </w:tcPr>
          <w:p w14:paraId="5FEF3892" w14:textId="1C1B08CA" w:rsidR="00FF7697" w:rsidRPr="00C610DE" w:rsidRDefault="00FF7697" w:rsidP="00036E7D">
            <w:pPr>
              <w:rPr>
                <w:lang w:val="en-US"/>
              </w:rPr>
            </w:pPr>
            <w:r w:rsidRPr="00FF7697">
              <w:rPr>
                <w:lang w:val="en-US"/>
              </w:rPr>
              <w:t>Descriptive statistics</w:t>
            </w:r>
            <w:r w:rsidR="00C610DE">
              <w:rPr>
                <w:lang w:val="en-US"/>
              </w:rPr>
              <w:t xml:space="preserve"> (No. of days)</w:t>
            </w:r>
          </w:p>
        </w:tc>
      </w:tr>
      <w:tr w:rsidR="00FF7697" w:rsidRPr="00FF7697" w14:paraId="44440BBB" w14:textId="77777777" w:rsidTr="002105EB">
        <w:tc>
          <w:tcPr>
            <w:tcW w:w="983" w:type="dxa"/>
          </w:tcPr>
          <w:p w14:paraId="583C54C2" w14:textId="2B6086C0" w:rsidR="00FF7697" w:rsidRPr="00FF7697" w:rsidRDefault="00FF7697" w:rsidP="00036E7D">
            <w:pPr>
              <w:rPr>
                <w:lang w:val="en-US"/>
              </w:rPr>
            </w:pPr>
            <w:r>
              <w:rPr>
                <w:lang w:val="en-US"/>
              </w:rPr>
              <w:t>1</w:t>
            </w:r>
          </w:p>
        </w:tc>
        <w:tc>
          <w:tcPr>
            <w:tcW w:w="1984" w:type="dxa"/>
          </w:tcPr>
          <w:p w14:paraId="1D8C84B3" w14:textId="60030B6A" w:rsidR="00FF7697" w:rsidRPr="00FF7697" w:rsidRDefault="00C4574E" w:rsidP="00036E7D">
            <w:pPr>
              <w:rPr>
                <w:lang w:val="en-US"/>
              </w:rPr>
            </w:pPr>
            <w:r>
              <w:rPr>
                <w:lang w:val="en-US"/>
              </w:rPr>
              <w:t>Minimum</w:t>
            </w:r>
          </w:p>
        </w:tc>
        <w:tc>
          <w:tcPr>
            <w:tcW w:w="2410" w:type="dxa"/>
          </w:tcPr>
          <w:p w14:paraId="32CB81EC" w14:textId="125EEFB1" w:rsidR="00FF7697" w:rsidRPr="00FF7697" w:rsidRDefault="00C4574E" w:rsidP="00036E7D">
            <w:pPr>
              <w:rPr>
                <w:lang w:val="en-US"/>
              </w:rPr>
            </w:pPr>
            <w:r>
              <w:rPr>
                <w:lang w:val="en-US"/>
              </w:rPr>
              <w:t>42</w:t>
            </w:r>
          </w:p>
        </w:tc>
      </w:tr>
      <w:tr w:rsidR="00FF7697" w:rsidRPr="00FF7697" w14:paraId="55ED05AB" w14:textId="77777777" w:rsidTr="002105EB">
        <w:tc>
          <w:tcPr>
            <w:tcW w:w="983" w:type="dxa"/>
          </w:tcPr>
          <w:p w14:paraId="0182EC57" w14:textId="4BE9EC76" w:rsidR="00FF7697" w:rsidRPr="00FF7697" w:rsidRDefault="00FF7697" w:rsidP="00036E7D">
            <w:pPr>
              <w:rPr>
                <w:lang w:val="en-US"/>
              </w:rPr>
            </w:pPr>
            <w:r>
              <w:rPr>
                <w:lang w:val="en-US"/>
              </w:rPr>
              <w:t>2</w:t>
            </w:r>
          </w:p>
        </w:tc>
        <w:tc>
          <w:tcPr>
            <w:tcW w:w="1984" w:type="dxa"/>
          </w:tcPr>
          <w:p w14:paraId="16B16C32" w14:textId="5886E124" w:rsidR="00FF7697" w:rsidRPr="00FF7697" w:rsidRDefault="00C4574E" w:rsidP="00036E7D">
            <w:pPr>
              <w:rPr>
                <w:lang w:val="en-US"/>
              </w:rPr>
            </w:pPr>
            <w:r>
              <w:rPr>
                <w:lang w:val="en-US"/>
              </w:rPr>
              <w:t>Median</w:t>
            </w:r>
          </w:p>
        </w:tc>
        <w:tc>
          <w:tcPr>
            <w:tcW w:w="2410" w:type="dxa"/>
          </w:tcPr>
          <w:p w14:paraId="2F90828C" w14:textId="5FDEEE95" w:rsidR="00FF7697" w:rsidRPr="00FF7697" w:rsidRDefault="00C4574E" w:rsidP="00036E7D">
            <w:pPr>
              <w:rPr>
                <w:lang w:val="en-US"/>
              </w:rPr>
            </w:pPr>
            <w:r>
              <w:rPr>
                <w:lang w:val="en-US"/>
              </w:rPr>
              <w:t>402</w:t>
            </w:r>
          </w:p>
        </w:tc>
      </w:tr>
      <w:tr w:rsidR="00FF7697" w:rsidRPr="00FF7697" w14:paraId="49CECA64" w14:textId="77777777" w:rsidTr="002105EB">
        <w:tc>
          <w:tcPr>
            <w:tcW w:w="983" w:type="dxa"/>
          </w:tcPr>
          <w:p w14:paraId="00FF5A4A" w14:textId="68214E4B" w:rsidR="00FF7697" w:rsidRPr="00FF7697" w:rsidRDefault="00FF7697" w:rsidP="00036E7D">
            <w:pPr>
              <w:rPr>
                <w:lang w:val="en-US"/>
              </w:rPr>
            </w:pPr>
            <w:r>
              <w:rPr>
                <w:lang w:val="en-US"/>
              </w:rPr>
              <w:t>3</w:t>
            </w:r>
          </w:p>
        </w:tc>
        <w:tc>
          <w:tcPr>
            <w:tcW w:w="1984" w:type="dxa"/>
          </w:tcPr>
          <w:p w14:paraId="5F37668E" w14:textId="67347D1E" w:rsidR="00FF7697" w:rsidRPr="00FF7697" w:rsidRDefault="00C4574E" w:rsidP="00036E7D">
            <w:pPr>
              <w:rPr>
                <w:lang w:val="en-US"/>
              </w:rPr>
            </w:pPr>
            <w:r>
              <w:rPr>
                <w:lang w:val="en-US"/>
              </w:rPr>
              <w:t>Maximum</w:t>
            </w:r>
          </w:p>
        </w:tc>
        <w:tc>
          <w:tcPr>
            <w:tcW w:w="2410" w:type="dxa"/>
          </w:tcPr>
          <w:p w14:paraId="6B662CBA" w14:textId="1B45B61A" w:rsidR="00FF7697" w:rsidRPr="00FF7697" w:rsidRDefault="00C4574E" w:rsidP="00036E7D">
            <w:pPr>
              <w:rPr>
                <w:lang w:val="en-US"/>
              </w:rPr>
            </w:pPr>
            <w:r>
              <w:rPr>
                <w:lang w:val="en-US"/>
              </w:rPr>
              <w:t>1819</w:t>
            </w:r>
          </w:p>
        </w:tc>
      </w:tr>
      <w:tr w:rsidR="00FF7697" w:rsidRPr="00FF7697" w14:paraId="09EB87F2" w14:textId="77777777" w:rsidTr="002105EB">
        <w:tc>
          <w:tcPr>
            <w:tcW w:w="983" w:type="dxa"/>
          </w:tcPr>
          <w:p w14:paraId="1D372AAF" w14:textId="60C594DF" w:rsidR="00FF7697" w:rsidRPr="00FF7697" w:rsidRDefault="00FF7697" w:rsidP="00036E7D">
            <w:pPr>
              <w:rPr>
                <w:lang w:val="en-US"/>
              </w:rPr>
            </w:pPr>
            <w:r>
              <w:rPr>
                <w:lang w:val="en-US"/>
              </w:rPr>
              <w:t>4</w:t>
            </w:r>
          </w:p>
        </w:tc>
        <w:tc>
          <w:tcPr>
            <w:tcW w:w="1984" w:type="dxa"/>
          </w:tcPr>
          <w:p w14:paraId="686D3292" w14:textId="390702D7" w:rsidR="00FF7697" w:rsidRPr="00FF7697" w:rsidRDefault="00C4574E" w:rsidP="00036E7D">
            <w:pPr>
              <w:rPr>
                <w:lang w:val="en-US"/>
              </w:rPr>
            </w:pPr>
            <w:r>
              <w:rPr>
                <w:lang w:val="en-US"/>
              </w:rPr>
              <w:t>Skewness</w:t>
            </w:r>
          </w:p>
        </w:tc>
        <w:tc>
          <w:tcPr>
            <w:tcW w:w="2410" w:type="dxa"/>
          </w:tcPr>
          <w:p w14:paraId="4039F151" w14:textId="59E79849" w:rsidR="00FF7697" w:rsidRPr="00FF7697" w:rsidRDefault="00C4574E" w:rsidP="00036E7D">
            <w:pPr>
              <w:rPr>
                <w:lang w:val="en-US"/>
              </w:rPr>
            </w:pPr>
            <w:r>
              <w:rPr>
                <w:lang w:val="en-US"/>
              </w:rPr>
              <w:t>1.20</w:t>
            </w:r>
          </w:p>
        </w:tc>
      </w:tr>
      <w:tr w:rsidR="00FF7697" w:rsidRPr="00FF7697" w14:paraId="7B4777C5" w14:textId="77777777" w:rsidTr="002105EB">
        <w:tc>
          <w:tcPr>
            <w:tcW w:w="983" w:type="dxa"/>
          </w:tcPr>
          <w:p w14:paraId="2BCB0863" w14:textId="16ED11FF" w:rsidR="00FF7697" w:rsidRPr="00FF7697" w:rsidRDefault="00FF7697" w:rsidP="00036E7D">
            <w:pPr>
              <w:rPr>
                <w:lang w:val="en-US"/>
              </w:rPr>
            </w:pPr>
            <w:r>
              <w:rPr>
                <w:lang w:val="en-US"/>
              </w:rPr>
              <w:t>5</w:t>
            </w:r>
          </w:p>
        </w:tc>
        <w:tc>
          <w:tcPr>
            <w:tcW w:w="1984" w:type="dxa"/>
          </w:tcPr>
          <w:p w14:paraId="270D7DA8" w14:textId="17A9493E" w:rsidR="00FF7697" w:rsidRPr="00FF7697" w:rsidRDefault="00C4574E" w:rsidP="00036E7D">
            <w:pPr>
              <w:rPr>
                <w:lang w:val="en-US"/>
              </w:rPr>
            </w:pPr>
            <w:r>
              <w:rPr>
                <w:lang w:val="en-US"/>
              </w:rPr>
              <w:t>Kurtosis</w:t>
            </w:r>
          </w:p>
        </w:tc>
        <w:tc>
          <w:tcPr>
            <w:tcW w:w="2410" w:type="dxa"/>
          </w:tcPr>
          <w:p w14:paraId="4B9A58A4" w14:textId="112263C4" w:rsidR="00FF7697" w:rsidRPr="00FF7697" w:rsidRDefault="00C4574E" w:rsidP="00036E7D">
            <w:pPr>
              <w:rPr>
                <w:lang w:val="en-US"/>
              </w:rPr>
            </w:pPr>
            <w:r>
              <w:rPr>
                <w:lang w:val="en-US"/>
              </w:rPr>
              <w:t>4.32</w:t>
            </w:r>
          </w:p>
        </w:tc>
      </w:tr>
      <w:tr w:rsidR="00C4574E" w:rsidRPr="00FF7697" w14:paraId="68469676" w14:textId="77777777" w:rsidTr="002105EB">
        <w:tc>
          <w:tcPr>
            <w:tcW w:w="983" w:type="dxa"/>
          </w:tcPr>
          <w:p w14:paraId="710344EB" w14:textId="7270F5DF" w:rsidR="00C4574E" w:rsidRDefault="008E1B4C" w:rsidP="00036E7D">
            <w:pPr>
              <w:rPr>
                <w:lang w:val="en-US"/>
              </w:rPr>
            </w:pPr>
            <w:r>
              <w:rPr>
                <w:lang w:val="en-US"/>
              </w:rPr>
              <w:t>6</w:t>
            </w:r>
          </w:p>
        </w:tc>
        <w:tc>
          <w:tcPr>
            <w:tcW w:w="1984" w:type="dxa"/>
          </w:tcPr>
          <w:p w14:paraId="2577D2B3" w14:textId="1F040B73" w:rsidR="00C4574E" w:rsidRDefault="00C4574E" w:rsidP="00036E7D">
            <w:pPr>
              <w:rPr>
                <w:lang w:val="en-US"/>
              </w:rPr>
            </w:pPr>
            <w:r>
              <w:rPr>
                <w:lang w:val="en-US"/>
              </w:rPr>
              <w:t>1st Quartile</w:t>
            </w:r>
          </w:p>
        </w:tc>
        <w:tc>
          <w:tcPr>
            <w:tcW w:w="2410" w:type="dxa"/>
          </w:tcPr>
          <w:p w14:paraId="00DAE317" w14:textId="45173822" w:rsidR="00C4574E" w:rsidRDefault="00C4574E" w:rsidP="00036E7D">
            <w:pPr>
              <w:rPr>
                <w:lang w:val="en-US"/>
              </w:rPr>
            </w:pPr>
            <w:r>
              <w:rPr>
                <w:lang w:val="en-US"/>
              </w:rPr>
              <w:t>279</w:t>
            </w:r>
          </w:p>
        </w:tc>
      </w:tr>
      <w:tr w:rsidR="00C4574E" w:rsidRPr="00FF7697" w14:paraId="5CE4B25E" w14:textId="77777777" w:rsidTr="002105EB">
        <w:tc>
          <w:tcPr>
            <w:tcW w:w="983" w:type="dxa"/>
          </w:tcPr>
          <w:p w14:paraId="7707140B" w14:textId="72955595" w:rsidR="00C4574E" w:rsidRDefault="008E1B4C" w:rsidP="00036E7D">
            <w:pPr>
              <w:rPr>
                <w:lang w:val="en-US"/>
              </w:rPr>
            </w:pPr>
            <w:r>
              <w:rPr>
                <w:lang w:val="en-US"/>
              </w:rPr>
              <w:t>7</w:t>
            </w:r>
          </w:p>
        </w:tc>
        <w:tc>
          <w:tcPr>
            <w:tcW w:w="1984" w:type="dxa"/>
          </w:tcPr>
          <w:p w14:paraId="6598D3DE" w14:textId="7C03DF8A" w:rsidR="00C4574E" w:rsidRDefault="00C4574E" w:rsidP="00036E7D">
            <w:pPr>
              <w:rPr>
                <w:lang w:val="en-US"/>
              </w:rPr>
            </w:pPr>
            <w:r>
              <w:rPr>
                <w:lang w:val="en-US"/>
              </w:rPr>
              <w:t>3</w:t>
            </w:r>
            <w:r w:rsidRPr="00C4574E">
              <w:rPr>
                <w:vertAlign w:val="superscript"/>
                <w:lang w:val="en-US"/>
              </w:rPr>
              <w:t>rd</w:t>
            </w:r>
            <w:r>
              <w:rPr>
                <w:lang w:val="en-US"/>
              </w:rPr>
              <w:t xml:space="preserve"> Quartile</w:t>
            </w:r>
          </w:p>
        </w:tc>
        <w:tc>
          <w:tcPr>
            <w:tcW w:w="2410" w:type="dxa"/>
          </w:tcPr>
          <w:p w14:paraId="3304DED0" w14:textId="7E4F08FD" w:rsidR="00C4574E" w:rsidRDefault="00C4574E" w:rsidP="00036E7D">
            <w:pPr>
              <w:rPr>
                <w:lang w:val="en-US"/>
              </w:rPr>
            </w:pPr>
            <w:r>
              <w:rPr>
                <w:lang w:val="en-US"/>
              </w:rPr>
              <w:t>624</w:t>
            </w:r>
          </w:p>
        </w:tc>
      </w:tr>
    </w:tbl>
    <w:p w14:paraId="054CA357" w14:textId="71AF991F" w:rsidR="005A6071" w:rsidRPr="005A6071" w:rsidRDefault="005A6071" w:rsidP="00036E7D">
      <w:pPr>
        <w:rPr>
          <w:lang w:val="en-US"/>
        </w:rPr>
      </w:pPr>
      <w:r w:rsidRPr="005A6071">
        <w:rPr>
          <w:lang w:val="en-US"/>
        </w:rPr>
        <w:t>Table 2: Distribution of time taken in the insolvency resolution process</w:t>
      </w:r>
    </w:p>
    <w:p w14:paraId="22AF5C23" w14:textId="77777777" w:rsidR="005A6071" w:rsidRDefault="005A6071" w:rsidP="00036E7D">
      <w:pPr>
        <w:rPr>
          <w:lang w:val="en-US"/>
        </w:rPr>
      </w:pPr>
    </w:p>
    <w:p w14:paraId="0DB39304" w14:textId="13C66DAD" w:rsidR="004B659F" w:rsidRDefault="00F11C0D" w:rsidP="00036E7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160348">
        <w:rPr>
          <w:lang w:val="en-US"/>
        </w:rPr>
        <w:t xml:space="preserve"> </w:t>
      </w:r>
      <w:r w:rsidR="004B659F">
        <w:rPr>
          <w:lang w:val="en-US"/>
        </w:rPr>
        <w:t>The distribution of insolvency resolution time is documented in Fig 1.</w:t>
      </w:r>
    </w:p>
    <w:p w14:paraId="2FAF7F4B" w14:textId="3B9BF8FA" w:rsidR="0042558A" w:rsidRDefault="0042558A" w:rsidP="00036E7D">
      <w:pPr>
        <w:rPr>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036E7D">
            <w:pPr>
              <w:rPr>
                <w:lang w:val="en-US"/>
              </w:rPr>
            </w:pPr>
            <w:r>
              <w:rPr>
                <w:noProof/>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036E7D">
            <w:pPr>
              <w:rPr>
                <w:lang w:val="en-US"/>
              </w:rPr>
            </w:pPr>
            <w:r w:rsidRPr="0042558A">
              <w:rPr>
                <w:lang w:val="en-US"/>
              </w:rPr>
              <w:t>Fig. 1: Time taken from initiation of insolvency</w:t>
            </w:r>
            <w:r>
              <w:rPr>
                <w:lang w:val="en-US"/>
              </w:rPr>
              <w:t xml:space="preserve"> </w:t>
            </w:r>
            <w:r w:rsidRPr="0042558A">
              <w:rPr>
                <w:lang w:val="en-US"/>
              </w:rPr>
              <w:t>proceedings to closure; dashed line at median</w:t>
            </w:r>
          </w:p>
        </w:tc>
      </w:tr>
    </w:tbl>
    <w:p w14:paraId="47977D5F" w14:textId="194BF746" w:rsidR="0042558A" w:rsidRPr="0083167D" w:rsidRDefault="0042558A" w:rsidP="00036E7D">
      <w:pPr>
        <w:rPr>
          <w:lang w:val="en-US"/>
        </w:rPr>
      </w:pPr>
    </w:p>
    <w:p w14:paraId="6949CE9B" w14:textId="4FD6FD7C" w:rsidR="0083167D" w:rsidRPr="005A6071" w:rsidRDefault="0083167D" w:rsidP="00036E7D">
      <w:pPr>
        <w:rPr>
          <w:b/>
          <w:sz w:val="24"/>
          <w:lang w:val="en-US"/>
        </w:rPr>
      </w:pPr>
      <w:r w:rsidRPr="005A737E">
        <w:rPr>
          <w:lang w:val="en-US"/>
        </w:rPr>
        <w:t xml:space="preserve">India’s median of 402 days (1.10 years) compares </w:t>
      </w:r>
      <w:proofErr w:type="spellStart"/>
      <w:r w:rsidRPr="005A737E">
        <w:rPr>
          <w:lang w:val="en-US"/>
        </w:rPr>
        <w:t>favourably</w:t>
      </w:r>
      <w:proofErr w:type="spellEnd"/>
      <w:r w:rsidRPr="005A737E">
        <w:rPr>
          <w:lang w:val="en-US"/>
        </w:rPr>
        <w:t xml:space="preserve"> with the resolution times reported in the World Bank, Doing Business Report 202</w:t>
      </w:r>
      <w:r w:rsidR="00CA0852">
        <w:rPr>
          <w:lang w:val="en-US"/>
        </w:rPr>
        <w:t>1</w:t>
      </w:r>
      <w:r w:rsidRPr="005A737E">
        <w:rPr>
          <w:lang w:val="en-US"/>
        </w:rPr>
        <w:t xml:space="preserve"> (since discontinued). </w:t>
      </w:r>
      <w:r w:rsidR="00CA0852">
        <w:rPr>
          <w:lang w:val="en-US"/>
        </w:rPr>
        <w:t>T</w:t>
      </w:r>
      <w:r w:rsidRPr="005A737E">
        <w:rPr>
          <w:lang w:val="en-US"/>
        </w:rPr>
        <w:t xml:space="preserve">he reporting periods are different: </w:t>
      </w:r>
      <w:r w:rsidR="001E1958">
        <w:rPr>
          <w:lang w:val="en-US"/>
        </w:rPr>
        <w:t xml:space="preserve">based on </w:t>
      </w:r>
      <w:r w:rsidR="001E1958" w:rsidRPr="005A737E">
        <w:rPr>
          <w:lang w:val="en-US"/>
        </w:rPr>
        <w:t>data collected in 2018-19</w:t>
      </w:r>
      <w:r w:rsidR="001E1958">
        <w:rPr>
          <w:lang w:val="en-US"/>
        </w:rPr>
        <w:t>, t</w:t>
      </w:r>
      <w:r w:rsidRPr="005A737E">
        <w:rPr>
          <w:lang w:val="en-US"/>
        </w:rPr>
        <w:t xml:space="preserve">he World Bank report puts India at 48th place, with a reported resolution time of 1.6 </w:t>
      </w:r>
      <w:proofErr w:type="gramStart"/>
      <w:r w:rsidRPr="005A737E">
        <w:rPr>
          <w:lang w:val="en-US"/>
        </w:rPr>
        <w:t>years</w:t>
      </w:r>
      <w:r w:rsidR="001E1958">
        <w:rPr>
          <w:lang w:val="en-US"/>
        </w:rPr>
        <w:t>.</w:t>
      </w:r>
      <w:r w:rsidRPr="005A737E">
        <w:rPr>
          <w:lang w:val="en-US"/>
        </w:rPr>
        <w:t>.</w:t>
      </w:r>
      <w:proofErr w:type="gramEnd"/>
      <w:r w:rsidR="00142AA8" w:rsidRPr="005A737E">
        <w:rPr>
          <w:lang w:val="en-US"/>
        </w:rPr>
        <w:t xml:space="preserve"> </w:t>
      </w:r>
    </w:p>
    <w:p w14:paraId="2BD478A5" w14:textId="77777777" w:rsidR="001E1958" w:rsidRDefault="001E1958" w:rsidP="00036E7D">
      <w:pPr>
        <w:pStyle w:val="Heading3"/>
        <w:rPr>
          <w:lang w:val="en-US"/>
        </w:rPr>
      </w:pPr>
    </w:p>
    <w:p w14:paraId="0C0EF7DD" w14:textId="67E08829" w:rsidR="00C87120" w:rsidRDefault="00C87120" w:rsidP="00036E7D">
      <w:pPr>
        <w:pStyle w:val="Heading3"/>
        <w:rPr>
          <w:lang w:val="en-US"/>
        </w:rPr>
      </w:pPr>
      <w:r>
        <w:rPr>
          <w:lang w:val="en-US"/>
        </w:rPr>
        <w:t>4.2</w:t>
      </w:r>
      <w:r w:rsidR="00860EBC">
        <w:rPr>
          <w:lang w:val="en-US"/>
        </w:rPr>
        <w:t xml:space="preserve"> </w:t>
      </w:r>
      <w:r>
        <w:rPr>
          <w:lang w:val="en-US"/>
        </w:rPr>
        <w:t>Of cases that end in liquidation</w:t>
      </w:r>
    </w:p>
    <w:p w14:paraId="5D282356" w14:textId="77777777" w:rsidR="001E1958" w:rsidRDefault="001E1958" w:rsidP="00036E7D"/>
    <w:p w14:paraId="29D3CEC1" w14:textId="4A81ADD9" w:rsidR="00D8558B" w:rsidRDefault="00C9286C" w:rsidP="00D8558B">
      <w:r>
        <w:t>T</w:t>
      </w:r>
      <w:r w:rsidR="001E1958">
        <w:t xml:space="preserve">able 1 presents summary statistics of the </w:t>
      </w:r>
      <w:r>
        <w:t>full caseload of 6195 insolvency proceedings initiated after the new law came</w:t>
      </w:r>
      <w:r w:rsidR="001E1958">
        <w:t xml:space="preserve"> i</w:t>
      </w:r>
      <w:r>
        <w:t>nto effect from December 01, 2016</w:t>
      </w:r>
      <w:r w:rsidR="00813171">
        <w:t>.</w:t>
      </w:r>
      <w:r w:rsidR="00021952">
        <w:t xml:space="preserve"> Closure of insolvency proceedings out of appeals/reviews and out of court settlement accounted for 894 cases </w:t>
      </w:r>
      <w:r w:rsidR="00262065">
        <w:t xml:space="preserve">(approx. 14 per cent). Closures by withdrawal of proceedings accounted for another 793 cases (12.80 per cent). </w:t>
      </w:r>
      <w:r w:rsidR="002419D5" w:rsidRPr="001E1958">
        <w:t>The number of “</w:t>
      </w:r>
      <w:r w:rsidR="002419D5" w:rsidRPr="00036E7D">
        <w:t>CIRPs yielding liquidations” (liquidation cases</w:t>
      </w:r>
      <w:r w:rsidR="001E1958" w:rsidRPr="00036E7D">
        <w:t xml:space="preserve">) at </w:t>
      </w:r>
      <w:r w:rsidR="00262065" w:rsidRPr="00036E7D">
        <w:t>1901</w:t>
      </w:r>
      <w:r w:rsidR="001E1958" w:rsidRPr="00036E7D">
        <w:t xml:space="preserve"> (</w:t>
      </w:r>
      <w:r w:rsidR="00262065" w:rsidRPr="00036E7D">
        <w:t>30.68 per cent</w:t>
      </w:r>
      <w:r w:rsidR="002419D5" w:rsidRPr="00036E7D">
        <w:t>) is almost three times the number of “CIRPs yielding</w:t>
      </w:r>
      <w:r w:rsidR="002419D5" w:rsidRPr="001E1958">
        <w:t xml:space="preserve"> Resolution Plans” (resol</w:t>
      </w:r>
      <w:r w:rsidR="00262065" w:rsidRPr="001E1958">
        <w:t>ution</w:t>
      </w:r>
      <w:r w:rsidR="002419D5" w:rsidRPr="001E1958">
        <w:t xml:space="preserve"> cases</w:t>
      </w:r>
      <w:r w:rsidR="001E1958">
        <w:t>)</w:t>
      </w:r>
      <w:r w:rsidR="00262065" w:rsidRPr="001E1958">
        <w:t>, at 610 (9.85 per cent</w:t>
      </w:r>
      <w:r w:rsidR="002419D5" w:rsidRPr="001E1958">
        <w:t xml:space="preserve">). </w:t>
      </w:r>
      <w:r w:rsidR="00036E7D">
        <w:t>The Indian percentage of ~31 per cent compares with 40% in the United States (\cite{</w:t>
      </w:r>
      <w:proofErr w:type="spellStart"/>
      <w:r w:rsidR="00036E7D">
        <w:t>Altman1987</w:t>
      </w:r>
      <w:proofErr w:type="spellEnd"/>
      <w:r w:rsidR="00036E7D">
        <w:t>}, 30% in the UK (\cite{</w:t>
      </w:r>
      <w:proofErr w:type="spellStart"/>
      <w:r w:rsidR="00036E7D">
        <w:t>Buxton2003</w:t>
      </w:r>
      <w:proofErr w:type="spellEnd"/>
      <w:r w:rsidR="00036E7D">
        <w:t>}</w:t>
      </w:r>
      <w:r w:rsidR="00C456DF">
        <w:t>)</w:t>
      </w:r>
      <w:r w:rsidR="00036E7D">
        <w:t>, 20% in Germany (\cite{</w:t>
      </w:r>
      <w:proofErr w:type="spellStart"/>
      <w:r w:rsidR="00036E7D">
        <w:t>Lexa2010</w:t>
      </w:r>
      <w:proofErr w:type="spellEnd"/>
      <w:r w:rsidR="00036E7D">
        <w:t>}) and 10% in Japan (\cite{</w:t>
      </w:r>
      <w:proofErr w:type="spellStart"/>
      <w:r w:rsidR="00036E7D">
        <w:t>Imanaka2010</w:t>
      </w:r>
      <w:proofErr w:type="spellEnd"/>
      <w:r w:rsidR="00036E7D">
        <w:t>}).</w:t>
      </w:r>
      <w:r w:rsidR="007A7183">
        <w:t xml:space="preserve"> </w:t>
      </w:r>
      <w:r w:rsidR="007A7183" w:rsidRPr="007A7183">
        <w:t>Around 26% of the companies entering the interim proceeding stage in Poland survive as going concerns, in contrast to the world-wide percentage of 36%</w:t>
      </w:r>
      <w:r w:rsidR="007A7183">
        <w:t xml:space="preserve"> \cite{</w:t>
      </w:r>
      <w:proofErr w:type="spellStart"/>
      <w:r w:rsidR="007A7183" w:rsidRPr="004E0F3F">
        <w:rPr>
          <w:lang w:val="en-US"/>
        </w:rPr>
        <w:t>Staszkiewicz2019</w:t>
      </w:r>
      <w:proofErr w:type="spellEnd"/>
      <w:r w:rsidR="007A7183">
        <w:rPr>
          <w:lang w:val="en-US"/>
        </w:rPr>
        <w:t>}.</w:t>
      </w:r>
      <w:r w:rsidR="00D24159">
        <w:rPr>
          <w:lang w:val="en-US"/>
        </w:rPr>
        <w:t xml:space="preserve"> </w:t>
      </w:r>
      <w:r w:rsidR="00CE5FA0">
        <w:t xml:space="preserve">The cross-country variation in proportion of insolvency proceedings ending in liquidation has been explained </w:t>
      </w:r>
      <w:r w:rsidR="00D24159">
        <w:t>b</w:t>
      </w:r>
      <w:r w:rsidR="00D24159">
        <w:t>y a combination of factors, including the legal and judicial infrastructure, legal protection of creditor rights etc.</w:t>
      </w:r>
      <w:r w:rsidR="00D24159">
        <w:t xml:space="preserve"> </w:t>
      </w:r>
      <w:r w:rsidR="00D0192D">
        <w:t xml:space="preserve"> </w:t>
      </w:r>
      <w:r w:rsidR="00D8558B">
        <w:t>In general, countries with more developed economies and more efficient legal systems tend to have lower ratios of insolvency cases that end up in liquidation. This is because these countries have more options for businesses that are struggling financially, such as bankruptcy protection and restructuring</w:t>
      </w:r>
      <w:r w:rsidR="00D8558B">
        <w:t>.</w:t>
      </w:r>
    </w:p>
    <w:p w14:paraId="3DAF9C8D" w14:textId="77777777" w:rsidR="00D8558B" w:rsidRDefault="00D8558B" w:rsidP="00D8558B"/>
    <w:p w14:paraId="5257BEAF" w14:textId="1515B048" w:rsidR="00D8558B" w:rsidRDefault="00D8558B" w:rsidP="00D8558B">
      <w:r>
        <w:t>In contrast, countries with less developed economies and less efficient legal systems tend to have higher ratios of insolvency cases that end up in liquidation. This is because these countries have fewer options for businesses that are struggling financially, and therefore more businesses are forced to liquidate.</w:t>
      </w:r>
    </w:p>
    <w:p w14:paraId="4853C4B6" w14:textId="77777777" w:rsidR="00D0192D" w:rsidRDefault="00D0192D" w:rsidP="00D0192D">
      <w:bookmarkStart w:id="0" w:name="_GoBack"/>
      <w:bookmarkEnd w:id="0"/>
    </w:p>
    <w:p w14:paraId="088F5719" w14:textId="3C455FE6" w:rsidR="00D0192D" w:rsidRDefault="00D0192D" w:rsidP="00D0192D">
      <w:r w:rsidRPr="00D0192D">
        <w:t>Stiglitz (1972) showed that</w:t>
      </w:r>
      <w:r>
        <w:t xml:space="preserve"> once the </w:t>
      </w:r>
      <w:r w:rsidRPr="00D0192D">
        <w:t xml:space="preserve">possibility of bankruptcy </w:t>
      </w:r>
      <w:r>
        <w:t>becomes real</w:t>
      </w:r>
      <w:r w:rsidRPr="00D0192D">
        <w:t>, the firm will suffer from the effects of the conflict of interest between equity holders and bondholders, with managers tending toward greater risky borrowing.</w:t>
      </w:r>
      <w:r>
        <w:t xml:space="preserve"> </w:t>
      </w:r>
      <w:r w:rsidR="001E64FD">
        <w:t xml:space="preserve">It has been further </w:t>
      </w:r>
      <w:r w:rsidRPr="00D0192D">
        <w:t xml:space="preserve">argued that creditors </w:t>
      </w:r>
      <w:r w:rsidR="001E64FD">
        <w:t xml:space="preserve">will price in the business continuity risk </w:t>
      </w:r>
      <w:r w:rsidRPr="00D0192D">
        <w:t xml:space="preserve">in their lending </w:t>
      </w:r>
      <w:r w:rsidR="001E64FD">
        <w:t>rates (</w:t>
      </w:r>
      <w:proofErr w:type="spellStart"/>
      <w:r w:rsidR="001E64FD" w:rsidRPr="001E64FD">
        <w:rPr>
          <w:highlight w:val="green"/>
        </w:rPr>
        <w:t>Moore1997</w:t>
      </w:r>
      <w:proofErr w:type="spellEnd"/>
      <w:r w:rsidR="001E64FD" w:rsidRPr="001E64FD">
        <w:rPr>
          <w:highlight w:val="green"/>
        </w:rPr>
        <w:t xml:space="preserve"> and </w:t>
      </w:r>
      <w:proofErr w:type="spellStart"/>
      <w:r w:rsidR="001E64FD" w:rsidRPr="001E64FD">
        <w:rPr>
          <w:highlight w:val="green"/>
        </w:rPr>
        <w:t>Meckling1973</w:t>
      </w:r>
      <w:proofErr w:type="spellEnd"/>
      <w:r w:rsidRPr="00D0192D">
        <w:t xml:space="preserve">. </w:t>
      </w:r>
    </w:p>
    <w:p w14:paraId="53F68DD4" w14:textId="77777777" w:rsidR="00D0192D" w:rsidRDefault="00D0192D" w:rsidP="00917F13"/>
    <w:p w14:paraId="69D7776A" w14:textId="0B3B142C" w:rsidR="004E0F7E" w:rsidRDefault="00D24159" w:rsidP="00917F13">
      <w:r>
        <w:t>Principally, it has been argued that the initiation of insolvency proceedings leads to rapid loss of business and market reputation. Trade credit becomes expensive and most often, even secured creditors are wary of extending further accommodation to such a firm, fearing they could be throwing good money after bad. The value of the business declines sharply, as a result (\cite{</w:t>
      </w:r>
      <w:proofErr w:type="spellStart"/>
      <w:r>
        <w:t>Asquith1985</w:t>
      </w:r>
      <w:proofErr w:type="spellEnd"/>
      <w:r>
        <w:t>}).</w:t>
      </w:r>
      <w:r w:rsidR="007B4B5B">
        <w:t xml:space="preserve"> Further, the declining reputational capital of the firm</w:t>
      </w:r>
      <w:r w:rsidR="00917F13">
        <w:t xml:space="preserve"> increases chances of subsequent risky “all-or-none” behaviour. </w:t>
      </w:r>
      <w:r w:rsidR="002C1C6C">
        <w:t>The legal frameworks in different countries recognise t</w:t>
      </w:r>
      <w:r w:rsidR="002C1C6C" w:rsidRPr="00917F13">
        <w:t xml:space="preserve">he risks </w:t>
      </w:r>
      <w:r w:rsidR="002C1C6C">
        <w:t>of the debtor abusing the</w:t>
      </w:r>
      <w:r w:rsidR="002C1C6C" w:rsidRPr="00917F13">
        <w:t xml:space="preserve"> rehabilitation proceedings</w:t>
      </w:r>
      <w:r w:rsidR="002C1C6C">
        <w:t>, and therefore</w:t>
      </w:r>
      <w:r w:rsidR="002C1C6C" w:rsidRPr="00917F13">
        <w:t xml:space="preserve"> provide for a mechanism to convert the rehabilitation proceedings into liquid</w:t>
      </w:r>
      <w:r w:rsidR="002C1C6C" w:rsidRPr="00CE1A3D">
        <w:t>ation (\cite{</w:t>
      </w:r>
      <w:proofErr w:type="spellStart"/>
      <w:r w:rsidR="002C1C6C" w:rsidRPr="00CE1A3D">
        <w:t>IMF1999a</w:t>
      </w:r>
      <w:proofErr w:type="spellEnd"/>
      <w:r w:rsidR="002C1C6C" w:rsidRPr="00CE1A3D">
        <w:t>}).</w:t>
      </w:r>
    </w:p>
    <w:p w14:paraId="7F4A3EF3" w14:textId="48E52EFC" w:rsidR="00C66C1A" w:rsidRPr="007A7183" w:rsidRDefault="00C66C1A" w:rsidP="00D24159"/>
    <w:p w14:paraId="59F19615" w14:textId="16C48737" w:rsidR="00A81598" w:rsidRDefault="00D24159" w:rsidP="00761C10">
      <w:r>
        <w:t>Secured creditors have a rational incentive to trigger bankruptcy proceedings, even before exhausting the full gamut of reorganisation option</w:t>
      </w:r>
      <w:r w:rsidR="00532B14">
        <w:t xml:space="preserve"> (\cite{</w:t>
      </w:r>
      <w:proofErr w:type="spellStart"/>
      <w:r w:rsidR="00532B14">
        <w:t>Armour2012</w:t>
      </w:r>
      <w:proofErr w:type="spellEnd"/>
      <w:r w:rsidR="00532B14">
        <w:t>})</w:t>
      </w:r>
      <w:r w:rsidR="00761C10">
        <w:t xml:space="preserve">. </w:t>
      </w:r>
      <w:r w:rsidR="00761C10">
        <w:rPr>
          <w:lang w:val="en-US"/>
        </w:rPr>
        <w:t>I</w:t>
      </w:r>
      <w:r w:rsidR="00761C10">
        <w:rPr>
          <w:lang w:val="en-US"/>
        </w:rPr>
        <w:t>n</w:t>
      </w:r>
      <w:r w:rsidR="00761C10">
        <w:rPr>
          <w:lang w:val="en-US"/>
        </w:rPr>
        <w:t xml:space="preserve"> </w:t>
      </w:r>
      <w:r w:rsidR="00761C10">
        <w:rPr>
          <w:lang w:val="en-US"/>
        </w:rPr>
        <w:t>cases where the value of the firm’s assets was less than the amount owed to the</w:t>
      </w:r>
      <w:r w:rsidR="00761C10">
        <w:rPr>
          <w:lang w:val="en-US"/>
        </w:rPr>
        <w:t xml:space="preserve"> </w:t>
      </w:r>
      <w:r w:rsidR="00761C10">
        <w:rPr>
          <w:lang w:val="en-US"/>
        </w:rPr>
        <w:t xml:space="preserve">secured creditor (that is, </w:t>
      </w:r>
      <w:proofErr w:type="spellStart"/>
      <w:r w:rsidR="00761C10">
        <w:rPr>
          <w:lang w:val="en-US"/>
        </w:rPr>
        <w:t>the</w:t>
      </w:r>
      <w:proofErr w:type="spellEnd"/>
      <w:r w:rsidR="00CE1A3D">
        <w:rPr>
          <w:lang w:val="en-US"/>
        </w:rPr>
        <w:t xml:space="preserve"> latter</w:t>
      </w:r>
      <w:r w:rsidR="00761C10">
        <w:rPr>
          <w:lang w:val="en-US"/>
        </w:rPr>
        <w:t xml:space="preserve"> </w:t>
      </w:r>
      <w:r w:rsidR="00CE1A3D">
        <w:rPr>
          <w:lang w:val="en-US"/>
        </w:rPr>
        <w:t>a</w:t>
      </w:r>
      <w:r w:rsidR="00761C10">
        <w:rPr>
          <w:lang w:val="en-US"/>
        </w:rPr>
        <w:t xml:space="preserve">re </w:t>
      </w:r>
      <w:proofErr w:type="spellStart"/>
      <w:r w:rsidR="00761C10">
        <w:rPr>
          <w:lang w:val="en-US"/>
        </w:rPr>
        <w:t>undersecured</w:t>
      </w:r>
      <w:proofErr w:type="spellEnd"/>
      <w:r w:rsidR="00761C10">
        <w:rPr>
          <w:lang w:val="en-US"/>
        </w:rPr>
        <w:t>), the</w:t>
      </w:r>
      <w:r w:rsidR="00CE1A3D">
        <w:rPr>
          <w:lang w:val="en-US"/>
        </w:rPr>
        <w:t>y become</w:t>
      </w:r>
      <w:r w:rsidR="00761C10">
        <w:rPr>
          <w:lang w:val="en-US"/>
        </w:rPr>
        <w:t xml:space="preserve"> the residual</w:t>
      </w:r>
      <w:r w:rsidR="00761C10">
        <w:rPr>
          <w:lang w:val="en-US"/>
        </w:rPr>
        <w:t xml:space="preserve"> </w:t>
      </w:r>
      <w:r w:rsidR="00761C10">
        <w:rPr>
          <w:lang w:val="en-US"/>
        </w:rPr>
        <w:t xml:space="preserve">claimant </w:t>
      </w:r>
      <w:r w:rsidR="00761C10">
        <w:rPr>
          <w:lang w:val="en-US"/>
        </w:rPr>
        <w:t xml:space="preserve">of the firm’s assets </w:t>
      </w:r>
      <w:r w:rsidR="00761C10">
        <w:rPr>
          <w:lang w:val="en-US"/>
        </w:rPr>
        <w:t>and the</w:t>
      </w:r>
      <w:r w:rsidR="00761C10">
        <w:rPr>
          <w:lang w:val="en-US"/>
        </w:rPr>
        <w:t>refore had</w:t>
      </w:r>
      <w:r w:rsidR="00532B14">
        <w:rPr>
          <w:lang w:val="en-US"/>
        </w:rPr>
        <w:t xml:space="preserve"> </w:t>
      </w:r>
      <w:r w:rsidR="00761C10">
        <w:rPr>
          <w:lang w:val="en-US"/>
        </w:rPr>
        <w:t>a strong</w:t>
      </w:r>
      <w:r w:rsidR="00761C10">
        <w:rPr>
          <w:lang w:val="en-US"/>
        </w:rPr>
        <w:t xml:space="preserve"> incentive to maximize value</w:t>
      </w:r>
      <w:r w:rsidR="00761C10">
        <w:rPr>
          <w:lang w:val="en-US"/>
        </w:rPr>
        <w:t xml:space="preserve"> by calling bankruptcy proceedings </w:t>
      </w:r>
      <w:r w:rsidR="00761C10">
        <w:rPr>
          <w:lang w:val="en-US"/>
        </w:rPr>
        <w:t>(</w:t>
      </w:r>
      <w:r w:rsidR="00761C10">
        <w:rPr>
          <w:lang w:val="en-US"/>
        </w:rPr>
        <w:t>\cite{</w:t>
      </w:r>
      <w:proofErr w:type="spellStart"/>
      <w:r w:rsidR="00761C10">
        <w:rPr>
          <w:lang w:val="en-US"/>
        </w:rPr>
        <w:t>Armour2001</w:t>
      </w:r>
      <w:proofErr w:type="spellEnd"/>
      <w:r w:rsidR="00761C10">
        <w:rPr>
          <w:lang w:val="en-US"/>
        </w:rPr>
        <w:t>,</w:t>
      </w:r>
      <w:r w:rsidR="00761C10">
        <w:rPr>
          <w:lang w:val="en-US"/>
        </w:rPr>
        <w:t xml:space="preserve"> </w:t>
      </w:r>
      <w:proofErr w:type="spellStart"/>
      <w:r w:rsidR="00761C10">
        <w:rPr>
          <w:lang w:val="en-US"/>
        </w:rPr>
        <w:t>Ayotte2008</w:t>
      </w:r>
      <w:proofErr w:type="spellEnd"/>
      <w:r w:rsidR="00761C10">
        <w:rPr>
          <w:lang w:val="en-US"/>
        </w:rPr>
        <w:t>}</w:t>
      </w:r>
      <w:r w:rsidR="00761C10">
        <w:rPr>
          <w:lang w:val="en-US"/>
        </w:rPr>
        <w:t>)</w:t>
      </w:r>
      <w:r w:rsidR="00761C10">
        <w:rPr>
          <w:sz w:val="22"/>
          <w:szCs w:val="22"/>
          <w:lang w:val="en-US"/>
        </w:rPr>
        <w:t>.</w:t>
      </w:r>
    </w:p>
    <w:p w14:paraId="5B1A1D2C" w14:textId="77777777" w:rsidR="00CE1A3D" w:rsidRDefault="00CE1A3D" w:rsidP="00CE1A3D"/>
    <w:p w14:paraId="409DED7A" w14:textId="022C6A07" w:rsidR="00CE1A3D" w:rsidRPr="004E0F3F" w:rsidRDefault="00CE1A3D" w:rsidP="00CE1A3D">
      <w:pPr>
        <w:rPr>
          <w:b/>
          <w:sz w:val="24"/>
          <w:szCs w:val="24"/>
        </w:rPr>
      </w:pPr>
    </w:p>
    <w:p w14:paraId="05AC26DC" w14:textId="77777777" w:rsidR="00CE1A3D" w:rsidRPr="00917F13" w:rsidRDefault="00CE1A3D" w:rsidP="00CE1A3D">
      <w:r w:rsidRPr="004E0F3F">
        <w:t xml:space="preserve"> </w:t>
      </w:r>
    </w:p>
    <w:p w14:paraId="385B689D" w14:textId="77777777" w:rsidR="00CE1A3D" w:rsidRPr="00917F13" w:rsidRDefault="00CE1A3D" w:rsidP="00CE1A3D"/>
    <w:p w14:paraId="209E0C2D" w14:textId="6A45DD7B" w:rsidR="00D24159" w:rsidRDefault="00D24159" w:rsidP="00D24159"/>
    <w:p w14:paraId="6512BED3" w14:textId="77777777" w:rsidR="00A81598" w:rsidRPr="001E1958" w:rsidRDefault="00A81598" w:rsidP="00036E7D"/>
    <w:p w14:paraId="230C5F30" w14:textId="794DBAFC" w:rsidR="00036E7D" w:rsidRDefault="00036E7D" w:rsidP="00036E7D">
      <w:r>
        <w:t xml:space="preserve">IBBI2019: </w:t>
      </w:r>
      <w:r>
        <w:t>The Code does not enable a stakeholder to file an application for liquidation. It enables filing an application for initiating corporate insolvency resolution process. Only after a resolution fails to yield resolution plan, the CD is ordered into liquidation. As evident from section 33 of the Code:</w:t>
      </w:r>
    </w:p>
    <w:p w14:paraId="5AB2507D" w14:textId="05C6A7E0" w:rsidR="00D979A6" w:rsidRDefault="00D979A6" w:rsidP="00036E7D">
      <w:pPr>
        <w:rPr>
          <w:lang w:val="en-US"/>
        </w:rPr>
      </w:pPr>
    </w:p>
    <w:p w14:paraId="4B576CF2" w14:textId="77777777" w:rsidR="00D979A6" w:rsidRPr="007A1131" w:rsidRDefault="00D979A6" w:rsidP="00036E7D"/>
    <w:p w14:paraId="15E8243F" w14:textId="77777777" w:rsidR="00F35E66" w:rsidRDefault="00F35E66" w:rsidP="00036E7D">
      <w:pPr>
        <w:rPr>
          <w:lang w:val="en-US"/>
        </w:rPr>
      </w:pPr>
    </w:p>
    <w:p w14:paraId="01242174" w14:textId="4F9B5A68" w:rsidR="00703A8F" w:rsidRPr="00D433E9" w:rsidRDefault="005A737E" w:rsidP="00036E7D">
      <w:pPr>
        <w:rPr>
          <w:color w:val="1F3763" w:themeColor="accent1" w:themeShade="7F"/>
          <w:sz w:val="24"/>
          <w:lang w:val="en-US"/>
        </w:rPr>
      </w:pPr>
      <w:r>
        <w:rPr>
          <w:lang w:val="en-US"/>
        </w:rPr>
        <w:t>4.1 Recovery metrics</w:t>
      </w:r>
    </w:p>
    <w:p w14:paraId="1EA180F8" w14:textId="4CA98FBA" w:rsidR="00396590" w:rsidRPr="00396590" w:rsidRDefault="00BD005B" w:rsidP="00036E7D">
      <w:r w:rsidRPr="00665B90">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lang w:val="en-US"/>
        </w:rPr>
        <w:t xml:space="preserve">n terms of the 610 cases that were settled through the resolution platform, total </w:t>
      </w:r>
      <w:r w:rsidR="00665B90">
        <w:rPr>
          <w:lang w:val="en-US"/>
        </w:rPr>
        <w:t>re</w:t>
      </w:r>
      <w:r w:rsidR="007C7E7C">
        <w:rPr>
          <w:lang w:val="en-US"/>
        </w:rPr>
        <w:t>coveries</w:t>
      </w:r>
      <w:r w:rsidR="00665B90">
        <w:rPr>
          <w:lang w:val="en-US"/>
        </w:rPr>
        <w:t xml:space="preserve"> amounted to 3</w:t>
      </w:r>
      <w:r w:rsidR="007C7E7C">
        <w:rPr>
          <w:lang w:val="en-US"/>
        </w:rPr>
        <w:t>3</w:t>
      </w:r>
      <w:r w:rsidR="00665B90">
        <w:rPr>
          <w:lang w:val="en-US"/>
        </w:rPr>
        <w:t>.</w:t>
      </w:r>
      <w:r w:rsidR="007C7E7C">
        <w:rPr>
          <w:lang w:val="en-US"/>
        </w:rPr>
        <w:t>8</w:t>
      </w:r>
      <w:r w:rsidR="00665B90">
        <w:rPr>
          <w:lang w:val="en-US"/>
        </w:rPr>
        <w:t>4 per cent of the total admitted claims</w:t>
      </w:r>
      <w:r w:rsidR="007C7E7C">
        <w:rPr>
          <w:lang w:val="en-US"/>
        </w:rPr>
        <w:t>, of which the recovery percentage for financial creditors was 37.60 per cent</w:t>
      </w:r>
      <w:r w:rsidR="00665B90">
        <w:rPr>
          <w:lang w:val="en-US"/>
        </w:rPr>
        <w:t>.</w:t>
      </w:r>
      <w:r w:rsidR="0098268C">
        <w:rPr>
          <w:lang w:val="en-US"/>
        </w:rPr>
        <w:t xml:space="preserve"> </w:t>
      </w:r>
      <w:r w:rsidR="00396590">
        <w:t xml:space="preserve">Our analysis compares well with the findings in an Indian Institute of Management, Ahmedabad study </w:t>
      </w:r>
      <w:r w:rsidR="004A177A">
        <w:t xml:space="preserve">\cite{IIMA2023}. </w:t>
      </w:r>
      <w:r w:rsidR="009F5E6D">
        <w:t xml:space="preserve">For a sample of 542 insolvency cases that closed with resolution, the study reports </w:t>
      </w:r>
      <w:r w:rsidR="00396590" w:rsidRPr="00396590">
        <w:t>the average recovery rate is about 33.2</w:t>
      </w:r>
      <w:r w:rsidR="009F5E6D">
        <w:t xml:space="preserve"> per cent</w:t>
      </w:r>
      <w:r w:rsidR="00396590" w:rsidRPr="00396590">
        <w:t>, of which the financial creditors have an average recovery of about 38.5</w:t>
      </w:r>
      <w:r w:rsidR="009F5E6D">
        <w:t xml:space="preserve"> per cent</w:t>
      </w:r>
      <w:r w:rsidR="00396590" w:rsidRPr="00396590">
        <w:t xml:space="preserve"> and the operational creditors at 23.8</w:t>
      </w:r>
      <w:r w:rsidR="009F5E6D">
        <w:t xml:space="preserve"> per cent</w:t>
      </w:r>
      <w:r w:rsidR="00396590" w:rsidRPr="00396590">
        <w:t>.</w:t>
      </w:r>
    </w:p>
    <w:p w14:paraId="4E30107B" w14:textId="59AD4225" w:rsidR="000E6C60" w:rsidRDefault="001024D1" w:rsidP="00036E7D">
      <w:pPr>
        <w:rPr>
          <w:lang w:val="en-US"/>
        </w:rPr>
      </w:pPr>
      <w:r>
        <w:rPr>
          <w:lang w:val="en-US"/>
        </w:rPr>
        <w:t xml:space="preserve">For </w:t>
      </w:r>
      <w:r w:rsidR="00522B5B">
        <w:rPr>
          <w:lang w:val="en-US"/>
        </w:rPr>
        <w:t xml:space="preserve">a panel of 91 countries, </w:t>
      </w:r>
      <w:proofErr w:type="spellStart"/>
      <w:r w:rsidR="00522B5B">
        <w:rPr>
          <w:lang w:val="en-US"/>
        </w:rPr>
        <w:t>Succurro</w:t>
      </w:r>
      <w:proofErr w:type="spellEnd"/>
      <w:r>
        <w:rPr>
          <w:lang w:val="en-US"/>
        </w:rPr>
        <w:t xml:space="preserve"> (2012) report a mean recovery rate of 40.55 per cent, with</w:t>
      </w:r>
      <w:r w:rsidR="00D433E9">
        <w:rPr>
          <w:lang w:val="en-US"/>
        </w:rPr>
        <w:t xml:space="preserve"> a</w:t>
      </w:r>
      <w:r>
        <w:rPr>
          <w:lang w:val="en-US"/>
        </w:rPr>
        <w:t xml:space="preserve"> standard deviation of 25.90.</w:t>
      </w:r>
      <w:r w:rsidR="00D433E9">
        <w:rPr>
          <w:lang w:val="en-US"/>
        </w:rPr>
        <w:t xml:space="preserve"> The World Bank, Doing Business Report (2021) documents a global perspective.</w:t>
      </w:r>
    </w:p>
    <w:p w14:paraId="141DB4D0" w14:textId="77777777" w:rsidR="00732C74" w:rsidRPr="00703A8F" w:rsidRDefault="00732C74" w:rsidP="00036E7D">
      <w:pPr>
        <w:rPr>
          <w:lang w:val="en-US"/>
        </w:rPr>
      </w:pPr>
    </w:p>
    <w:sectPr w:rsidR="00732C74" w:rsidRPr="00703A8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ode">
    <w:altName w:val="Calibri"/>
    <w:panose1 w:val="020B0604020202020204"/>
    <w:charset w:val="00"/>
    <w:family w:val="swiss"/>
    <w:pitch w:val="default"/>
    <w:sig w:usb0="00000003" w:usb1="00000000" w:usb2="00000000" w:usb3="00000000" w:csb0="00000001"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477B"/>
    <w:rsid w:val="000058A1"/>
    <w:rsid w:val="0000711E"/>
    <w:rsid w:val="00020AC9"/>
    <w:rsid w:val="00021952"/>
    <w:rsid w:val="0002558E"/>
    <w:rsid w:val="00030948"/>
    <w:rsid w:val="00036E7D"/>
    <w:rsid w:val="00052806"/>
    <w:rsid w:val="00063A30"/>
    <w:rsid w:val="00067B41"/>
    <w:rsid w:val="000811D3"/>
    <w:rsid w:val="000823FA"/>
    <w:rsid w:val="00097476"/>
    <w:rsid w:val="000A3164"/>
    <w:rsid w:val="000D5A1A"/>
    <w:rsid w:val="000E650A"/>
    <w:rsid w:val="000E6C60"/>
    <w:rsid w:val="001024D1"/>
    <w:rsid w:val="00111996"/>
    <w:rsid w:val="00117CAE"/>
    <w:rsid w:val="00142AA8"/>
    <w:rsid w:val="00160348"/>
    <w:rsid w:val="00173675"/>
    <w:rsid w:val="001770E1"/>
    <w:rsid w:val="00180CCC"/>
    <w:rsid w:val="00180EE0"/>
    <w:rsid w:val="00192E8B"/>
    <w:rsid w:val="00193B39"/>
    <w:rsid w:val="001957BC"/>
    <w:rsid w:val="00197C36"/>
    <w:rsid w:val="001A13AB"/>
    <w:rsid w:val="001B22F5"/>
    <w:rsid w:val="001C274A"/>
    <w:rsid w:val="001E1958"/>
    <w:rsid w:val="001E3044"/>
    <w:rsid w:val="001E64FD"/>
    <w:rsid w:val="001F18D8"/>
    <w:rsid w:val="001F6A69"/>
    <w:rsid w:val="001F7406"/>
    <w:rsid w:val="00204124"/>
    <w:rsid w:val="00205545"/>
    <w:rsid w:val="002105EB"/>
    <w:rsid w:val="00211C51"/>
    <w:rsid w:val="0022780E"/>
    <w:rsid w:val="002406ED"/>
    <w:rsid w:val="002419D5"/>
    <w:rsid w:val="00262065"/>
    <w:rsid w:val="00290920"/>
    <w:rsid w:val="002B23D2"/>
    <w:rsid w:val="002B4E47"/>
    <w:rsid w:val="002C1C6C"/>
    <w:rsid w:val="00306785"/>
    <w:rsid w:val="00310049"/>
    <w:rsid w:val="003101EE"/>
    <w:rsid w:val="00312259"/>
    <w:rsid w:val="00322FEE"/>
    <w:rsid w:val="00371F4C"/>
    <w:rsid w:val="00383F12"/>
    <w:rsid w:val="00387A10"/>
    <w:rsid w:val="00392973"/>
    <w:rsid w:val="00396590"/>
    <w:rsid w:val="003A3510"/>
    <w:rsid w:val="003B3EF7"/>
    <w:rsid w:val="003B3F28"/>
    <w:rsid w:val="003E32DB"/>
    <w:rsid w:val="00400409"/>
    <w:rsid w:val="0042552C"/>
    <w:rsid w:val="0042558A"/>
    <w:rsid w:val="0042718E"/>
    <w:rsid w:val="00432A67"/>
    <w:rsid w:val="00474281"/>
    <w:rsid w:val="004802C5"/>
    <w:rsid w:val="00481947"/>
    <w:rsid w:val="004923CA"/>
    <w:rsid w:val="00493039"/>
    <w:rsid w:val="004A177A"/>
    <w:rsid w:val="004A53BF"/>
    <w:rsid w:val="004B2281"/>
    <w:rsid w:val="004B659F"/>
    <w:rsid w:val="004D0363"/>
    <w:rsid w:val="004E0F7E"/>
    <w:rsid w:val="004F6774"/>
    <w:rsid w:val="00522B5B"/>
    <w:rsid w:val="00532B14"/>
    <w:rsid w:val="00544DFA"/>
    <w:rsid w:val="005656EC"/>
    <w:rsid w:val="00571E1D"/>
    <w:rsid w:val="00572F21"/>
    <w:rsid w:val="00576CE5"/>
    <w:rsid w:val="00582729"/>
    <w:rsid w:val="005955CF"/>
    <w:rsid w:val="00595CCF"/>
    <w:rsid w:val="00596F28"/>
    <w:rsid w:val="005A04CC"/>
    <w:rsid w:val="005A4E9A"/>
    <w:rsid w:val="005A6071"/>
    <w:rsid w:val="005A653C"/>
    <w:rsid w:val="005A737E"/>
    <w:rsid w:val="005B05B5"/>
    <w:rsid w:val="005C5627"/>
    <w:rsid w:val="005F702E"/>
    <w:rsid w:val="006133F2"/>
    <w:rsid w:val="00614757"/>
    <w:rsid w:val="00615106"/>
    <w:rsid w:val="00621A61"/>
    <w:rsid w:val="0065026A"/>
    <w:rsid w:val="00657FD4"/>
    <w:rsid w:val="00665B90"/>
    <w:rsid w:val="00666E62"/>
    <w:rsid w:val="006856FE"/>
    <w:rsid w:val="00695DD6"/>
    <w:rsid w:val="006A1A83"/>
    <w:rsid w:val="006A516E"/>
    <w:rsid w:val="006B2B62"/>
    <w:rsid w:val="006B3ADA"/>
    <w:rsid w:val="006B4FF1"/>
    <w:rsid w:val="006C4440"/>
    <w:rsid w:val="006D5BD4"/>
    <w:rsid w:val="006E1926"/>
    <w:rsid w:val="006E5903"/>
    <w:rsid w:val="006F1103"/>
    <w:rsid w:val="00703A8F"/>
    <w:rsid w:val="00704C48"/>
    <w:rsid w:val="007233DF"/>
    <w:rsid w:val="007279E5"/>
    <w:rsid w:val="00732C74"/>
    <w:rsid w:val="00761C10"/>
    <w:rsid w:val="00763496"/>
    <w:rsid w:val="00764271"/>
    <w:rsid w:val="00790164"/>
    <w:rsid w:val="00797525"/>
    <w:rsid w:val="007A1131"/>
    <w:rsid w:val="007A7183"/>
    <w:rsid w:val="007A7293"/>
    <w:rsid w:val="007B1A2C"/>
    <w:rsid w:val="007B2764"/>
    <w:rsid w:val="007B4B5B"/>
    <w:rsid w:val="007B4BA6"/>
    <w:rsid w:val="007C7E7C"/>
    <w:rsid w:val="007D771E"/>
    <w:rsid w:val="007D7CA0"/>
    <w:rsid w:val="007F413B"/>
    <w:rsid w:val="00805CB1"/>
    <w:rsid w:val="00807519"/>
    <w:rsid w:val="00810955"/>
    <w:rsid w:val="00811689"/>
    <w:rsid w:val="00813171"/>
    <w:rsid w:val="00817BFF"/>
    <w:rsid w:val="0083167D"/>
    <w:rsid w:val="00845CA0"/>
    <w:rsid w:val="00846842"/>
    <w:rsid w:val="008549CC"/>
    <w:rsid w:val="00860EBC"/>
    <w:rsid w:val="008652B3"/>
    <w:rsid w:val="00871B76"/>
    <w:rsid w:val="0088169F"/>
    <w:rsid w:val="00882414"/>
    <w:rsid w:val="00882655"/>
    <w:rsid w:val="008E1B4C"/>
    <w:rsid w:val="008E248E"/>
    <w:rsid w:val="008E282B"/>
    <w:rsid w:val="008F00C8"/>
    <w:rsid w:val="008F7744"/>
    <w:rsid w:val="009048E8"/>
    <w:rsid w:val="00907C90"/>
    <w:rsid w:val="00917F13"/>
    <w:rsid w:val="00921A4F"/>
    <w:rsid w:val="00922F31"/>
    <w:rsid w:val="00936E83"/>
    <w:rsid w:val="00971A07"/>
    <w:rsid w:val="009748D7"/>
    <w:rsid w:val="00981616"/>
    <w:rsid w:val="0098268C"/>
    <w:rsid w:val="009B623D"/>
    <w:rsid w:val="009F1074"/>
    <w:rsid w:val="009F5E6D"/>
    <w:rsid w:val="00A31169"/>
    <w:rsid w:val="00A32A78"/>
    <w:rsid w:val="00A349A0"/>
    <w:rsid w:val="00A54235"/>
    <w:rsid w:val="00A81598"/>
    <w:rsid w:val="00AA1653"/>
    <w:rsid w:val="00AC5079"/>
    <w:rsid w:val="00AC7A45"/>
    <w:rsid w:val="00AF4372"/>
    <w:rsid w:val="00B12DBC"/>
    <w:rsid w:val="00B17157"/>
    <w:rsid w:val="00B211DF"/>
    <w:rsid w:val="00B32B4B"/>
    <w:rsid w:val="00B4295D"/>
    <w:rsid w:val="00B74326"/>
    <w:rsid w:val="00B77C07"/>
    <w:rsid w:val="00B83A89"/>
    <w:rsid w:val="00B86A68"/>
    <w:rsid w:val="00B907E9"/>
    <w:rsid w:val="00BC0DB9"/>
    <w:rsid w:val="00BC2C2B"/>
    <w:rsid w:val="00BD005B"/>
    <w:rsid w:val="00BD2B56"/>
    <w:rsid w:val="00BE0D80"/>
    <w:rsid w:val="00BF1DF0"/>
    <w:rsid w:val="00C01039"/>
    <w:rsid w:val="00C019A7"/>
    <w:rsid w:val="00C02E7F"/>
    <w:rsid w:val="00C04C3C"/>
    <w:rsid w:val="00C44C92"/>
    <w:rsid w:val="00C456DF"/>
    <w:rsid w:val="00C4574E"/>
    <w:rsid w:val="00C610DE"/>
    <w:rsid w:val="00C66C1A"/>
    <w:rsid w:val="00C7753D"/>
    <w:rsid w:val="00C81F1D"/>
    <w:rsid w:val="00C8486A"/>
    <w:rsid w:val="00C87120"/>
    <w:rsid w:val="00C9286C"/>
    <w:rsid w:val="00CA0852"/>
    <w:rsid w:val="00CA2159"/>
    <w:rsid w:val="00CA418B"/>
    <w:rsid w:val="00CA5AAE"/>
    <w:rsid w:val="00CA6A1E"/>
    <w:rsid w:val="00CC30C7"/>
    <w:rsid w:val="00CD1077"/>
    <w:rsid w:val="00CE0F39"/>
    <w:rsid w:val="00CE1A3D"/>
    <w:rsid w:val="00CE5FA0"/>
    <w:rsid w:val="00CE77AC"/>
    <w:rsid w:val="00CF0AE3"/>
    <w:rsid w:val="00D0192D"/>
    <w:rsid w:val="00D05901"/>
    <w:rsid w:val="00D24159"/>
    <w:rsid w:val="00D409E7"/>
    <w:rsid w:val="00D433E9"/>
    <w:rsid w:val="00D8558B"/>
    <w:rsid w:val="00D979A6"/>
    <w:rsid w:val="00DA2D06"/>
    <w:rsid w:val="00DA3E7E"/>
    <w:rsid w:val="00DB104E"/>
    <w:rsid w:val="00DC0782"/>
    <w:rsid w:val="00DD4A6E"/>
    <w:rsid w:val="00DE4E60"/>
    <w:rsid w:val="00DF067D"/>
    <w:rsid w:val="00E20B76"/>
    <w:rsid w:val="00E3560E"/>
    <w:rsid w:val="00E35FC0"/>
    <w:rsid w:val="00E43165"/>
    <w:rsid w:val="00E477B8"/>
    <w:rsid w:val="00E524BA"/>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214CD"/>
    <w:rsid w:val="00F3295B"/>
    <w:rsid w:val="00F35E66"/>
    <w:rsid w:val="00F47A8A"/>
    <w:rsid w:val="00F56B4D"/>
    <w:rsid w:val="00F641AD"/>
    <w:rsid w:val="00F81351"/>
    <w:rsid w:val="00F906FA"/>
    <w:rsid w:val="00FB27A5"/>
    <w:rsid w:val="00FB51DB"/>
    <w:rsid w:val="00FC0C48"/>
    <w:rsid w:val="00FC6B44"/>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E7D"/>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1E1958"/>
    <w:pPr>
      <w:keepNext/>
      <w:keepLines/>
      <w:spacing w:before="40"/>
      <w:outlineLvl w:val="2"/>
    </w:pPr>
    <w:rPr>
      <w:rFonts w:eastAsiaTheme="majorEastAsia" w:cstheme="majorBidi"/>
      <w:b/>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1E1958"/>
    <w:rPr>
      <w:rFonts w:ascii="CMU Sans Serif Medium" w:eastAsiaTheme="majorEastAsia" w:hAnsi="CMU Sans Serif Medium" w:cstheme="majorBidi"/>
      <w:b/>
      <w:color w:val="1F3763" w:themeColor="accent1" w:themeShade="7F"/>
      <w:sz w:val="28"/>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92D"/>
    <w:pPr>
      <w:autoSpaceDE w:val="0"/>
      <w:autoSpaceDN w:val="0"/>
      <w:adjustRightInd w:val="0"/>
    </w:pPr>
    <w:rPr>
      <w:rFonts w:ascii="Code" w:hAnsi="Code" w:cs="Code"/>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42628006">
      <w:bodyDiv w:val="1"/>
      <w:marLeft w:val="0"/>
      <w:marRight w:val="0"/>
      <w:marTop w:val="0"/>
      <w:marBottom w:val="0"/>
      <w:divBdr>
        <w:top w:val="none" w:sz="0" w:space="0" w:color="auto"/>
        <w:left w:val="none" w:sz="0" w:space="0" w:color="auto"/>
        <w:bottom w:val="none" w:sz="0" w:space="0" w:color="auto"/>
        <w:right w:val="none" w:sz="0" w:space="0" w:color="auto"/>
      </w:divBdr>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376052099">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26452526">
      <w:bodyDiv w:val="1"/>
      <w:marLeft w:val="0"/>
      <w:marRight w:val="0"/>
      <w:marTop w:val="0"/>
      <w:marBottom w:val="0"/>
      <w:divBdr>
        <w:top w:val="none" w:sz="0" w:space="0" w:color="auto"/>
        <w:left w:val="none" w:sz="0" w:space="0" w:color="auto"/>
        <w:bottom w:val="none" w:sz="0" w:space="0" w:color="auto"/>
        <w:right w:val="none" w:sz="0" w:space="0" w:color="auto"/>
      </w:divBdr>
    </w:div>
    <w:div w:id="540243355">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765349252">
      <w:bodyDiv w:val="1"/>
      <w:marLeft w:val="0"/>
      <w:marRight w:val="0"/>
      <w:marTop w:val="0"/>
      <w:marBottom w:val="0"/>
      <w:divBdr>
        <w:top w:val="none" w:sz="0" w:space="0" w:color="auto"/>
        <w:left w:val="none" w:sz="0" w:space="0" w:color="auto"/>
        <w:bottom w:val="none" w:sz="0" w:space="0" w:color="auto"/>
        <w:right w:val="none" w:sz="0" w:space="0" w:color="auto"/>
      </w:divBdr>
    </w:div>
    <w:div w:id="811407086">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351762786">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086995551">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186</cp:revision>
  <dcterms:created xsi:type="dcterms:W3CDTF">2023-11-07T13:28:00Z</dcterms:created>
  <dcterms:modified xsi:type="dcterms:W3CDTF">2023-11-25T02:38:00Z</dcterms:modified>
</cp:coreProperties>
</file>