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3C2F598A" w:rsidR="00FC0C48" w:rsidRPr="00B907E9" w:rsidRDefault="000D5A1A" w:rsidP="0022780E">
      <w:r w:rsidRPr="00B907E9">
        <w:t>S</w:t>
      </w:r>
      <w:r w:rsidR="001C274A">
        <w:t>ix</w:t>
      </w:r>
      <w:r w:rsidRPr="00B907E9">
        <w:t xml:space="preserve"> years of Indian bankruptcy laws: S</w:t>
      </w:r>
      <w:r w:rsidR="001C274A">
        <w:t>ome</w:t>
      </w:r>
      <w:r w:rsidRPr="00B907E9">
        <w:t xml:space="preserve"> stylized facts</w:t>
      </w:r>
    </w:p>
    <w:p w14:paraId="5A54B545" w14:textId="30B50355" w:rsidR="000D5A1A" w:rsidRDefault="005F702E" w:rsidP="0022780E">
      <w:r w:rsidRPr="005F702E">
        <w:t>Abstract</w:t>
      </w:r>
    </w:p>
    <w:p w14:paraId="09A171A8" w14:textId="0BE3EB11" w:rsidR="006B2B62" w:rsidRDefault="005F702E" w:rsidP="0022780E">
      <w:r w:rsidRPr="005F702E">
        <w:t xml:space="preserve">We present some stylized facts </w:t>
      </w:r>
      <w:r w:rsidR="006E5903">
        <w:t>from</w:t>
      </w:r>
      <w:r w:rsidRPr="005F702E">
        <w:t xml:space="preserve"> data on insolvency and bankruptcy proceedings in India, post the </w:t>
      </w:r>
      <w:r>
        <w:t>la</w:t>
      </w:r>
      <w:r w:rsidRPr="005F702E">
        <w:t>test</w:t>
      </w:r>
      <w:r>
        <w:t xml:space="preserve"> bankruptcy law, passed in 2016.</w:t>
      </w:r>
      <w:r w:rsidR="006B2B62">
        <w:t xml:space="preserve">. Specifically, we </w:t>
      </w:r>
      <w:r w:rsidR="00DC0782">
        <w:t>report</w:t>
      </w:r>
      <w:r w:rsidR="006B2B62">
        <w:t xml:space="preserve"> </w:t>
      </w:r>
      <w:r w:rsidR="006B2B62" w:rsidRPr="00211C51">
        <w:t xml:space="preserve">that </w:t>
      </w:r>
      <w:r w:rsidR="00211C51">
        <w:t>30.68</w:t>
      </w:r>
      <w:r w:rsidRPr="00B50CD0">
        <w:t xml:space="preserve">% of the companies in </w:t>
      </w:r>
      <w:r w:rsidR="002B4E47">
        <w:t>insolvency proceedings</w:t>
      </w:r>
      <w:r w:rsidRPr="00B50CD0">
        <w:t xml:space="preserve"> end</w:t>
      </w:r>
      <w:r w:rsidR="002B4E47">
        <w:t>ed</w:t>
      </w:r>
      <w:r w:rsidRPr="00B50CD0">
        <w:t xml:space="preserve"> up in liquidation; </w:t>
      </w:r>
      <w:r w:rsidR="00211C51">
        <w:t xml:space="preserve">for the sample of 610 cases which ended with resolution/rehabilitation, </w:t>
      </w:r>
      <w:r w:rsidR="006B2B62">
        <w:t xml:space="preserve">recoveries for creditors </w:t>
      </w:r>
      <w:r w:rsidR="00211C51">
        <w:t xml:space="preserve">(overall) </w:t>
      </w:r>
      <w:r w:rsidR="006B2B62">
        <w:t>did not exceed</w:t>
      </w:r>
      <w:r w:rsidRPr="00B50CD0">
        <w:t xml:space="preserve"> </w:t>
      </w:r>
      <w:r w:rsidR="005C5627" w:rsidRPr="005C5627">
        <w:t>3</w:t>
      </w:r>
      <w:r w:rsidR="006C4440">
        <w:t>4</w:t>
      </w:r>
      <w:r w:rsidR="00211C51">
        <w:t xml:space="preserve"> per cent</w:t>
      </w:r>
      <w:r w:rsidRPr="00B50CD0">
        <w:t xml:space="preserve"> of the </w:t>
      </w:r>
      <w:r w:rsidR="006B2B62">
        <w:t>admitted claims</w:t>
      </w:r>
      <w:r w:rsidR="006C4440">
        <w:t>.</w:t>
      </w:r>
      <w:r w:rsidR="006C4440">
        <w:rPr>
          <w:lang w:val="en-US"/>
        </w:rPr>
        <w:t xml:space="preserve"> </w:t>
      </w:r>
      <w:r w:rsidR="00211C51">
        <w:rPr>
          <w:lang w:val="en-US"/>
        </w:rPr>
        <w:t xml:space="preserve">Recovery for </w:t>
      </w:r>
      <w:r w:rsidR="006C4440">
        <w:rPr>
          <w:lang w:val="en-US"/>
        </w:rPr>
        <w:t>financial creditors was 37.60 per cent</w:t>
      </w:r>
      <w:r w:rsidR="00211C51">
        <w:rPr>
          <w:lang w:val="en-US"/>
        </w:rPr>
        <w:t xml:space="preserve"> in the period between December 2016 and December 2022</w:t>
      </w:r>
      <w:r w:rsidR="006C4440">
        <w:rPr>
          <w:lang w:val="en-US"/>
        </w:rPr>
        <w:t>.</w:t>
      </w:r>
      <w:r w:rsidR="006C4440">
        <w:rPr>
          <w:lang w:val="en-US"/>
        </w:rPr>
        <w:t xml:space="preserve"> </w:t>
      </w:r>
      <w:r w:rsidR="00211C51">
        <w:t xml:space="preserve">Our findings  are in line with </w:t>
      </w:r>
      <w:proofErr w:type="spellStart"/>
      <w:r w:rsidR="00211C51">
        <w:rPr>
          <w:lang w:val="en-US"/>
        </w:rPr>
        <w:t>Djankov</w:t>
      </w:r>
      <w:proofErr w:type="spellEnd"/>
      <w:r w:rsidR="00211C51">
        <w:rPr>
          <w:lang w:val="en-US"/>
        </w:rPr>
        <w:t xml:space="preserve"> et al. (</w:t>
      </w:r>
      <w:r w:rsidR="00211C51">
        <w:rPr>
          <w:color w:val="0000FF"/>
          <w:lang w:val="en-US"/>
        </w:rPr>
        <w:t>2008</w:t>
      </w:r>
      <w:r w:rsidR="00211C51">
        <w:rPr>
          <w:lang w:val="en-US"/>
        </w:rPr>
        <w:t>)</w:t>
      </w:r>
      <w:r w:rsidR="00211C51">
        <w:rPr>
          <w:lang w:val="en-US"/>
        </w:rPr>
        <w:t xml:space="preserve">, </w:t>
      </w:r>
      <w:proofErr w:type="spellStart"/>
      <w:r w:rsidR="00211C51">
        <w:rPr>
          <w:lang w:val="en-US"/>
        </w:rPr>
        <w:t>Succurro</w:t>
      </w:r>
      <w:proofErr w:type="spellEnd"/>
      <w:r w:rsidR="00211C51">
        <w:rPr>
          <w:lang w:val="en-US"/>
        </w:rPr>
        <w:t xml:space="preserve"> (2012) and </w:t>
      </w:r>
      <w:r w:rsidR="00211C51" w:rsidRPr="00211C51">
        <w:t>Camacho-</w:t>
      </w:r>
      <w:proofErr w:type="spellStart"/>
      <w:r w:rsidR="00211C51" w:rsidRPr="00211C51">
        <w:t>Miñano</w:t>
      </w:r>
      <w:proofErr w:type="spellEnd"/>
      <w:r w:rsidR="00211C51" w:rsidRPr="00211C51">
        <w:t xml:space="preserve"> (2013)</w:t>
      </w:r>
      <w:r w:rsidR="00211C51">
        <w:rPr>
          <w:rFonts w:ascii="Times New Roman" w:hAnsi="Times New Roman" w:cs="Times New Roman"/>
          <w:i/>
          <w:iCs/>
          <w:lang w:val="en-US"/>
        </w:rPr>
        <w:t xml:space="preserve">. </w:t>
      </w:r>
      <w:r w:rsidR="00392973">
        <w:rPr>
          <w:lang w:val="en-US"/>
        </w:rPr>
        <w:t xml:space="preserve">We </w:t>
      </w:r>
      <w:r w:rsidR="00211C51">
        <w:rPr>
          <w:lang w:val="en-US"/>
        </w:rPr>
        <w:t>introduce present data on a novel metrics of efficiency of bankruptcy laws</w:t>
      </w:r>
      <w:r w:rsidR="00392973">
        <w:rPr>
          <w:lang w:val="en-US"/>
        </w:rPr>
        <w:t xml:space="preserve"> </w:t>
      </w:r>
      <w:r w:rsidR="00211C51">
        <w:rPr>
          <w:lang w:val="en-US"/>
        </w:rPr>
        <w:t xml:space="preserve">in. terms of </w:t>
      </w:r>
      <w:r w:rsidR="00596F28">
        <w:rPr>
          <w:lang w:val="en-US"/>
        </w:rPr>
        <w:t>access to the insolvency platform. We report that financial creditors’ have reduced their dependence on the statutory bankruptcy platform whereas operational creditors have increased their reliance. As a consequence, the amounts of admitted claims in litigation show a strong positive skew.</w:t>
      </w:r>
      <w:bookmarkStart w:id="0" w:name="_GoBack"/>
      <w:bookmarkEnd w:id="0"/>
    </w:p>
    <w:p w14:paraId="27FDB2A1" w14:textId="77777777" w:rsidR="006B2B62" w:rsidRDefault="006B2B62" w:rsidP="0022780E"/>
    <w:p w14:paraId="33E47A14" w14:textId="77777777" w:rsidR="00621A61" w:rsidRDefault="006B2B62" w:rsidP="00621A61">
      <w:r w:rsidRPr="00B907E9">
        <w:t xml:space="preserve"> </w:t>
      </w:r>
      <w:r w:rsidR="000D5A1A" w:rsidRPr="00B907E9">
        <w:t>Some stylized facts</w:t>
      </w:r>
    </w:p>
    <w:p w14:paraId="103BE5F8" w14:textId="4087C6DA" w:rsidR="000D5A1A" w:rsidRPr="00B907E9" w:rsidRDefault="000D5A1A" w:rsidP="00621A61">
      <w:r w:rsidRPr="00B907E9">
        <w:t xml:space="preserve"> </w:t>
      </w:r>
      <w:r w:rsidRPr="00B907E9">
        <w:tab/>
        <w:t xml:space="preserve">Access to bankruptcy platforms: </w:t>
      </w:r>
    </w:p>
    <w:p w14:paraId="6E2ABC99" w14:textId="7B413930" w:rsidR="000D5A1A" w:rsidRPr="00B907E9" w:rsidRDefault="000D5A1A" w:rsidP="0022780E">
      <w:pPr>
        <w:pStyle w:val="ListParagraph"/>
        <w:numPr>
          <w:ilvl w:val="2"/>
          <w:numId w:val="1"/>
        </w:numPr>
      </w:pPr>
      <w:r w:rsidRPr="00B907E9">
        <w:t>by initiator FC/OC/CD&lt;by year&gt;</w:t>
      </w:r>
    </w:p>
    <w:p w14:paraId="22AB845B" w14:textId="5D26D406" w:rsidR="000D5A1A" w:rsidRPr="00B907E9" w:rsidRDefault="000D5A1A" w:rsidP="0022780E">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22780E"/>
    <w:p w14:paraId="2364B5F5" w14:textId="77777777" w:rsidR="001A13AB" w:rsidRPr="00B907E9" w:rsidRDefault="001A13AB" w:rsidP="0022780E"/>
    <w:p w14:paraId="17F8BF2B" w14:textId="075DF32B" w:rsidR="000D5A1A" w:rsidRPr="00B907E9" w:rsidRDefault="00400409" w:rsidP="0022780E">
      <w:r w:rsidRPr="00B907E9">
        <w:t>begin</w:t>
      </w:r>
    </w:p>
    <w:p w14:paraId="428B35FB" w14:textId="77777777" w:rsidR="00DB104E" w:rsidRPr="00B907E9" w:rsidRDefault="00DB104E" w:rsidP="0022780E">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22780E"/>
    <w:p w14:paraId="4066A691" w14:textId="68B89A41" w:rsidR="00811689" w:rsidRPr="00B907E9" w:rsidRDefault="00F81351" w:rsidP="0022780E">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22780E">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22780E">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22780E">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22780E"/>
    <w:p w14:paraId="134D934E" w14:textId="46654FDA" w:rsidR="001A13AB" w:rsidRPr="00B907E9" w:rsidRDefault="001A13AB" w:rsidP="0022780E">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22780E">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22780E"/>
    <w:p w14:paraId="632F44E1" w14:textId="77542792" w:rsidR="00EF20C5" w:rsidRPr="00B907E9" w:rsidRDefault="00657FD4" w:rsidP="0022780E">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22780E">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22780E">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22780E">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22780E">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22780E">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22780E">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22780E">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22780E">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22780E">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22780E">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22780E">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22780E">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22780E">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22780E">
      <w:pPr>
        <w:rPr>
          <w:rFonts w:ascii="Times New Roman" w:hAnsi="Times New Roman" w:cs="Times New Roman"/>
        </w:rPr>
      </w:pPr>
      <w:r w:rsidRPr="00B907E9">
        <w:t>India has</w:t>
      </w:r>
      <w:r w:rsidR="003E32DB" w:rsidRPr="00B907E9">
        <w:t xml:space="preserve"> inherited the common law provisions in English The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22780E">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22780E">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22780E">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22780E">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22780E"/>
    <w:p w14:paraId="11A474DA" w14:textId="70DB3FE4" w:rsidR="00F641AD" w:rsidRPr="00B907E9" w:rsidRDefault="00F641AD" w:rsidP="0022780E">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22780E">
      <w:r w:rsidRPr="00B907E9">
        <w:t>The intention of Indian Parliament is clearly enunciated in the preamble of the Insolvency and Bankruptcy Code 2016:</w:t>
      </w:r>
    </w:p>
    <w:p w14:paraId="0EC16A11" w14:textId="6B9BA0C6" w:rsidR="00BD2B56" w:rsidRPr="00B907E9" w:rsidRDefault="008E248E" w:rsidP="0022780E">
      <w:r w:rsidRPr="00B907E9">
        <w:t>"An Act to consolidate and amend the laws relating to reorganisation and insolvency resolution of corporate persons, partnership firms and individuals in a time bound manner for maximisation of value of assets of such persons, to promote entrepreneurship, availability of credit and balance the interests of all the stakeholders."</w:t>
      </w:r>
    </w:p>
    <w:p w14:paraId="04A013D5" w14:textId="0C259691" w:rsidR="007D771E" w:rsidRPr="00B907E9" w:rsidRDefault="007D771E" w:rsidP="0022780E"/>
    <w:p w14:paraId="190DF765" w14:textId="5B85E5D7" w:rsidR="007D771E" w:rsidRPr="00B907E9" w:rsidRDefault="00922F31" w:rsidP="0022780E">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22780E">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22780E">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22780E">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22780E">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22780E">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22780E">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22780E">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22780E">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22780E">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22780E">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22780E">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22780E">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22780E">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(\cite{</w:t>
      </w:r>
      <w:proofErr w:type="spellStart"/>
      <w:r>
        <w:rPr>
          <w:lang w:val="en-US"/>
        </w:rPr>
        <w:t>Couwenberg</w:t>
      </w:r>
      <w:proofErr w:type="spellEnd"/>
      <w:r>
        <w:rPr>
          <w:lang w:val="en-US"/>
        </w:rPr>
        <w:t xml:space="preserve"> </w:t>
      </w:r>
      <w:r>
        <w:rPr>
          <w:color w:val="0000FF"/>
          <w:lang w:val="en-US"/>
        </w:rPr>
        <w:t>2008</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22780E">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22780E">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22780E"/>
    <w:p w14:paraId="5A44527F" w14:textId="028FCDED" w:rsidR="00DF067D" w:rsidRPr="00B907E9" w:rsidRDefault="00CE77AC" w:rsidP="0022780E">
      <w:pPr>
        <w:pStyle w:val="Heading2"/>
      </w:pPr>
      <w:r w:rsidRPr="00B907E9">
        <w:t>4. Some stylized facts</w:t>
      </w:r>
    </w:p>
    <w:p w14:paraId="58192440" w14:textId="2632AB4D" w:rsidR="000811D3" w:rsidRDefault="000811D3" w:rsidP="00797525">
      <w:pPr>
        <w:jc w:val="left"/>
        <w:rPr>
          <w:lang w:val="en-US"/>
        </w:rPr>
      </w:pPr>
      <w:r w:rsidRPr="00116235">
        <w:rPr>
          <w:lang w:val="en-US"/>
        </w:rPr>
        <w:t xml:space="preserve">In respect of the bankruptcy law procedures, there is no </w:t>
      </w:r>
      <w:r>
        <w:rPr>
          <w:lang w:val="en-US"/>
        </w:rPr>
        <w:t xml:space="preserve">one-size-fits-all </w:t>
      </w:r>
      <w:r w:rsidRPr="00116235">
        <w:rPr>
          <w:lang w:val="en-US"/>
        </w:rPr>
        <w:t xml:space="preserve">approach to the efficiency </w:t>
      </w:r>
      <w:r w:rsidR="001B22F5">
        <w:rPr>
          <w:lang w:val="en-US"/>
        </w:rPr>
        <w:t>measures</w:t>
      </w:r>
      <w:r w:rsidRPr="00116235">
        <w:rPr>
          <w:lang w:val="en-US"/>
        </w:rPr>
        <w:t xml:space="preserve">. The reference point for efficiency can take the form of market value or market oriented procedures </w:t>
      </w:r>
      <w:r w:rsidR="001B22F5">
        <w:rPr>
          <w:lang w:val="en-US"/>
        </w:rPr>
        <w:t>\cite{</w:t>
      </w:r>
      <w:proofErr w:type="spellStart"/>
      <w:r w:rsidRPr="00116235">
        <w:rPr>
          <w:lang w:val="en-US"/>
        </w:rPr>
        <w:t>Thorburn</w:t>
      </w:r>
      <w:r w:rsidRPr="00116235">
        <w:rPr>
          <w:color w:val="0000FF"/>
          <w:lang w:val="en-US"/>
        </w:rPr>
        <w:t>2000</w:t>
      </w:r>
      <w:proofErr w:type="spellEnd"/>
      <w:r w:rsidR="001B22F5">
        <w:rPr>
          <w:color w:val="0000FF"/>
          <w:lang w:val="en-US"/>
        </w:rPr>
        <w:t>}</w:t>
      </w:r>
      <w:r w:rsidRPr="00116235">
        <w:rPr>
          <w:lang w:val="en-US"/>
        </w:rPr>
        <w:t xml:space="preserve">, time, cost, and recovery rate of the procedure </w:t>
      </w:r>
      <w:r w:rsidR="001B22F5">
        <w:rPr>
          <w:lang w:val="en-US"/>
        </w:rPr>
        <w:t>\cite{</w:t>
      </w:r>
      <w:proofErr w:type="spellStart"/>
      <w:r w:rsidRPr="00116235">
        <w:rPr>
          <w:lang w:val="en-US"/>
        </w:rPr>
        <w:t>Succurro</w:t>
      </w:r>
      <w:r w:rsidRPr="00116235">
        <w:rPr>
          <w:color w:val="0000FF"/>
          <w:lang w:val="en-US"/>
        </w:rPr>
        <w:t>2012</w:t>
      </w:r>
      <w:proofErr w:type="spellEnd"/>
      <w:r w:rsidR="001B22F5">
        <w:rPr>
          <w:lang w:val="en-US"/>
        </w:rPr>
        <w:t>}.</w:t>
      </w:r>
    </w:p>
    <w:p w14:paraId="34CDAED2" w14:textId="385050E6" w:rsidR="00E94613" w:rsidRDefault="005A4E9A" w:rsidP="00797525">
      <w:pPr>
        <w:jc w:val="left"/>
        <w:rPr>
          <w:lang w:val="en-US"/>
        </w:rPr>
      </w:pPr>
      <w:r>
        <w:rPr>
          <w:lang w:val="en-US"/>
        </w:rPr>
        <w:t xml:space="preserve">The World Bank </w:t>
      </w:r>
      <w:r w:rsidRPr="006A516E">
        <w:rPr>
          <w:i/>
          <w:lang w:val="en-US"/>
        </w:rPr>
        <w:t>Doing Business</w:t>
      </w:r>
      <w:r>
        <w:rPr>
          <w:lang w:val="en-US"/>
        </w:rPr>
        <w:t xml:space="preserve"> </w:t>
      </w:r>
      <w:r w:rsidR="006A516E">
        <w:rPr>
          <w:rFonts w:ascii="Open Sans" w:hAnsi="Open Sans" w:cs="Open Sans"/>
          <w:i/>
          <w:iCs/>
          <w:color w:val="333333"/>
          <w:sz w:val="27"/>
          <w:szCs w:val="27"/>
          <w:shd w:val="clear" w:color="auto" w:fill="FFFFFF"/>
        </w:rPr>
        <w:t xml:space="preserve">Report </w:t>
      </w:r>
      <w:r w:rsidR="006A516E">
        <w:rPr>
          <w:rFonts w:ascii="Open Sans" w:hAnsi="Open Sans" w:cs="Open Sans"/>
          <w:color w:val="333333"/>
          <w:sz w:val="27"/>
          <w:szCs w:val="27"/>
          <w:shd w:val="clear" w:color="auto" w:fill="FFFFFF"/>
        </w:rPr>
        <w:t>(2020)—since discontinued--reports</w:t>
      </w:r>
      <w:r w:rsidR="006A516E" w:rsidRPr="006A516E">
        <w:rPr>
          <w:rFonts w:ascii="Open Sans" w:hAnsi="Open Sans" w:cs="Open Sans"/>
          <w:color w:val="333333"/>
          <w:sz w:val="27"/>
          <w:szCs w:val="27"/>
          <w:shd w:val="clear" w:color="auto" w:fill="FFFFFF"/>
        </w:rPr>
        <w:t xml:space="preserve"> the time, cost and outcome of insolvency proceedings involving domestic legal entities</w:t>
      </w:r>
      <w:r w:rsidR="006A516E">
        <w:rPr>
          <w:rFonts w:ascii="Open Sans" w:hAnsi="Open Sans" w:cs="Open Sans"/>
          <w:color w:val="333333"/>
          <w:sz w:val="27"/>
          <w:szCs w:val="27"/>
          <w:shd w:val="clear" w:color="auto" w:fill="FFFFFF"/>
        </w:rPr>
        <w:t xml:space="preserve">. </w:t>
      </w:r>
      <w:r w:rsidR="00DE4E60">
        <w:rPr>
          <w:lang w:val="en-US"/>
        </w:rPr>
        <w:t xml:space="preserve"> It </w:t>
      </w:r>
      <w:r>
        <w:rPr>
          <w:lang w:val="en-US"/>
        </w:rPr>
        <w:t xml:space="preserve">notes reforms relating to introduction or shortening time limits on bankruptcy procedures as positive reform. To the </w:t>
      </w:r>
      <w:proofErr w:type="spellStart"/>
      <w:r>
        <w:rPr>
          <w:lang w:val="en-US"/>
        </w:rPr>
        <w:t>Succur</w:t>
      </w:r>
      <w:r w:rsidR="00C8486A">
        <w:rPr>
          <w:lang w:val="en-US"/>
        </w:rPr>
        <w:t>r</w:t>
      </w:r>
      <w:r>
        <w:rPr>
          <w:lang w:val="en-US"/>
        </w:rPr>
        <w:t>o</w:t>
      </w:r>
      <w:proofErr w:type="spellEnd"/>
      <w:r>
        <w:rPr>
          <w:lang w:val="en-US"/>
        </w:rPr>
        <w:t xml:space="preserve"> (2012) metrics, we add </w:t>
      </w:r>
      <w:r w:rsidR="001B22F5">
        <w:rPr>
          <w:lang w:val="en-US"/>
        </w:rPr>
        <w:t>two innovative measures: (</w:t>
      </w:r>
      <w:proofErr w:type="spellStart"/>
      <w:r w:rsidR="001B22F5">
        <w:rPr>
          <w:lang w:val="en-US"/>
        </w:rPr>
        <w:t>i</w:t>
      </w:r>
      <w:proofErr w:type="spellEnd"/>
      <w:r w:rsidR="001B22F5">
        <w:rPr>
          <w:lang w:val="en-US"/>
        </w:rPr>
        <w:t xml:space="preserve">) </w:t>
      </w:r>
      <w:r w:rsidR="001F18D8">
        <w:rPr>
          <w:lang w:val="en-US"/>
        </w:rPr>
        <w:t xml:space="preserve">of </w:t>
      </w:r>
      <w:r w:rsidR="001B22F5">
        <w:rPr>
          <w:lang w:val="en-US"/>
        </w:rPr>
        <w:t xml:space="preserve">access </w:t>
      </w:r>
      <w:r w:rsidR="001F18D8">
        <w:rPr>
          <w:lang w:val="en-US"/>
        </w:rPr>
        <w:t>efficiency</w:t>
      </w:r>
      <w:r w:rsidR="001B22F5">
        <w:rPr>
          <w:lang w:val="en-US"/>
        </w:rPr>
        <w:t xml:space="preserve"> by initiator of insolvency proceedings and (ii) </w:t>
      </w:r>
      <w:r w:rsidR="00C8486A">
        <w:rPr>
          <w:lang w:val="en-US"/>
        </w:rPr>
        <w:t>of market participation in the insolvency proceedings</w:t>
      </w:r>
      <w:r w:rsidR="003101EE">
        <w:rPr>
          <w:lang w:val="en-US"/>
        </w:rPr>
        <w:t>.</w:t>
      </w:r>
    </w:p>
    <w:p w14:paraId="7C3C51E1" w14:textId="77777777" w:rsidR="00C8486A" w:rsidRDefault="00C8486A" w:rsidP="00797525">
      <w:pPr>
        <w:jc w:val="left"/>
        <w:rPr>
          <w:lang w:val="en-US"/>
        </w:rPr>
      </w:pPr>
    </w:p>
    <w:p w14:paraId="416EF257" w14:textId="6005695F" w:rsidR="003101EE" w:rsidRDefault="003101EE" w:rsidP="00797525">
      <w:pPr>
        <w:jc w:val="left"/>
        <w:rPr>
          <w:lang w:val="en-US"/>
        </w:rPr>
      </w:pPr>
      <w:r>
        <w:rPr>
          <w:lang w:val="en-US"/>
        </w:rPr>
        <w:t xml:space="preserve">In what follows, we investigate three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544DFA">
      <w:pPr>
        <w:pStyle w:val="ListParagraph"/>
        <w:numPr>
          <w:ilvl w:val="0"/>
          <w:numId w:val="3"/>
        </w:numPr>
        <w:jc w:val="left"/>
        <w:rPr>
          <w:lang w:val="en-US"/>
        </w:rPr>
      </w:pPr>
      <w:r>
        <w:rPr>
          <w:lang w:val="en-US"/>
        </w:rPr>
        <w:t>Time taken from initiation of insolvency and bankruptcy proceedings to final decree;</w:t>
      </w:r>
    </w:p>
    <w:p w14:paraId="589C88D6" w14:textId="3FBAF6F2" w:rsidR="00544DFA" w:rsidRDefault="00544DFA" w:rsidP="00544DFA">
      <w:pPr>
        <w:pStyle w:val="ListParagraph"/>
        <w:numPr>
          <w:ilvl w:val="0"/>
          <w:numId w:val="3"/>
        </w:numPr>
        <w:jc w:val="left"/>
        <w:rPr>
          <w:lang w:val="en-US"/>
        </w:rPr>
      </w:pPr>
      <w:r>
        <w:rPr>
          <w:lang w:val="en-US"/>
        </w:rPr>
        <w:t>Percentage of proceedings that end up in bankruptcy liquidation;</w:t>
      </w:r>
    </w:p>
    <w:p w14:paraId="02A06E7F" w14:textId="639E94AF" w:rsidR="00544DFA" w:rsidRDefault="00544DFA" w:rsidP="00544DFA">
      <w:pPr>
        <w:pStyle w:val="ListParagraph"/>
        <w:numPr>
          <w:ilvl w:val="0"/>
          <w:numId w:val="3"/>
        </w:numPr>
        <w:jc w:val="left"/>
        <w:rPr>
          <w:lang w:val="en-US"/>
        </w:rPr>
      </w:pPr>
      <w:r>
        <w:rPr>
          <w:lang w:val="en-US"/>
        </w:rPr>
        <w:t>Percentage of recovery for creditors</w:t>
      </w:r>
      <w:r w:rsidR="00C8486A">
        <w:rPr>
          <w:lang w:val="en-US"/>
        </w:rPr>
        <w:t>;</w:t>
      </w:r>
    </w:p>
    <w:p w14:paraId="6D8FF6E1" w14:textId="61EF7467" w:rsidR="00C8486A" w:rsidRDefault="00C8486A" w:rsidP="00544DFA">
      <w:pPr>
        <w:pStyle w:val="ListParagraph"/>
        <w:numPr>
          <w:ilvl w:val="0"/>
          <w:numId w:val="3"/>
        </w:numPr>
        <w:jc w:val="left"/>
        <w:rPr>
          <w:lang w:val="en-US"/>
        </w:rPr>
      </w:pPr>
      <w:r>
        <w:rPr>
          <w:lang w:val="en-US"/>
        </w:rPr>
        <w:t>Success rates by initiator of insolvency proceedings;</w:t>
      </w:r>
    </w:p>
    <w:p w14:paraId="3A518E3A" w14:textId="198BE246" w:rsidR="00C8486A" w:rsidRPr="00544DFA" w:rsidRDefault="00C8486A" w:rsidP="00544DFA">
      <w:pPr>
        <w:pStyle w:val="ListParagraph"/>
        <w:numPr>
          <w:ilvl w:val="0"/>
          <w:numId w:val="3"/>
        </w:numPr>
        <w:jc w:val="left"/>
        <w:rPr>
          <w:lang w:val="en-US"/>
        </w:rPr>
      </w:pPr>
      <w:r>
        <w:rPr>
          <w:lang w:val="en-US"/>
        </w:rPr>
        <w:t>Competitive market participation in assets of insolvent firms.</w:t>
      </w:r>
    </w:p>
    <w:p w14:paraId="51E04792" w14:textId="7AC89D2D" w:rsidR="00576CE5" w:rsidRDefault="00576CE5" w:rsidP="00576CE5"/>
    <w:p w14:paraId="7D42BE55" w14:textId="2E82A84F" w:rsidR="00C02E7F" w:rsidRDefault="00EF7141" w:rsidP="00576CE5">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576CE5">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572F21">
            <w:pPr>
              <w:jc w:val="center"/>
              <w:rPr>
                <w:b/>
                <w:bCs/>
                <w:sz w:val="28"/>
                <w:szCs w:val="36"/>
              </w:rPr>
            </w:pPr>
            <w:r w:rsidRPr="00572F21">
              <w:rPr>
                <w:b/>
                <w:bCs/>
                <w:sz w:val="28"/>
                <w:szCs w:val="36"/>
              </w:rPr>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572F21">
            <w:pPr>
              <w:jc w:val="center"/>
              <w:rPr>
                <w:b/>
                <w:bCs/>
                <w:sz w:val="28"/>
                <w:szCs w:val="36"/>
              </w:rPr>
            </w:pPr>
            <w:r w:rsidRPr="00572F21">
              <w:rPr>
                <w:b/>
                <w:bCs/>
                <w:sz w:val="28"/>
                <w:szCs w:val="36"/>
              </w:rPr>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572F21">
            <w:pPr>
              <w:jc w:val="center"/>
              <w:rPr>
                <w:b/>
                <w:bCs/>
                <w:sz w:val="28"/>
                <w:szCs w:val="36"/>
              </w:rPr>
            </w:pPr>
            <w:r w:rsidRPr="00572F21">
              <w:rPr>
                <w:b/>
                <w:bCs/>
                <w:sz w:val="28"/>
                <w:szCs w:val="36"/>
              </w:rPr>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572F21">
            <w:pPr>
              <w:jc w:val="left"/>
              <w:rPr>
                <w:b/>
                <w:bCs/>
                <w:sz w:val="28"/>
                <w:szCs w:val="36"/>
              </w:rPr>
            </w:pPr>
          </w:p>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572F21">
            <w:pPr>
              <w:jc w:val="left"/>
              <w:rPr>
                <w:b/>
                <w:bCs/>
                <w:sz w:val="28"/>
                <w:szCs w:val="36"/>
              </w:rPr>
            </w:pPr>
          </w:p>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572F21">
            <w:pPr>
              <w:jc w:val="center"/>
              <w:rPr>
                <w:b/>
                <w:bCs/>
                <w:sz w:val="28"/>
                <w:szCs w:val="36"/>
              </w:rPr>
            </w:pPr>
            <w:r w:rsidRPr="00572F21">
              <w:rPr>
                <w:b/>
                <w:bCs/>
                <w:sz w:val="28"/>
                <w:szCs w:val="36"/>
              </w:rPr>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572F21">
            <w:pPr>
              <w:jc w:val="center"/>
              <w:rPr>
                <w:b/>
                <w:bCs/>
                <w:sz w:val="28"/>
                <w:szCs w:val="36"/>
              </w:rPr>
            </w:pPr>
            <w:r w:rsidRPr="00572F21">
              <w:rPr>
                <w:b/>
                <w:bCs/>
                <w:sz w:val="28"/>
                <w:szCs w:val="36"/>
              </w:rPr>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572F21">
            <w:pPr>
              <w:jc w:val="center"/>
              <w:rPr>
                <w:b/>
                <w:bCs/>
                <w:sz w:val="28"/>
                <w:szCs w:val="36"/>
              </w:rPr>
            </w:pPr>
            <w:r w:rsidRPr="00572F21">
              <w:rPr>
                <w:b/>
                <w:bCs/>
                <w:sz w:val="28"/>
                <w:szCs w:val="36"/>
              </w:rPr>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572F21">
            <w:pPr>
              <w:jc w:val="center"/>
              <w:rPr>
                <w:b/>
                <w:bCs/>
                <w:sz w:val="28"/>
                <w:szCs w:val="36"/>
              </w:rPr>
            </w:pPr>
            <w:r w:rsidRPr="00572F21">
              <w:rPr>
                <w:b/>
                <w:bCs/>
                <w:sz w:val="28"/>
                <w:szCs w:val="36"/>
              </w:rPr>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572F21">
            <w:pPr>
              <w:jc w:val="left"/>
              <w:rPr>
                <w:b/>
                <w:bCs/>
                <w:sz w:val="28"/>
                <w:szCs w:val="36"/>
              </w:rPr>
            </w:pPr>
            <w:r w:rsidRPr="00572F21">
              <w:rPr>
                <w:b/>
                <w:bCs/>
                <w:sz w:val="28"/>
                <w:szCs w:val="36"/>
              </w:rPr>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572F21">
            <w:pPr>
              <w:jc w:val="right"/>
              <w:rPr>
                <w:color w:val="000000"/>
                <w:sz w:val="28"/>
                <w:szCs w:val="36"/>
              </w:rPr>
            </w:pPr>
            <w:r>
              <w:rPr>
                <w:color w:val="000000"/>
                <w:sz w:val="28"/>
                <w:szCs w:val="36"/>
              </w:rP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572F21">
            <w:pPr>
              <w:jc w:val="right"/>
              <w:rPr>
                <w:color w:val="000000"/>
                <w:sz w:val="28"/>
                <w:szCs w:val="36"/>
              </w:rPr>
            </w:pPr>
            <w:r>
              <w:rPr>
                <w:color w:val="000000"/>
                <w:sz w:val="28"/>
                <w:szCs w:val="36"/>
              </w:rP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572F21">
            <w:pPr>
              <w:jc w:val="right"/>
              <w:rPr>
                <w:color w:val="000000"/>
                <w:sz w:val="28"/>
                <w:szCs w:val="36"/>
              </w:rPr>
            </w:pPr>
            <w:r>
              <w:rPr>
                <w:color w:val="000000"/>
                <w:sz w:val="28"/>
                <w:szCs w:val="36"/>
              </w:rP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560E34E" w14:textId="2D7F2551"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Withdrawal u/s </w:t>
            </w:r>
            <w:proofErr w:type="spellStart"/>
            <w:r w:rsidRPr="00C7753D">
              <w:rPr>
                <w:color w:val="000000"/>
                <w:sz w:val="28"/>
                <w:szCs w:val="36"/>
              </w:rPr>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572F21">
            <w:pPr>
              <w:jc w:val="right"/>
              <w:rPr>
                <w:color w:val="000000"/>
                <w:sz w:val="28"/>
                <w:szCs w:val="36"/>
              </w:rPr>
            </w:pPr>
            <w:r w:rsidRPr="00572F21">
              <w:rPr>
                <w:color w:val="000000"/>
                <w:sz w:val="28"/>
                <w:szCs w:val="36"/>
              </w:rPr>
              <w:t>2</w:t>
            </w:r>
            <w:r>
              <w:rPr>
                <w:color w:val="000000"/>
                <w:sz w:val="28"/>
                <w:szCs w:val="36"/>
              </w:rP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572F21">
            <w:pPr>
              <w:jc w:val="right"/>
              <w:rPr>
                <w:color w:val="000000"/>
                <w:sz w:val="28"/>
                <w:szCs w:val="36"/>
              </w:rPr>
            </w:pPr>
            <w:r>
              <w:rPr>
                <w:color w:val="000000"/>
                <w:sz w:val="28"/>
                <w:szCs w:val="36"/>
              </w:rP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572F21">
            <w:pPr>
              <w:jc w:val="right"/>
              <w:rPr>
                <w:color w:val="000000"/>
                <w:sz w:val="28"/>
                <w:szCs w:val="36"/>
              </w:rPr>
            </w:pPr>
            <w:r>
              <w:rPr>
                <w:color w:val="000000"/>
                <w:sz w:val="28"/>
                <w:szCs w:val="36"/>
              </w:rP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65EBEAF0" w14:textId="2FDB3D9F"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572F21">
            <w:pPr>
              <w:jc w:val="right"/>
              <w:rPr>
                <w:color w:val="000000"/>
                <w:sz w:val="28"/>
                <w:szCs w:val="36"/>
              </w:rPr>
            </w:pPr>
            <w:r>
              <w:rPr>
                <w:color w:val="000000"/>
                <w:sz w:val="28"/>
                <w:szCs w:val="36"/>
              </w:rP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572F21">
            <w:pPr>
              <w:jc w:val="right"/>
              <w:rPr>
                <w:color w:val="000000"/>
                <w:sz w:val="28"/>
                <w:szCs w:val="36"/>
              </w:rPr>
            </w:pPr>
            <w:r>
              <w:rPr>
                <w:color w:val="000000"/>
                <w:sz w:val="28"/>
                <w:szCs w:val="36"/>
              </w:rP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572F21">
            <w:pPr>
              <w:jc w:val="right"/>
              <w:rPr>
                <w:color w:val="000000"/>
                <w:sz w:val="28"/>
                <w:szCs w:val="36"/>
              </w:rPr>
            </w:pPr>
            <w:r>
              <w:rPr>
                <w:color w:val="000000"/>
                <w:sz w:val="28"/>
                <w:szCs w:val="36"/>
              </w:rPr>
              <w:t>5</w:t>
            </w:r>
            <w:r w:rsidR="00845CA0">
              <w:rPr>
                <w:color w:val="000000"/>
                <w:sz w:val="28"/>
                <w:szCs w:val="36"/>
              </w:rPr>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572F21">
            <w:pPr>
              <w:jc w:val="right"/>
              <w:rPr>
                <w:color w:val="000000"/>
                <w:sz w:val="28"/>
                <w:szCs w:val="36"/>
              </w:rPr>
            </w:pPr>
            <w:r>
              <w:rPr>
                <w:color w:val="000000"/>
                <w:sz w:val="28"/>
                <w:szCs w:val="36"/>
              </w:rP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314CF38" w14:textId="764E2134"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572F21">
            <w:pPr>
              <w:jc w:val="right"/>
              <w:rPr>
                <w:color w:val="000000"/>
                <w:sz w:val="28"/>
                <w:szCs w:val="36"/>
              </w:rPr>
            </w:pPr>
            <w:r>
              <w:rPr>
                <w:color w:val="000000"/>
                <w:sz w:val="28"/>
                <w:szCs w:val="36"/>
              </w:rP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572F21">
            <w:pPr>
              <w:jc w:val="right"/>
              <w:rPr>
                <w:color w:val="000000"/>
                <w:sz w:val="28"/>
                <w:szCs w:val="36"/>
              </w:rPr>
            </w:pPr>
            <w:r>
              <w:rPr>
                <w:color w:val="000000"/>
                <w:sz w:val="28"/>
                <w:szCs w:val="36"/>
              </w:rP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572F21">
            <w:pPr>
              <w:jc w:val="right"/>
              <w:rPr>
                <w:color w:val="000000"/>
                <w:sz w:val="28"/>
                <w:szCs w:val="36"/>
              </w:rPr>
            </w:pPr>
            <w:r>
              <w:rPr>
                <w:color w:val="000000"/>
                <w:sz w:val="28"/>
                <w:szCs w:val="36"/>
              </w:rP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572F21">
            <w:pPr>
              <w:jc w:val="right"/>
              <w:rPr>
                <w:color w:val="000000"/>
                <w:sz w:val="28"/>
                <w:szCs w:val="36"/>
              </w:rPr>
            </w:pPr>
            <w:r>
              <w:rPr>
                <w:color w:val="000000"/>
                <w:sz w:val="28"/>
                <w:szCs w:val="36"/>
              </w:rP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15AD133C" w14:textId="4712E703"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572F21">
            <w:pPr>
              <w:jc w:val="right"/>
              <w:rPr>
                <w:color w:val="000000"/>
                <w:sz w:val="28"/>
                <w:szCs w:val="36"/>
              </w:rPr>
            </w:pPr>
            <w:r w:rsidRPr="00572F21">
              <w:rPr>
                <w:color w:val="000000"/>
                <w:sz w:val="28"/>
                <w:szCs w:val="36"/>
              </w:rPr>
              <w:t>10</w:t>
            </w:r>
            <w:r w:rsidR="00810955">
              <w:rPr>
                <w:color w:val="000000"/>
                <w:sz w:val="28"/>
                <w:szCs w:val="36"/>
              </w:rPr>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572F21">
            <w:pPr>
              <w:jc w:val="right"/>
              <w:rPr>
                <w:color w:val="000000"/>
                <w:sz w:val="28"/>
                <w:szCs w:val="36"/>
              </w:rPr>
            </w:pPr>
            <w:r w:rsidRPr="00572F21">
              <w:rPr>
                <w:color w:val="000000"/>
                <w:sz w:val="28"/>
                <w:szCs w:val="36"/>
              </w:rPr>
              <w:t>8</w:t>
            </w:r>
            <w:r w:rsidR="00810955">
              <w:rPr>
                <w:color w:val="000000"/>
                <w:sz w:val="28"/>
                <w:szCs w:val="36"/>
              </w:rPr>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572F21">
            <w:pPr>
              <w:jc w:val="right"/>
              <w:rPr>
                <w:color w:val="000000"/>
                <w:sz w:val="28"/>
                <w:szCs w:val="36"/>
              </w:rPr>
            </w:pPr>
            <w:r>
              <w:rPr>
                <w:color w:val="000000"/>
                <w:sz w:val="28"/>
                <w:szCs w:val="36"/>
              </w:rP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572F21">
            <w:pPr>
              <w:jc w:val="right"/>
              <w:rPr>
                <w:color w:val="000000"/>
                <w:sz w:val="28"/>
                <w:szCs w:val="36"/>
              </w:rPr>
            </w:pPr>
            <w:r>
              <w:rPr>
                <w:color w:val="000000"/>
                <w:sz w:val="28"/>
                <w:szCs w:val="36"/>
              </w:rP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572F21">
            <w:pPr>
              <w:jc w:val="left"/>
              <w:rPr>
                <w:b/>
                <w:bCs/>
                <w:sz w:val="28"/>
                <w:szCs w:val="36"/>
              </w:rPr>
            </w:pPr>
          </w:p>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572F21">
            <w:pPr>
              <w:jc w:val="left"/>
              <w:rPr>
                <w:b/>
                <w:bCs/>
                <w:color w:val="000000"/>
                <w:sz w:val="28"/>
                <w:szCs w:val="36"/>
              </w:rPr>
            </w:pPr>
            <w:r w:rsidRPr="00572F21">
              <w:rPr>
                <w:b/>
                <w:bCs/>
                <w:color w:val="000000"/>
                <w:sz w:val="28"/>
                <w:szCs w:val="36"/>
              </w:rPr>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572F21">
            <w:pPr>
              <w:jc w:val="right"/>
              <w:rPr>
                <w:b/>
                <w:bCs/>
                <w:color w:val="000000"/>
                <w:sz w:val="28"/>
                <w:szCs w:val="36"/>
              </w:rPr>
            </w:pPr>
            <w:r>
              <w:rPr>
                <w:b/>
                <w:bCs/>
                <w:color w:val="000000"/>
                <w:sz w:val="28"/>
                <w:szCs w:val="36"/>
              </w:rP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572F21">
            <w:pPr>
              <w:jc w:val="right"/>
              <w:rPr>
                <w:b/>
                <w:bCs/>
                <w:color w:val="000000"/>
                <w:sz w:val="28"/>
                <w:szCs w:val="36"/>
              </w:rPr>
            </w:pPr>
            <w:r w:rsidRPr="00572F21">
              <w:rPr>
                <w:b/>
                <w:bCs/>
                <w:color w:val="000000"/>
                <w:sz w:val="28"/>
                <w:szCs w:val="36"/>
              </w:rPr>
              <w:t>3</w:t>
            </w:r>
            <w:r w:rsidR="007279E5">
              <w:rPr>
                <w:b/>
                <w:bCs/>
                <w:color w:val="000000"/>
                <w:sz w:val="28"/>
                <w:szCs w:val="36"/>
              </w:rPr>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572F21">
            <w:pPr>
              <w:jc w:val="right"/>
              <w:rPr>
                <w:b/>
                <w:bCs/>
                <w:color w:val="000000"/>
                <w:sz w:val="28"/>
                <w:szCs w:val="36"/>
              </w:rPr>
            </w:pPr>
            <w:r>
              <w:rPr>
                <w:b/>
                <w:bCs/>
                <w:color w:val="000000"/>
                <w:sz w:val="28"/>
                <w:szCs w:val="36"/>
              </w:rP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572F21">
            <w:pPr>
              <w:jc w:val="right"/>
              <w:rPr>
                <w:b/>
                <w:bCs/>
                <w:color w:val="000000"/>
                <w:sz w:val="28"/>
                <w:szCs w:val="36"/>
              </w:rPr>
            </w:pPr>
            <w:r>
              <w:rPr>
                <w:b/>
                <w:bCs/>
                <w:color w:val="000000"/>
                <w:sz w:val="28"/>
                <w:szCs w:val="36"/>
              </w:rP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572F21">
            <w:pPr>
              <w:jc w:val="left"/>
              <w:rPr>
                <w:b/>
                <w:bCs/>
                <w:sz w:val="28"/>
                <w:szCs w:val="36"/>
              </w:rPr>
            </w:pPr>
          </w:p>
        </w:tc>
        <w:tc>
          <w:tcPr>
            <w:tcW w:w="10840" w:type="dxa"/>
            <w:gridSpan w:val="5"/>
            <w:tcBorders>
              <w:top w:val="single" w:sz="4" w:space="0" w:color="auto"/>
              <w:left w:val="nil"/>
              <w:bottom w:val="single" w:sz="4" w:space="0" w:color="auto"/>
              <w:right w:val="nil"/>
            </w:tcBorders>
            <w:shd w:val="clear" w:color="auto" w:fill="auto"/>
            <w:vAlign w:val="bottom"/>
          </w:tcPr>
          <w:p w14:paraId="12163237" w14:textId="7F8ACA76" w:rsidR="00432A67" w:rsidRPr="00432A67" w:rsidRDefault="00432A67" w:rsidP="00432A67">
            <w:pPr>
              <w:jc w:val="left"/>
              <w:rPr>
                <w:b/>
                <w:bCs/>
                <w:color w:val="000000"/>
                <w:sz w:val="28"/>
                <w:szCs w:val="36"/>
              </w:rPr>
            </w:pPr>
            <w:r w:rsidRPr="00432A67">
              <w:rPr>
                <w:sz w:val="24"/>
                <w:lang w:val="en-US"/>
              </w:rPr>
              <w:t>FC: Financial creditors; OCs: Operational Creditors; CD: Corporate Debtors Providers</w:t>
            </w:r>
          </w:p>
        </w:tc>
      </w:tr>
    </w:tbl>
    <w:p w14:paraId="5E80A4B5" w14:textId="5E98CF73" w:rsidR="00432A67" w:rsidRPr="00432A67" w:rsidRDefault="00432A67" w:rsidP="00432A67">
      <w:pPr>
        <w:jc w:val="left"/>
        <w:rPr>
          <w:rFonts w:ascii="Times New Roman" w:hAnsi="Times New Roman" w:cs="Times New Roman"/>
          <w:sz w:val="21"/>
          <w:szCs w:val="24"/>
        </w:rPr>
      </w:pPr>
    </w:p>
    <w:p w14:paraId="508F71FC" w14:textId="7791738D" w:rsidR="001770E1" w:rsidRDefault="00432A67" w:rsidP="00576CE5">
      <w:pPr>
        <w:rPr>
          <w:b/>
          <w:i/>
          <w:sz w:val="24"/>
          <w:lang w:val="en-US"/>
        </w:rPr>
      </w:pPr>
      <w:r w:rsidRPr="00432A67">
        <w:rPr>
          <w:b/>
          <w:sz w:val="24"/>
          <w:lang w:val="en-US"/>
        </w:rPr>
        <w:t>Table 1:</w:t>
      </w:r>
      <w:r>
        <w:rPr>
          <w:b/>
          <w:lang w:val="en-US"/>
        </w:rPr>
        <w:t xml:space="preserve"> </w:t>
      </w:r>
      <w:r w:rsidRPr="00432A67">
        <w:rPr>
          <w:b/>
          <w:i/>
          <w:sz w:val="24"/>
          <w:lang w:val="en-US"/>
        </w:rPr>
        <w:t>Status of insolvency cases brought to adjudication under the Insolvency and Bankruptcy Code (2016).</w:t>
      </w:r>
    </w:p>
    <w:p w14:paraId="220AE13C" w14:textId="166F7BC3" w:rsidR="00C7753D" w:rsidRDefault="00C7753D" w:rsidP="00576CE5">
      <w:pPr>
        <w:rPr>
          <w:b/>
          <w:i/>
          <w:sz w:val="24"/>
          <w:lang w:val="en-US"/>
        </w:rPr>
      </w:pPr>
    </w:p>
    <w:p w14:paraId="4DEBADD3" w14:textId="2F0E8A15" w:rsidR="00C7753D" w:rsidRDefault="008652B3" w:rsidP="00C7753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C7753D">
      <w:pPr>
        <w:rPr>
          <w:lang w:val="en-US"/>
        </w:rPr>
      </w:pPr>
    </w:p>
    <w:p w14:paraId="6FEF81D2" w14:textId="77777777" w:rsidR="00FE334C" w:rsidRDefault="00FE334C" w:rsidP="00FE334C">
      <w:pPr>
        <w:pStyle w:val="Heading3"/>
      </w:pPr>
      <w:r>
        <w:t>4.1 Time from initiation to closure</w:t>
      </w:r>
    </w:p>
    <w:p w14:paraId="2847DDEE" w14:textId="008E7231" w:rsidR="00CA0852" w:rsidRDefault="00F56B4D" w:rsidP="0065026A">
      <w:pPr>
        <w:autoSpaceDE w:val="0"/>
        <w:autoSpaceDN w:val="0"/>
        <w:adjustRightInd w:val="0"/>
        <w:jc w:val="left"/>
        <w:rPr>
          <w:color w:val="000000"/>
          <w:lang w:val="en-US"/>
        </w:rPr>
      </w:pPr>
      <w:r>
        <w:rPr>
          <w:lang w:val="en-US"/>
        </w:rPr>
        <w:t xml:space="preserve">In what follows, we </w:t>
      </w:r>
      <w:r>
        <w:rPr>
          <w:color w:val="000000"/>
          <w:lang w:val="en-US"/>
        </w:rPr>
        <w:t xml:space="preserve">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xml:space="preserve">) </w:t>
      </w:r>
      <w:r w:rsidR="0065026A">
        <w:rPr>
          <w:color w:val="000000"/>
          <w:lang w:val="en-US"/>
        </w:rPr>
        <w:t xml:space="preserve">who report the </w:t>
      </w:r>
      <w:r>
        <w:rPr>
          <w:color w:val="000000"/>
          <w:lang w:val="en-US"/>
        </w:rPr>
        <w:t>actual long term average of the duration of proceedings in Poland</w:t>
      </w:r>
      <w:r w:rsidR="0065026A">
        <w:rPr>
          <w:color w:val="000000"/>
          <w:lang w:val="en-US"/>
        </w:rPr>
        <w:t xml:space="preserve"> </w:t>
      </w:r>
      <w:r w:rsidR="00B32B4B">
        <w:rPr>
          <w:color w:val="000000"/>
          <w:lang w:val="en-US"/>
        </w:rPr>
        <w:t>at</w:t>
      </w:r>
      <w:r w:rsidR="0065026A">
        <w:rPr>
          <w:color w:val="000000"/>
          <w:lang w:val="en-US"/>
        </w:rPr>
        <w:t xml:space="preserve"> 854 days</w:t>
      </w:r>
      <w:r w:rsidR="00C87120">
        <w:rPr>
          <w:color w:val="000000"/>
          <w:lang w:val="en-US"/>
        </w:rPr>
        <w:t xml:space="preserve"> and </w:t>
      </w:r>
      <w:r w:rsidR="0065026A">
        <w:rPr>
          <w:color w:val="000000"/>
          <w:lang w:val="en-US"/>
        </w:rPr>
        <w:t xml:space="preserve"> of  </w:t>
      </w:r>
      <w:r w:rsidR="0065026A" w:rsidRPr="0065026A">
        <w:rPr>
          <w:color w:val="000000"/>
          <w:lang w:val="en-US"/>
        </w:rPr>
        <w:t>Spanish proceeding</w:t>
      </w:r>
      <w:r w:rsidR="0065026A">
        <w:rPr>
          <w:color w:val="000000"/>
          <w:lang w:val="en-US"/>
        </w:rPr>
        <w:t>s</w:t>
      </w:r>
      <w:r w:rsidR="0065026A" w:rsidRPr="0065026A">
        <w:rPr>
          <w:color w:val="000000"/>
          <w:lang w:val="en-US"/>
        </w:rPr>
        <w:t xml:space="preserve"> </w:t>
      </w:r>
      <w:r w:rsidR="0065026A">
        <w:rPr>
          <w:color w:val="000000"/>
          <w:lang w:val="en-US"/>
        </w:rPr>
        <w:t xml:space="preserve">at </w:t>
      </w:r>
      <w:r w:rsidR="0065026A" w:rsidRPr="0065026A">
        <w:rPr>
          <w:color w:val="000000"/>
          <w:lang w:val="en-US"/>
        </w:rPr>
        <w:t xml:space="preserve">between 336–672 days </w:t>
      </w:r>
      <w:r w:rsidR="00C87120">
        <w:rPr>
          <w:color w:val="000000"/>
          <w:lang w:val="en-US"/>
        </w:rPr>
        <w:t>\cite{</w:t>
      </w:r>
      <w:r w:rsidR="00C87120" w:rsidRPr="0065026A">
        <w:rPr>
          <w:color w:val="000000"/>
          <w:lang w:val="en-US"/>
        </w:rPr>
        <w:t xml:space="preserve"> </w:t>
      </w:r>
      <w:proofErr w:type="spellStart"/>
      <w:r w:rsidR="00C87120" w:rsidRPr="0000477B">
        <w:rPr>
          <w:color w:val="000000"/>
          <w:lang w:val="en-US"/>
        </w:rPr>
        <w:t>Staszkiewicz</w:t>
      </w:r>
      <w:r w:rsidR="00C87120">
        <w:rPr>
          <w:color w:val="000000"/>
          <w:lang w:val="en-US"/>
        </w:rPr>
        <w:t>2019</w:t>
      </w:r>
      <w:proofErr w:type="spellEnd"/>
      <w:r w:rsidR="00C87120">
        <w:rPr>
          <w:color w:val="000000"/>
          <w:lang w:val="en-US"/>
        </w:rPr>
        <w:t>}</w:t>
      </w:r>
      <w:r w:rsidR="0065026A" w:rsidRPr="0065026A">
        <w:rPr>
          <w:color w:val="000000"/>
          <w:lang w:val="en-US"/>
        </w:rPr>
        <w:t>.</w:t>
      </w:r>
      <w:r w:rsidR="0065026A">
        <w:rPr>
          <w:color w:val="000000"/>
          <w:lang w:val="en-US"/>
        </w:rPr>
        <w:t xml:space="preserve"> </w:t>
      </w:r>
      <w:r w:rsidR="00CA0852">
        <w:rPr>
          <w:color w:val="000000"/>
          <w:lang w:val="en-US"/>
        </w:rPr>
        <w:t>The World Bank Doing Business Report \cite{</w:t>
      </w:r>
      <w:proofErr w:type="spellStart"/>
      <w:r w:rsidR="00CA0852">
        <w:rPr>
          <w:color w:val="000000"/>
          <w:lang w:val="en-US"/>
        </w:rPr>
        <w:t>WorldBank2021</w:t>
      </w:r>
      <w:proofErr w:type="spellEnd"/>
      <w:r w:rsidR="00CA0852">
        <w:rPr>
          <w:color w:val="000000"/>
          <w:lang w:val="en-US"/>
        </w:rPr>
        <w:t>} provides a global database.</w:t>
      </w:r>
    </w:p>
    <w:p w14:paraId="2FC9E8AA" w14:textId="32855A4A" w:rsidR="00FE334C" w:rsidRPr="0065026A" w:rsidRDefault="00FF7697" w:rsidP="0065026A">
      <w:pPr>
        <w:autoSpaceDE w:val="0"/>
        <w:autoSpaceDN w:val="0"/>
        <w:adjustRightInd w:val="0"/>
        <w:jc w:val="left"/>
        <w:rPr>
          <w:color w:val="000000"/>
          <w:lang w:val="en-US"/>
        </w:rPr>
      </w:pPr>
      <w:r w:rsidRPr="0065026A">
        <w:rPr>
          <w:color w:val="000000"/>
          <w:lang w:val="en-US"/>
        </w:rPr>
        <w:t xml:space="preserve">Table 2 </w:t>
      </w:r>
      <w:proofErr w:type="spellStart"/>
      <w:r w:rsidRPr="0065026A">
        <w:rPr>
          <w:color w:val="000000"/>
          <w:lang w:val="en-US"/>
        </w:rPr>
        <w:t>summarises</w:t>
      </w:r>
      <w:proofErr w:type="spellEnd"/>
      <w:r w:rsidRPr="0065026A">
        <w:rPr>
          <w:color w:val="000000"/>
          <w:lang w:val="en-US"/>
        </w:rPr>
        <w:t xml:space="preserve"> the distribution of time taken by the</w:t>
      </w:r>
      <w:r>
        <w:rPr>
          <w:lang w:val="en-US"/>
        </w:rPr>
        <w:t xml:space="preserve"> judicial system</w:t>
      </w:r>
      <w:r w:rsidR="00CA0852">
        <w:rPr>
          <w:lang w:val="en-US"/>
        </w:rPr>
        <w:t xml:space="preserve"> in India</w:t>
      </w:r>
      <w:r>
        <w:rPr>
          <w:lang w:val="en-US"/>
        </w:rPr>
        <w:t>, from initiation of insolvency proceedings to closure.</w:t>
      </w:r>
    </w:p>
    <w:p w14:paraId="2ED40BF5" w14:textId="17DB91F2" w:rsidR="00FF7697" w:rsidRDefault="00FF7697" w:rsidP="00C7753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C7753D">
            <w:pPr>
              <w:rPr>
                <w:sz w:val="24"/>
                <w:lang w:val="en-US"/>
              </w:rPr>
            </w:pPr>
            <w:r w:rsidRPr="00FF7697">
              <w:rPr>
                <w:sz w:val="24"/>
                <w:lang w:val="en-US"/>
              </w:rPr>
              <w:t>Sr. No.</w:t>
            </w:r>
          </w:p>
        </w:tc>
        <w:tc>
          <w:tcPr>
            <w:tcW w:w="4394" w:type="dxa"/>
            <w:gridSpan w:val="2"/>
          </w:tcPr>
          <w:p w14:paraId="5FEF3892" w14:textId="1C1B08CA" w:rsidR="00FF7697" w:rsidRPr="00C610DE" w:rsidRDefault="00FF7697" w:rsidP="00FF7697">
            <w:pPr>
              <w:jc w:val="center"/>
              <w:rPr>
                <w:sz w:val="24"/>
                <w:lang w:val="en-US"/>
              </w:rPr>
            </w:pPr>
            <w:r w:rsidRPr="00FF7697">
              <w:rPr>
                <w:b/>
                <w:sz w:val="24"/>
                <w:lang w:val="en-US"/>
              </w:rPr>
              <w:t>Descriptive statistics</w:t>
            </w:r>
            <w:r w:rsidR="00C610DE">
              <w:rPr>
                <w:b/>
                <w:sz w:val="24"/>
                <w:lang w:val="en-US"/>
              </w:rPr>
              <w:t xml:space="preserve"> (</w:t>
            </w:r>
            <w:r w:rsidR="00C610DE">
              <w:rPr>
                <w:sz w:val="24"/>
                <w:lang w:val="en-US"/>
              </w:rPr>
              <w:t>No. of days)</w:t>
            </w:r>
          </w:p>
        </w:tc>
      </w:tr>
      <w:tr w:rsidR="00FF7697" w:rsidRPr="00FF7697" w14:paraId="44440BBB" w14:textId="77777777" w:rsidTr="002105EB">
        <w:tc>
          <w:tcPr>
            <w:tcW w:w="983" w:type="dxa"/>
          </w:tcPr>
          <w:p w14:paraId="583C54C2" w14:textId="2B6086C0" w:rsidR="00FF7697" w:rsidRPr="00FF7697" w:rsidRDefault="00FF7697" w:rsidP="00C7753D">
            <w:pPr>
              <w:rPr>
                <w:sz w:val="24"/>
                <w:lang w:val="en-US"/>
              </w:rPr>
            </w:pPr>
            <w:r>
              <w:rPr>
                <w:sz w:val="24"/>
                <w:lang w:val="en-US"/>
              </w:rPr>
              <w:t>1</w:t>
            </w:r>
          </w:p>
        </w:tc>
        <w:tc>
          <w:tcPr>
            <w:tcW w:w="1984" w:type="dxa"/>
          </w:tcPr>
          <w:p w14:paraId="1D8C84B3" w14:textId="60030B6A" w:rsidR="00FF7697" w:rsidRPr="00FF7697" w:rsidRDefault="00C4574E" w:rsidP="00C7753D">
            <w:pPr>
              <w:rPr>
                <w:sz w:val="24"/>
                <w:lang w:val="en-US"/>
              </w:rPr>
            </w:pPr>
            <w:r>
              <w:rPr>
                <w:sz w:val="24"/>
                <w:lang w:val="en-US"/>
              </w:rPr>
              <w:t>Minimum</w:t>
            </w:r>
          </w:p>
        </w:tc>
        <w:tc>
          <w:tcPr>
            <w:tcW w:w="2410" w:type="dxa"/>
          </w:tcPr>
          <w:p w14:paraId="32CB81EC" w14:textId="125EEFB1" w:rsidR="00FF7697" w:rsidRPr="00FF7697" w:rsidRDefault="00C4574E" w:rsidP="00C610DE">
            <w:pPr>
              <w:jc w:val="center"/>
              <w:rPr>
                <w:sz w:val="24"/>
                <w:lang w:val="en-US"/>
              </w:rPr>
            </w:pPr>
            <w:r>
              <w:rPr>
                <w:sz w:val="24"/>
                <w:lang w:val="en-US"/>
              </w:rPr>
              <w:t>42</w:t>
            </w:r>
          </w:p>
        </w:tc>
      </w:tr>
      <w:tr w:rsidR="00FF7697" w:rsidRPr="00FF7697" w14:paraId="55ED05AB" w14:textId="77777777" w:rsidTr="002105EB">
        <w:tc>
          <w:tcPr>
            <w:tcW w:w="983" w:type="dxa"/>
          </w:tcPr>
          <w:p w14:paraId="0182EC57" w14:textId="4BE9EC76" w:rsidR="00FF7697" w:rsidRPr="00FF7697" w:rsidRDefault="00FF7697" w:rsidP="00C7753D">
            <w:pPr>
              <w:rPr>
                <w:sz w:val="24"/>
                <w:lang w:val="en-US"/>
              </w:rPr>
            </w:pPr>
            <w:r>
              <w:rPr>
                <w:sz w:val="24"/>
                <w:lang w:val="en-US"/>
              </w:rPr>
              <w:t>2</w:t>
            </w:r>
          </w:p>
        </w:tc>
        <w:tc>
          <w:tcPr>
            <w:tcW w:w="1984" w:type="dxa"/>
          </w:tcPr>
          <w:p w14:paraId="16B16C32" w14:textId="5886E124" w:rsidR="00FF7697" w:rsidRPr="00FF7697" w:rsidRDefault="00C4574E" w:rsidP="00C7753D">
            <w:pPr>
              <w:rPr>
                <w:sz w:val="24"/>
                <w:lang w:val="en-US"/>
              </w:rPr>
            </w:pPr>
            <w:r>
              <w:rPr>
                <w:sz w:val="24"/>
                <w:lang w:val="en-US"/>
              </w:rPr>
              <w:t>Median</w:t>
            </w:r>
          </w:p>
        </w:tc>
        <w:tc>
          <w:tcPr>
            <w:tcW w:w="2410" w:type="dxa"/>
          </w:tcPr>
          <w:p w14:paraId="2F90828C" w14:textId="5FDEEE95" w:rsidR="00FF7697" w:rsidRPr="00FF7697" w:rsidRDefault="00C4574E" w:rsidP="00C610DE">
            <w:pPr>
              <w:jc w:val="center"/>
              <w:rPr>
                <w:sz w:val="24"/>
                <w:lang w:val="en-US"/>
              </w:rPr>
            </w:pPr>
            <w:r>
              <w:rPr>
                <w:sz w:val="24"/>
                <w:lang w:val="en-US"/>
              </w:rPr>
              <w:t>402</w:t>
            </w:r>
          </w:p>
        </w:tc>
      </w:tr>
      <w:tr w:rsidR="00FF7697" w:rsidRPr="00FF7697" w14:paraId="49CECA64" w14:textId="77777777" w:rsidTr="002105EB">
        <w:tc>
          <w:tcPr>
            <w:tcW w:w="983" w:type="dxa"/>
          </w:tcPr>
          <w:p w14:paraId="00FF5A4A" w14:textId="68214E4B" w:rsidR="00FF7697" w:rsidRPr="00FF7697" w:rsidRDefault="00FF7697" w:rsidP="00C7753D">
            <w:pPr>
              <w:rPr>
                <w:sz w:val="24"/>
                <w:lang w:val="en-US"/>
              </w:rPr>
            </w:pPr>
            <w:r>
              <w:rPr>
                <w:sz w:val="24"/>
                <w:lang w:val="en-US"/>
              </w:rPr>
              <w:t>3</w:t>
            </w:r>
          </w:p>
        </w:tc>
        <w:tc>
          <w:tcPr>
            <w:tcW w:w="1984" w:type="dxa"/>
          </w:tcPr>
          <w:p w14:paraId="5F37668E" w14:textId="67347D1E" w:rsidR="00FF7697" w:rsidRPr="00FF7697" w:rsidRDefault="00C4574E" w:rsidP="00C7753D">
            <w:pPr>
              <w:rPr>
                <w:sz w:val="24"/>
                <w:lang w:val="en-US"/>
              </w:rPr>
            </w:pPr>
            <w:r>
              <w:rPr>
                <w:sz w:val="24"/>
                <w:lang w:val="en-US"/>
              </w:rPr>
              <w:t>Maximum</w:t>
            </w:r>
          </w:p>
        </w:tc>
        <w:tc>
          <w:tcPr>
            <w:tcW w:w="2410" w:type="dxa"/>
          </w:tcPr>
          <w:p w14:paraId="6B662CBA" w14:textId="1B45B61A" w:rsidR="00FF7697" w:rsidRPr="00FF7697" w:rsidRDefault="00C4574E" w:rsidP="00C610DE">
            <w:pPr>
              <w:jc w:val="center"/>
              <w:rPr>
                <w:sz w:val="24"/>
                <w:lang w:val="en-US"/>
              </w:rPr>
            </w:pPr>
            <w:r>
              <w:rPr>
                <w:sz w:val="24"/>
                <w:lang w:val="en-US"/>
              </w:rPr>
              <w:t>1819</w:t>
            </w:r>
          </w:p>
        </w:tc>
      </w:tr>
      <w:tr w:rsidR="00FF7697" w:rsidRPr="00FF7697" w14:paraId="09EB87F2" w14:textId="77777777" w:rsidTr="002105EB">
        <w:tc>
          <w:tcPr>
            <w:tcW w:w="983" w:type="dxa"/>
          </w:tcPr>
          <w:p w14:paraId="1D372AAF" w14:textId="60C594DF" w:rsidR="00FF7697" w:rsidRPr="00FF7697" w:rsidRDefault="00FF7697" w:rsidP="00C7753D">
            <w:pPr>
              <w:rPr>
                <w:sz w:val="24"/>
                <w:lang w:val="en-US"/>
              </w:rPr>
            </w:pPr>
            <w:r>
              <w:rPr>
                <w:sz w:val="24"/>
                <w:lang w:val="en-US"/>
              </w:rPr>
              <w:t>4</w:t>
            </w:r>
          </w:p>
        </w:tc>
        <w:tc>
          <w:tcPr>
            <w:tcW w:w="1984" w:type="dxa"/>
          </w:tcPr>
          <w:p w14:paraId="686D3292" w14:textId="390702D7" w:rsidR="00FF7697" w:rsidRPr="00FF7697" w:rsidRDefault="00C4574E" w:rsidP="00C7753D">
            <w:pPr>
              <w:rPr>
                <w:sz w:val="24"/>
                <w:lang w:val="en-US"/>
              </w:rPr>
            </w:pPr>
            <w:r>
              <w:rPr>
                <w:sz w:val="24"/>
                <w:lang w:val="en-US"/>
              </w:rPr>
              <w:t>Skewness</w:t>
            </w:r>
          </w:p>
        </w:tc>
        <w:tc>
          <w:tcPr>
            <w:tcW w:w="2410" w:type="dxa"/>
          </w:tcPr>
          <w:p w14:paraId="4039F151" w14:textId="59E79849" w:rsidR="00FF7697" w:rsidRPr="00FF7697" w:rsidRDefault="00C4574E" w:rsidP="00C610DE">
            <w:pPr>
              <w:jc w:val="center"/>
              <w:rPr>
                <w:sz w:val="24"/>
                <w:lang w:val="en-US"/>
              </w:rPr>
            </w:pPr>
            <w:r>
              <w:rPr>
                <w:sz w:val="24"/>
                <w:lang w:val="en-US"/>
              </w:rPr>
              <w:t>1.20</w:t>
            </w:r>
          </w:p>
        </w:tc>
      </w:tr>
      <w:tr w:rsidR="00FF7697" w:rsidRPr="00FF7697" w14:paraId="7B4777C5" w14:textId="77777777" w:rsidTr="002105EB">
        <w:tc>
          <w:tcPr>
            <w:tcW w:w="983" w:type="dxa"/>
          </w:tcPr>
          <w:p w14:paraId="2BCB0863" w14:textId="16ED11FF" w:rsidR="00FF7697" w:rsidRPr="00FF7697" w:rsidRDefault="00FF7697" w:rsidP="00C7753D">
            <w:pPr>
              <w:rPr>
                <w:sz w:val="24"/>
                <w:lang w:val="en-US"/>
              </w:rPr>
            </w:pPr>
            <w:r>
              <w:rPr>
                <w:sz w:val="24"/>
                <w:lang w:val="en-US"/>
              </w:rPr>
              <w:t>5</w:t>
            </w:r>
          </w:p>
        </w:tc>
        <w:tc>
          <w:tcPr>
            <w:tcW w:w="1984" w:type="dxa"/>
          </w:tcPr>
          <w:p w14:paraId="270D7DA8" w14:textId="17A9493E" w:rsidR="00FF7697" w:rsidRPr="00FF7697" w:rsidRDefault="00C4574E" w:rsidP="00C7753D">
            <w:pPr>
              <w:rPr>
                <w:sz w:val="24"/>
                <w:lang w:val="en-US"/>
              </w:rPr>
            </w:pPr>
            <w:r>
              <w:rPr>
                <w:sz w:val="24"/>
                <w:lang w:val="en-US"/>
              </w:rPr>
              <w:t>Kurtosis</w:t>
            </w:r>
          </w:p>
        </w:tc>
        <w:tc>
          <w:tcPr>
            <w:tcW w:w="2410" w:type="dxa"/>
          </w:tcPr>
          <w:p w14:paraId="4B9A58A4" w14:textId="112263C4" w:rsidR="00FF7697" w:rsidRPr="00FF7697" w:rsidRDefault="00C4574E" w:rsidP="00C610DE">
            <w:pPr>
              <w:jc w:val="center"/>
              <w:rPr>
                <w:sz w:val="24"/>
                <w:lang w:val="en-US"/>
              </w:rPr>
            </w:pPr>
            <w:r>
              <w:rPr>
                <w:sz w:val="24"/>
                <w:lang w:val="en-US"/>
              </w:rPr>
              <w:t>4.32</w:t>
            </w:r>
          </w:p>
        </w:tc>
      </w:tr>
      <w:tr w:rsidR="00C4574E" w:rsidRPr="00FF7697" w14:paraId="68469676" w14:textId="77777777" w:rsidTr="002105EB">
        <w:tc>
          <w:tcPr>
            <w:tcW w:w="983" w:type="dxa"/>
          </w:tcPr>
          <w:p w14:paraId="710344EB" w14:textId="7270F5DF" w:rsidR="00C4574E" w:rsidRDefault="008E1B4C" w:rsidP="00C7753D">
            <w:pPr>
              <w:rPr>
                <w:sz w:val="24"/>
                <w:lang w:val="en-US"/>
              </w:rPr>
            </w:pPr>
            <w:r>
              <w:rPr>
                <w:sz w:val="24"/>
                <w:lang w:val="en-US"/>
              </w:rPr>
              <w:t>6</w:t>
            </w:r>
          </w:p>
        </w:tc>
        <w:tc>
          <w:tcPr>
            <w:tcW w:w="1984" w:type="dxa"/>
          </w:tcPr>
          <w:p w14:paraId="2577D2B3" w14:textId="1F040B73" w:rsidR="00C4574E" w:rsidRDefault="00C4574E" w:rsidP="00C7753D">
            <w:pPr>
              <w:rPr>
                <w:sz w:val="24"/>
                <w:lang w:val="en-US"/>
              </w:rPr>
            </w:pPr>
            <w:r>
              <w:rPr>
                <w:sz w:val="24"/>
                <w:lang w:val="en-US"/>
              </w:rPr>
              <w:t>1st Quartile</w:t>
            </w:r>
          </w:p>
        </w:tc>
        <w:tc>
          <w:tcPr>
            <w:tcW w:w="2410" w:type="dxa"/>
          </w:tcPr>
          <w:p w14:paraId="00DAE317" w14:textId="45173822" w:rsidR="00C4574E" w:rsidRDefault="00C4574E" w:rsidP="00C610DE">
            <w:pPr>
              <w:jc w:val="center"/>
              <w:rPr>
                <w:sz w:val="24"/>
                <w:lang w:val="en-US"/>
              </w:rPr>
            </w:pPr>
            <w:r>
              <w:rPr>
                <w:sz w:val="24"/>
                <w:lang w:val="en-US"/>
              </w:rPr>
              <w:t>279</w:t>
            </w:r>
          </w:p>
        </w:tc>
      </w:tr>
      <w:tr w:rsidR="00C4574E" w:rsidRPr="00FF7697" w14:paraId="5CE4B25E" w14:textId="77777777" w:rsidTr="002105EB">
        <w:tc>
          <w:tcPr>
            <w:tcW w:w="983" w:type="dxa"/>
          </w:tcPr>
          <w:p w14:paraId="7707140B" w14:textId="72955595" w:rsidR="00C4574E" w:rsidRDefault="008E1B4C" w:rsidP="00C7753D">
            <w:pPr>
              <w:rPr>
                <w:sz w:val="24"/>
                <w:lang w:val="en-US"/>
              </w:rPr>
            </w:pPr>
            <w:r>
              <w:rPr>
                <w:sz w:val="24"/>
                <w:lang w:val="en-US"/>
              </w:rPr>
              <w:t>7</w:t>
            </w:r>
          </w:p>
        </w:tc>
        <w:tc>
          <w:tcPr>
            <w:tcW w:w="1984" w:type="dxa"/>
          </w:tcPr>
          <w:p w14:paraId="6598D3DE" w14:textId="7C03DF8A" w:rsidR="00C4574E" w:rsidRDefault="00C4574E" w:rsidP="00C7753D">
            <w:pPr>
              <w:rPr>
                <w:sz w:val="24"/>
                <w:lang w:val="en-US"/>
              </w:rPr>
            </w:pPr>
            <w:r>
              <w:rPr>
                <w:sz w:val="24"/>
                <w:lang w:val="en-US"/>
              </w:rPr>
              <w:t>3</w:t>
            </w:r>
            <w:r w:rsidRPr="00C4574E">
              <w:rPr>
                <w:sz w:val="24"/>
                <w:vertAlign w:val="superscript"/>
                <w:lang w:val="en-US"/>
              </w:rPr>
              <w:t>rd</w:t>
            </w:r>
            <w:r>
              <w:rPr>
                <w:sz w:val="24"/>
                <w:lang w:val="en-US"/>
              </w:rPr>
              <w:t xml:space="preserve"> Quartile</w:t>
            </w:r>
          </w:p>
        </w:tc>
        <w:tc>
          <w:tcPr>
            <w:tcW w:w="2410" w:type="dxa"/>
          </w:tcPr>
          <w:p w14:paraId="3304DED0" w14:textId="7E4F08FD" w:rsidR="00C4574E" w:rsidRDefault="00C4574E" w:rsidP="00C610DE">
            <w:pPr>
              <w:jc w:val="center"/>
              <w:rPr>
                <w:sz w:val="24"/>
                <w:lang w:val="en-US"/>
              </w:rPr>
            </w:pPr>
            <w:r>
              <w:rPr>
                <w:sz w:val="24"/>
                <w:lang w:val="en-US"/>
              </w:rPr>
              <w:t>624</w:t>
            </w:r>
          </w:p>
        </w:tc>
      </w:tr>
    </w:tbl>
    <w:p w14:paraId="054CA357" w14:textId="71AF991F" w:rsidR="005A6071" w:rsidRPr="005A6071" w:rsidRDefault="005A6071" w:rsidP="00E75279">
      <w:pPr>
        <w:rPr>
          <w:b/>
          <w:sz w:val="24"/>
          <w:lang w:val="en-US"/>
        </w:rPr>
      </w:pPr>
      <w:r w:rsidRPr="005A6071">
        <w:rPr>
          <w:b/>
          <w:sz w:val="24"/>
          <w:lang w:val="en-US"/>
        </w:rPr>
        <w:t>Table 2: Distribution of time taken in the insolvency resolution process</w:t>
      </w:r>
    </w:p>
    <w:p w14:paraId="22AF5C23" w14:textId="77777777" w:rsidR="005A6071" w:rsidRDefault="005A6071" w:rsidP="00E75279">
      <w:pPr>
        <w:rPr>
          <w:lang w:val="en-US"/>
        </w:rPr>
      </w:pPr>
    </w:p>
    <w:p w14:paraId="0DB39304" w14:textId="13C66DAD" w:rsidR="004B659F" w:rsidRDefault="00F11C0D" w:rsidP="002406E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160348">
        <w:rPr>
          <w:lang w:val="en-US"/>
        </w:rPr>
        <w:t xml:space="preserve"> </w:t>
      </w:r>
      <w:r w:rsidR="004B659F">
        <w:rPr>
          <w:lang w:val="en-US"/>
        </w:rPr>
        <w:t>The distribution of insolvency resolution time is documented in Fig 1.</w:t>
      </w:r>
    </w:p>
    <w:p w14:paraId="2FAF7F4B" w14:textId="3B9BF8FA" w:rsidR="0042558A" w:rsidRDefault="0042558A" w:rsidP="0042558A">
      <w:pPr>
        <w:jc w:val="left"/>
        <w:rPr>
          <w:b/>
          <w:sz w:val="24"/>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42558A">
            <w:pPr>
              <w:jc w:val="left"/>
              <w:rPr>
                <w:b/>
                <w:sz w:val="24"/>
                <w:lang w:val="en-US"/>
              </w:rPr>
            </w:pPr>
            <w:r>
              <w:rPr>
                <w:b/>
                <w:noProof/>
                <w:sz w:val="24"/>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42558A">
            <w:pPr>
              <w:jc w:val="left"/>
              <w:rPr>
                <w:b/>
                <w:sz w:val="24"/>
                <w:lang w:val="en-US"/>
              </w:rPr>
            </w:pPr>
            <w:r w:rsidRPr="0042558A">
              <w:rPr>
                <w:b/>
                <w:sz w:val="24"/>
                <w:lang w:val="en-US"/>
              </w:rPr>
              <w:t>Fig. 1: Time taken from initiation of insolvency</w:t>
            </w:r>
            <w:r>
              <w:rPr>
                <w:b/>
                <w:sz w:val="24"/>
                <w:lang w:val="en-US"/>
              </w:rPr>
              <w:t xml:space="preserve"> </w:t>
            </w:r>
            <w:r w:rsidRPr="0042558A">
              <w:rPr>
                <w:b/>
                <w:sz w:val="24"/>
                <w:lang w:val="en-US"/>
              </w:rPr>
              <w:t>proceedings to closure; dashed line at median</w:t>
            </w:r>
          </w:p>
        </w:tc>
      </w:tr>
    </w:tbl>
    <w:p w14:paraId="47977D5F" w14:textId="194BF746" w:rsidR="0042558A" w:rsidRPr="0083167D" w:rsidRDefault="0042558A" w:rsidP="0042558A">
      <w:pPr>
        <w:jc w:val="left"/>
        <w:rPr>
          <w:sz w:val="24"/>
          <w:lang w:val="en-US"/>
        </w:rPr>
      </w:pPr>
    </w:p>
    <w:p w14:paraId="6949CE9B" w14:textId="5C4E812F" w:rsidR="0083167D" w:rsidRPr="005A6071" w:rsidRDefault="0083167D" w:rsidP="00B74326">
      <w:pPr>
        <w:jc w:val="left"/>
        <w:rPr>
          <w:b/>
          <w:sz w:val="24"/>
          <w:lang w:val="en-US"/>
        </w:rPr>
      </w:pPr>
      <w:r w:rsidRPr="005A737E">
        <w:rPr>
          <w:lang w:val="en-US"/>
        </w:rPr>
        <w:t xml:space="preserve">India’s median of 402 days (1.10 years) compares </w:t>
      </w:r>
      <w:proofErr w:type="spellStart"/>
      <w:r w:rsidRPr="005A737E">
        <w:rPr>
          <w:lang w:val="en-US"/>
        </w:rPr>
        <w:t>favourably</w:t>
      </w:r>
      <w:proofErr w:type="spellEnd"/>
      <w:r w:rsidRPr="005A737E">
        <w:rPr>
          <w:lang w:val="en-US"/>
        </w:rPr>
        <w:t xml:space="preserve"> with the resolution times reported in the World Bank, Doing Business Report 202</w:t>
      </w:r>
      <w:r w:rsidR="00CA0852">
        <w:rPr>
          <w:lang w:val="en-US"/>
        </w:rPr>
        <w:t>1</w:t>
      </w:r>
      <w:r w:rsidRPr="005A737E">
        <w:rPr>
          <w:lang w:val="en-US"/>
        </w:rPr>
        <w:t xml:space="preserve"> (since discontinued). </w:t>
      </w:r>
      <w:r w:rsidR="00CA0852">
        <w:rPr>
          <w:lang w:val="en-US"/>
        </w:rPr>
        <w:t>T</w:t>
      </w:r>
      <w:r w:rsidRPr="005A737E">
        <w:rPr>
          <w:lang w:val="en-US"/>
        </w:rPr>
        <w:t>he reporting periods are different: The World Bank report puts India at 48th place, with a reported resolution time of 1.6 years, according to data collected in 2018-19.</w:t>
      </w:r>
      <w:r w:rsidR="00142AA8" w:rsidRPr="005A737E">
        <w:rPr>
          <w:lang w:val="en-US"/>
        </w:rPr>
        <w:t xml:space="preserve"> </w:t>
      </w:r>
    </w:p>
    <w:p w14:paraId="0C0EF7DD" w14:textId="02914728" w:rsidR="00C87120" w:rsidRDefault="00C87120" w:rsidP="00D433E9">
      <w:pPr>
        <w:pStyle w:val="Heading3"/>
        <w:rPr>
          <w:lang w:val="en-US"/>
        </w:rPr>
      </w:pPr>
      <w:r>
        <w:rPr>
          <w:lang w:val="en-US"/>
        </w:rPr>
        <w:t>4.2</w:t>
      </w:r>
      <w:r w:rsidR="00860EBC">
        <w:rPr>
          <w:lang w:val="en-US"/>
        </w:rPr>
        <w:t xml:space="preserve"> </w:t>
      </w:r>
      <w:r>
        <w:rPr>
          <w:lang w:val="en-US"/>
        </w:rPr>
        <w:t>Of cases that end in liquidation</w:t>
      </w:r>
    </w:p>
    <w:p w14:paraId="6FBCDCFB" w14:textId="58C6CDE1" w:rsidR="002419D5" w:rsidRDefault="00C9286C" w:rsidP="00262065">
      <w:pPr>
        <w:rPr>
          <w:rFonts w:ascii="Arial" w:hAnsi="Arial" w:cs="Arial"/>
          <w:color w:val="000000"/>
          <w:sz w:val="26"/>
          <w:szCs w:val="26"/>
        </w:rPr>
      </w:pPr>
      <w:r>
        <w:t>T</w:t>
      </w:r>
      <w:r>
        <w:t xml:space="preserve">he full caseload of 6195 insolvency proceedings initiated after the new law </w:t>
      </w:r>
      <w:proofErr w:type="spellStart"/>
      <w:r>
        <w:t>came</w:t>
      </w:r>
      <w:r w:rsidR="00262065">
        <w:t>.</w:t>
      </w:r>
      <w:r>
        <w:t>nto</w:t>
      </w:r>
      <w:proofErr w:type="spellEnd"/>
      <w:r>
        <w:t xml:space="preserve"> effect from December 01, 2016</w:t>
      </w:r>
      <w:r>
        <w:t xml:space="preserve"> is analysed. </w:t>
      </w:r>
      <w:r w:rsidR="002419D5">
        <w:t>T</w:t>
      </w:r>
      <w:r w:rsidR="00813171">
        <w:t>able 1</w:t>
      </w:r>
      <w:r w:rsidR="00262065">
        <w:t xml:space="preserve"> presents summary statistics</w:t>
      </w:r>
      <w:r w:rsidR="00813171">
        <w:t>.</w:t>
      </w:r>
      <w:r w:rsidR="00021952">
        <w:t xml:space="preserve"> Closure of insolvency proceedings out of appeals/reviews and out of court settlement accounted for 894 cases </w:t>
      </w:r>
      <w:r w:rsidR="00262065">
        <w:t xml:space="preserve">(approx. 14 per cent). Closures by withdrawal of proceedings accounted for another 793 cases (12.80 per cent). </w:t>
      </w:r>
      <w:r w:rsidR="002419D5" w:rsidRPr="002419D5">
        <w:rPr>
          <w:rFonts w:ascii="Arial" w:hAnsi="Arial" w:cs="Arial"/>
          <w:color w:val="000000"/>
          <w:sz w:val="26"/>
          <w:szCs w:val="26"/>
        </w:rPr>
        <w:t>The number of “CIRPs yielding liquidations” (liquidation cases</w:t>
      </w:r>
      <w:r w:rsidR="00262065">
        <w:rPr>
          <w:rFonts w:ascii="Arial" w:hAnsi="Arial" w:cs="Arial"/>
          <w:color w:val="000000"/>
          <w:sz w:val="26"/>
          <w:szCs w:val="26"/>
        </w:rPr>
        <w:t>,(1901, 30.68 per cent</w:t>
      </w:r>
      <w:r w:rsidR="002419D5" w:rsidRPr="002419D5">
        <w:rPr>
          <w:rFonts w:ascii="Arial" w:hAnsi="Arial" w:cs="Arial"/>
          <w:color w:val="000000"/>
          <w:sz w:val="26"/>
          <w:szCs w:val="26"/>
        </w:rPr>
        <w:t>) is almost three times the number of “CIRPs yielding Resolution Plans” (resol</w:t>
      </w:r>
      <w:r w:rsidR="00262065">
        <w:rPr>
          <w:rFonts w:ascii="Arial" w:hAnsi="Arial" w:cs="Arial"/>
          <w:color w:val="000000"/>
          <w:sz w:val="26"/>
          <w:szCs w:val="26"/>
        </w:rPr>
        <w:t>ution</w:t>
      </w:r>
      <w:r w:rsidR="002419D5" w:rsidRPr="002419D5">
        <w:rPr>
          <w:rFonts w:ascii="Arial" w:hAnsi="Arial" w:cs="Arial"/>
          <w:color w:val="000000"/>
          <w:sz w:val="26"/>
          <w:szCs w:val="26"/>
        </w:rPr>
        <w:t xml:space="preserve"> cases</w:t>
      </w:r>
      <w:r w:rsidR="00262065">
        <w:rPr>
          <w:rFonts w:ascii="Arial" w:hAnsi="Arial" w:cs="Arial"/>
          <w:color w:val="000000"/>
          <w:sz w:val="26"/>
          <w:szCs w:val="26"/>
        </w:rPr>
        <w:t>, at 610 (9.85 per cent</w:t>
      </w:r>
      <w:r w:rsidR="002419D5" w:rsidRPr="002419D5">
        <w:rPr>
          <w:rFonts w:ascii="Arial" w:hAnsi="Arial" w:cs="Arial"/>
          <w:color w:val="000000"/>
          <w:sz w:val="26"/>
          <w:szCs w:val="26"/>
        </w:rPr>
        <w:t xml:space="preserve">). </w:t>
      </w:r>
    </w:p>
    <w:p w14:paraId="1B66BE33" w14:textId="06F3455E" w:rsidR="00F35E66" w:rsidRDefault="00F35E66" w:rsidP="00F35E66">
      <w:pPr>
        <w:rPr>
          <w:lang w:val="en-US"/>
        </w:rPr>
      </w:pPr>
      <w:r>
        <w:rPr>
          <w:lang w:val="en-US"/>
        </w:rPr>
        <w:t>Camacho-</w:t>
      </w:r>
      <w:proofErr w:type="spellStart"/>
      <w:r>
        <w:rPr>
          <w:lang w:val="en-US"/>
        </w:rPr>
        <w:t>Miñano</w:t>
      </w:r>
      <w:proofErr w:type="spellEnd"/>
      <w:r>
        <w:rPr>
          <w:lang w:val="en-US"/>
        </w:rPr>
        <w:t xml:space="preserve"> (2013) reported </w:t>
      </w:r>
      <w:r>
        <w:rPr>
          <w:lang w:val="en-US"/>
        </w:rPr>
        <w:t xml:space="preserve"> 90% of the companies in bankruptcy </w:t>
      </w:r>
      <w:r>
        <w:rPr>
          <w:lang w:val="en-US"/>
        </w:rPr>
        <w:t xml:space="preserve">in Spain </w:t>
      </w:r>
      <w:r>
        <w:rPr>
          <w:lang w:val="en-US"/>
        </w:rPr>
        <w:t>ended up in liquidation</w:t>
      </w:r>
      <w:r>
        <w:rPr>
          <w:lang w:val="en-US"/>
        </w:rPr>
        <w:t xml:space="preserve">. </w:t>
      </w:r>
    </w:p>
    <w:p w14:paraId="15E8243F" w14:textId="77777777" w:rsidR="00F35E66" w:rsidRDefault="00F35E66" w:rsidP="00F35E66">
      <w:pPr>
        <w:rPr>
          <w:lang w:val="en-US"/>
        </w:rPr>
      </w:pPr>
    </w:p>
    <w:p w14:paraId="01242174" w14:textId="4F9B5A68" w:rsidR="00703A8F" w:rsidRPr="00D433E9" w:rsidRDefault="005A737E" w:rsidP="00F35E66">
      <w:pPr>
        <w:rPr>
          <w:color w:val="1F3763" w:themeColor="accent1" w:themeShade="7F"/>
          <w:sz w:val="24"/>
          <w:lang w:val="en-US"/>
        </w:rPr>
      </w:pPr>
      <w:r>
        <w:rPr>
          <w:lang w:val="en-US"/>
        </w:rPr>
        <w:t>4.1 Recovery metrics</w:t>
      </w:r>
    </w:p>
    <w:p w14:paraId="1EA180F8" w14:textId="4CA98FBA" w:rsidR="00396590" w:rsidRPr="00396590" w:rsidRDefault="00BD005B" w:rsidP="009F5E6D">
      <w:pPr>
        <w:jc w:val="left"/>
      </w:pPr>
      <w:r w:rsidRPr="00665B90">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lang w:val="en-US"/>
        </w:rPr>
        <w:t xml:space="preserve">n terms of the 610 cases that were settled through the resolution platform, total </w:t>
      </w:r>
      <w:r w:rsidR="00665B90">
        <w:rPr>
          <w:lang w:val="en-US"/>
        </w:rPr>
        <w:t>re</w:t>
      </w:r>
      <w:r w:rsidR="007C7E7C">
        <w:rPr>
          <w:lang w:val="en-US"/>
        </w:rPr>
        <w:t>coveries</w:t>
      </w:r>
      <w:r w:rsidR="00665B90">
        <w:rPr>
          <w:lang w:val="en-US"/>
        </w:rPr>
        <w:t xml:space="preserve"> amounted to 3</w:t>
      </w:r>
      <w:r w:rsidR="007C7E7C">
        <w:rPr>
          <w:lang w:val="en-US"/>
        </w:rPr>
        <w:t>3</w:t>
      </w:r>
      <w:r w:rsidR="00665B90">
        <w:rPr>
          <w:lang w:val="en-US"/>
        </w:rPr>
        <w:t>.</w:t>
      </w:r>
      <w:r w:rsidR="007C7E7C">
        <w:rPr>
          <w:lang w:val="en-US"/>
        </w:rPr>
        <w:t>8</w:t>
      </w:r>
      <w:r w:rsidR="00665B90">
        <w:rPr>
          <w:lang w:val="en-US"/>
        </w:rPr>
        <w:t>4 per cent of the total admitted claims</w:t>
      </w:r>
      <w:r w:rsidR="007C7E7C">
        <w:rPr>
          <w:lang w:val="en-US"/>
        </w:rPr>
        <w:t>, of which the recovery percentage for financial creditors was 37.60 per cent</w:t>
      </w:r>
      <w:r w:rsidR="00665B90">
        <w:rPr>
          <w:lang w:val="en-US"/>
        </w:rPr>
        <w:t>.</w:t>
      </w:r>
      <w:r w:rsidR="0098268C">
        <w:rPr>
          <w:lang w:val="en-US"/>
        </w:rPr>
        <w:t xml:space="preserve"> </w:t>
      </w:r>
      <w:r w:rsidR="00396590">
        <w:t xml:space="preserve">Our analysis compares well with the findings in an Indian Institute of Management, Ahmedabad study </w:t>
      </w:r>
      <w:r w:rsidR="004A177A">
        <w:t xml:space="preserve">\cite{IIMA2023}. </w:t>
      </w:r>
      <w:r w:rsidR="009F5E6D">
        <w:t xml:space="preserve">For a sample of 542 insolvency cases that closed with resolution, the study reports </w:t>
      </w:r>
      <w:r w:rsidR="00396590" w:rsidRPr="00396590">
        <w:t>the average recovery rate is about 33.2</w:t>
      </w:r>
      <w:r w:rsidR="009F5E6D">
        <w:t xml:space="preserve"> per cent</w:t>
      </w:r>
      <w:r w:rsidR="00396590" w:rsidRPr="00396590">
        <w:t>, of which the financial creditors have an average recovery of about 38.5</w:t>
      </w:r>
      <w:r w:rsidR="009F5E6D">
        <w:t xml:space="preserve"> per cent</w:t>
      </w:r>
      <w:r w:rsidR="00396590" w:rsidRPr="00396590">
        <w:t xml:space="preserve"> and the operational creditors at 23.8</w:t>
      </w:r>
      <w:r w:rsidR="009F5E6D">
        <w:t xml:space="preserve"> per cent</w:t>
      </w:r>
      <w:r w:rsidR="00396590" w:rsidRPr="00396590">
        <w:t>.</w:t>
      </w:r>
    </w:p>
    <w:p w14:paraId="4E30107B" w14:textId="59AD4225" w:rsidR="000E6C60" w:rsidRDefault="001024D1" w:rsidP="007C7E7C">
      <w:pPr>
        <w:rPr>
          <w:lang w:val="en-US"/>
        </w:rPr>
      </w:pPr>
      <w:r>
        <w:rPr>
          <w:lang w:val="en-US"/>
        </w:rPr>
        <w:t xml:space="preserve">For </w:t>
      </w:r>
      <w:r w:rsidR="00522B5B">
        <w:rPr>
          <w:lang w:val="en-US"/>
        </w:rPr>
        <w:t xml:space="preserve">a panel of 91 countries, </w:t>
      </w:r>
      <w:proofErr w:type="spellStart"/>
      <w:r w:rsidR="00522B5B">
        <w:rPr>
          <w:lang w:val="en-US"/>
        </w:rPr>
        <w:t>Succurro</w:t>
      </w:r>
      <w:proofErr w:type="spellEnd"/>
      <w:r>
        <w:rPr>
          <w:lang w:val="en-US"/>
        </w:rPr>
        <w:t xml:space="preserve"> (2012) report a mean recovery rate of 40.55 per cent, with</w:t>
      </w:r>
      <w:r w:rsidR="00D433E9">
        <w:rPr>
          <w:lang w:val="en-US"/>
        </w:rPr>
        <w:t xml:space="preserve"> a</w:t>
      </w:r>
      <w:r>
        <w:rPr>
          <w:lang w:val="en-US"/>
        </w:rPr>
        <w:t xml:space="preserve"> standard deviation of 25.90.</w:t>
      </w:r>
      <w:r w:rsidR="00D433E9">
        <w:rPr>
          <w:lang w:val="en-US"/>
        </w:rPr>
        <w:t xml:space="preserve"> The World Bank, Doing Business Report (2021) documents a global perspective.</w:t>
      </w:r>
    </w:p>
    <w:p w14:paraId="141DB4D0" w14:textId="77777777" w:rsidR="00732C74" w:rsidRPr="00703A8F" w:rsidRDefault="00732C74" w:rsidP="007C7E7C">
      <w:pPr>
        <w:rPr>
          <w:lang w:val="en-US"/>
        </w:rPr>
      </w:pPr>
    </w:p>
    <w:sectPr w:rsidR="00732C74" w:rsidRPr="00703A8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477B"/>
    <w:rsid w:val="000058A1"/>
    <w:rsid w:val="0000711E"/>
    <w:rsid w:val="00020AC9"/>
    <w:rsid w:val="00021952"/>
    <w:rsid w:val="0002558E"/>
    <w:rsid w:val="00030948"/>
    <w:rsid w:val="00052806"/>
    <w:rsid w:val="00063A30"/>
    <w:rsid w:val="00067B41"/>
    <w:rsid w:val="000811D3"/>
    <w:rsid w:val="000823FA"/>
    <w:rsid w:val="00097476"/>
    <w:rsid w:val="000A3164"/>
    <w:rsid w:val="000D5A1A"/>
    <w:rsid w:val="000E650A"/>
    <w:rsid w:val="000E6C60"/>
    <w:rsid w:val="001024D1"/>
    <w:rsid w:val="00111996"/>
    <w:rsid w:val="00117CAE"/>
    <w:rsid w:val="00142AA8"/>
    <w:rsid w:val="00160348"/>
    <w:rsid w:val="00173675"/>
    <w:rsid w:val="001770E1"/>
    <w:rsid w:val="00180CCC"/>
    <w:rsid w:val="00180EE0"/>
    <w:rsid w:val="00192E8B"/>
    <w:rsid w:val="00193B39"/>
    <w:rsid w:val="001957BC"/>
    <w:rsid w:val="00197C36"/>
    <w:rsid w:val="001A13AB"/>
    <w:rsid w:val="001B22F5"/>
    <w:rsid w:val="001C274A"/>
    <w:rsid w:val="001E3044"/>
    <w:rsid w:val="001F18D8"/>
    <w:rsid w:val="001F6A69"/>
    <w:rsid w:val="001F7406"/>
    <w:rsid w:val="00204124"/>
    <w:rsid w:val="00205545"/>
    <w:rsid w:val="002105EB"/>
    <w:rsid w:val="00211C51"/>
    <w:rsid w:val="0022780E"/>
    <w:rsid w:val="002406ED"/>
    <w:rsid w:val="002419D5"/>
    <w:rsid w:val="00262065"/>
    <w:rsid w:val="00290920"/>
    <w:rsid w:val="002B4E47"/>
    <w:rsid w:val="00306785"/>
    <w:rsid w:val="00310049"/>
    <w:rsid w:val="003101EE"/>
    <w:rsid w:val="00312259"/>
    <w:rsid w:val="00322FEE"/>
    <w:rsid w:val="00371F4C"/>
    <w:rsid w:val="00383F12"/>
    <w:rsid w:val="00387A10"/>
    <w:rsid w:val="00392973"/>
    <w:rsid w:val="00396590"/>
    <w:rsid w:val="003A3510"/>
    <w:rsid w:val="003B3EF7"/>
    <w:rsid w:val="003B3F28"/>
    <w:rsid w:val="003E32DB"/>
    <w:rsid w:val="00400409"/>
    <w:rsid w:val="0042552C"/>
    <w:rsid w:val="0042558A"/>
    <w:rsid w:val="0042718E"/>
    <w:rsid w:val="00432A67"/>
    <w:rsid w:val="00474281"/>
    <w:rsid w:val="004802C5"/>
    <w:rsid w:val="00481947"/>
    <w:rsid w:val="004923CA"/>
    <w:rsid w:val="00493039"/>
    <w:rsid w:val="004A177A"/>
    <w:rsid w:val="004A53BF"/>
    <w:rsid w:val="004B2281"/>
    <w:rsid w:val="004B659F"/>
    <w:rsid w:val="004D0363"/>
    <w:rsid w:val="004F6774"/>
    <w:rsid w:val="00522B5B"/>
    <w:rsid w:val="00544DFA"/>
    <w:rsid w:val="005656EC"/>
    <w:rsid w:val="00571E1D"/>
    <w:rsid w:val="00572F21"/>
    <w:rsid w:val="00576CE5"/>
    <w:rsid w:val="00582729"/>
    <w:rsid w:val="005955CF"/>
    <w:rsid w:val="00595CCF"/>
    <w:rsid w:val="00596F28"/>
    <w:rsid w:val="005A04CC"/>
    <w:rsid w:val="005A4E9A"/>
    <w:rsid w:val="005A6071"/>
    <w:rsid w:val="005A653C"/>
    <w:rsid w:val="005A737E"/>
    <w:rsid w:val="005B05B5"/>
    <w:rsid w:val="005C5627"/>
    <w:rsid w:val="005F702E"/>
    <w:rsid w:val="006133F2"/>
    <w:rsid w:val="00615106"/>
    <w:rsid w:val="00621A61"/>
    <w:rsid w:val="0065026A"/>
    <w:rsid w:val="00657FD4"/>
    <w:rsid w:val="00665B90"/>
    <w:rsid w:val="00666E62"/>
    <w:rsid w:val="006A1A83"/>
    <w:rsid w:val="006A516E"/>
    <w:rsid w:val="006B2B62"/>
    <w:rsid w:val="006B3ADA"/>
    <w:rsid w:val="006B4FF1"/>
    <w:rsid w:val="006C4440"/>
    <w:rsid w:val="006D5BD4"/>
    <w:rsid w:val="006E1926"/>
    <w:rsid w:val="006E5903"/>
    <w:rsid w:val="006F1103"/>
    <w:rsid w:val="00703A8F"/>
    <w:rsid w:val="00704C48"/>
    <w:rsid w:val="007233DF"/>
    <w:rsid w:val="007279E5"/>
    <w:rsid w:val="00732C74"/>
    <w:rsid w:val="00763496"/>
    <w:rsid w:val="00764271"/>
    <w:rsid w:val="00790164"/>
    <w:rsid w:val="00797525"/>
    <w:rsid w:val="007A7293"/>
    <w:rsid w:val="007B1A2C"/>
    <w:rsid w:val="007B2764"/>
    <w:rsid w:val="007B4BA6"/>
    <w:rsid w:val="007C7E7C"/>
    <w:rsid w:val="007D771E"/>
    <w:rsid w:val="007F413B"/>
    <w:rsid w:val="00805CB1"/>
    <w:rsid w:val="00807519"/>
    <w:rsid w:val="00810955"/>
    <w:rsid w:val="00811689"/>
    <w:rsid w:val="00813171"/>
    <w:rsid w:val="0083167D"/>
    <w:rsid w:val="00845CA0"/>
    <w:rsid w:val="00846842"/>
    <w:rsid w:val="008549CC"/>
    <w:rsid w:val="00860EBC"/>
    <w:rsid w:val="008652B3"/>
    <w:rsid w:val="00871B76"/>
    <w:rsid w:val="0088169F"/>
    <w:rsid w:val="00882414"/>
    <w:rsid w:val="00882655"/>
    <w:rsid w:val="008E1B4C"/>
    <w:rsid w:val="008E248E"/>
    <w:rsid w:val="008E282B"/>
    <w:rsid w:val="008F7744"/>
    <w:rsid w:val="009048E8"/>
    <w:rsid w:val="00907C90"/>
    <w:rsid w:val="00921A4F"/>
    <w:rsid w:val="00922F31"/>
    <w:rsid w:val="00936E83"/>
    <w:rsid w:val="00971A07"/>
    <w:rsid w:val="009748D7"/>
    <w:rsid w:val="00981616"/>
    <w:rsid w:val="0098268C"/>
    <w:rsid w:val="009B623D"/>
    <w:rsid w:val="009F1074"/>
    <w:rsid w:val="009F5E6D"/>
    <w:rsid w:val="00A32A78"/>
    <w:rsid w:val="00A349A0"/>
    <w:rsid w:val="00A54235"/>
    <w:rsid w:val="00AA1653"/>
    <w:rsid w:val="00AC5079"/>
    <w:rsid w:val="00AC7A45"/>
    <w:rsid w:val="00AF4372"/>
    <w:rsid w:val="00B12DBC"/>
    <w:rsid w:val="00B17157"/>
    <w:rsid w:val="00B211DF"/>
    <w:rsid w:val="00B32B4B"/>
    <w:rsid w:val="00B4295D"/>
    <w:rsid w:val="00B74326"/>
    <w:rsid w:val="00B77C07"/>
    <w:rsid w:val="00B83A89"/>
    <w:rsid w:val="00B86A68"/>
    <w:rsid w:val="00B907E9"/>
    <w:rsid w:val="00BC2C2B"/>
    <w:rsid w:val="00BD005B"/>
    <w:rsid w:val="00BD2B56"/>
    <w:rsid w:val="00BE0D80"/>
    <w:rsid w:val="00BF1DF0"/>
    <w:rsid w:val="00C01039"/>
    <w:rsid w:val="00C019A7"/>
    <w:rsid w:val="00C02E7F"/>
    <w:rsid w:val="00C04C3C"/>
    <w:rsid w:val="00C4574E"/>
    <w:rsid w:val="00C610DE"/>
    <w:rsid w:val="00C7753D"/>
    <w:rsid w:val="00C81F1D"/>
    <w:rsid w:val="00C8486A"/>
    <w:rsid w:val="00C87120"/>
    <w:rsid w:val="00C9286C"/>
    <w:rsid w:val="00CA0852"/>
    <w:rsid w:val="00CA5AAE"/>
    <w:rsid w:val="00CC30C7"/>
    <w:rsid w:val="00CD1077"/>
    <w:rsid w:val="00CE0F39"/>
    <w:rsid w:val="00CE77AC"/>
    <w:rsid w:val="00CF0AE3"/>
    <w:rsid w:val="00D05901"/>
    <w:rsid w:val="00D409E7"/>
    <w:rsid w:val="00D433E9"/>
    <w:rsid w:val="00DA2D06"/>
    <w:rsid w:val="00DA3E7E"/>
    <w:rsid w:val="00DB104E"/>
    <w:rsid w:val="00DC0782"/>
    <w:rsid w:val="00DD4A6E"/>
    <w:rsid w:val="00DE4E60"/>
    <w:rsid w:val="00DF067D"/>
    <w:rsid w:val="00E20B76"/>
    <w:rsid w:val="00E3560E"/>
    <w:rsid w:val="00E35FC0"/>
    <w:rsid w:val="00E43165"/>
    <w:rsid w:val="00E477B8"/>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214CD"/>
    <w:rsid w:val="00F35E66"/>
    <w:rsid w:val="00F47A8A"/>
    <w:rsid w:val="00F56B4D"/>
    <w:rsid w:val="00F641AD"/>
    <w:rsid w:val="00F81351"/>
    <w:rsid w:val="00F906FA"/>
    <w:rsid w:val="00FB27A5"/>
    <w:rsid w:val="00FB51DB"/>
    <w:rsid w:val="00FC0C48"/>
    <w:rsid w:val="00FC6B44"/>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80E"/>
    <w:pPr>
      <w:jc w:val="both"/>
    </w:pPr>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3067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30678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42628006">
      <w:bodyDiv w:val="1"/>
      <w:marLeft w:val="0"/>
      <w:marRight w:val="0"/>
      <w:marTop w:val="0"/>
      <w:marBottom w:val="0"/>
      <w:divBdr>
        <w:top w:val="none" w:sz="0" w:space="0" w:color="auto"/>
        <w:left w:val="none" w:sz="0" w:space="0" w:color="auto"/>
        <w:bottom w:val="none" w:sz="0" w:space="0" w:color="auto"/>
        <w:right w:val="none" w:sz="0" w:space="0" w:color="auto"/>
      </w:divBdr>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40243355">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765349252">
      <w:bodyDiv w:val="1"/>
      <w:marLeft w:val="0"/>
      <w:marRight w:val="0"/>
      <w:marTop w:val="0"/>
      <w:marBottom w:val="0"/>
      <w:divBdr>
        <w:top w:val="none" w:sz="0" w:space="0" w:color="auto"/>
        <w:left w:val="none" w:sz="0" w:space="0" w:color="auto"/>
        <w:bottom w:val="none" w:sz="0" w:space="0" w:color="auto"/>
        <w:right w:val="none" w:sz="0" w:space="0" w:color="auto"/>
      </w:divBdr>
    </w:div>
    <w:div w:id="811407086">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086995551">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166</cp:revision>
  <dcterms:created xsi:type="dcterms:W3CDTF">2023-11-07T13:28:00Z</dcterms:created>
  <dcterms:modified xsi:type="dcterms:W3CDTF">2023-11-14T02:24:00Z</dcterms:modified>
</cp:coreProperties>
</file>