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ACB2" w14:textId="6E19DF57" w:rsidR="00FC0C48" w:rsidRPr="000D5A1A" w:rsidRDefault="000D5A1A">
      <w:pPr>
        <w:rPr>
          <w:rFonts w:ascii="CMU Sans Serif Medium" w:hAnsi="CMU Sans Serif Medium" w:cs="CMU Sans Serif Medium"/>
          <w:sz w:val="48"/>
          <w:lang w:val="en-US"/>
        </w:rPr>
      </w:pPr>
      <w:r>
        <w:rPr>
          <w:rFonts w:ascii="CMU Sans Serif Medium" w:hAnsi="CMU Sans Serif Medium" w:cs="CMU Sans Serif Medium"/>
          <w:sz w:val="48"/>
          <w:lang w:val="en-US"/>
        </w:rPr>
        <w:t>Seven years of Indian bankruptcy laws: Six stylized facts</w:t>
      </w:r>
    </w:p>
    <w:p w14:paraId="5F6F230C" w14:textId="45A07301" w:rsidR="000D5A1A" w:rsidRPr="000D5A1A" w:rsidRDefault="000D5A1A">
      <w:pPr>
        <w:rPr>
          <w:rFonts w:ascii="CMU Sans Serif Medium" w:hAnsi="CMU Sans Serif Medium" w:cs="CMU Sans Serif Medium"/>
          <w:sz w:val="48"/>
          <w:lang w:val="en-US"/>
        </w:rPr>
      </w:pPr>
    </w:p>
    <w:p w14:paraId="3768B991" w14:textId="197545BB" w:rsidR="000D5A1A" w:rsidRDefault="000D5A1A">
      <w:pPr>
        <w:rPr>
          <w:rFonts w:ascii="CMU Sans Serif Medium" w:hAnsi="CMU Sans Serif Medium" w:cs="CMU Sans Serif Medium"/>
          <w:sz w:val="48"/>
          <w:lang w:val="en-US"/>
        </w:rPr>
      </w:pPr>
      <w:r w:rsidRPr="000D5A1A">
        <w:rPr>
          <w:rFonts w:ascii="CMU Sans Serif Medium" w:hAnsi="CMU Sans Serif Medium" w:cs="CMU Sans Serif Medium"/>
          <w:sz w:val="48"/>
          <w:lang w:val="en-US"/>
        </w:rPr>
        <w:t>Structure:</w:t>
      </w:r>
    </w:p>
    <w:p w14:paraId="4300DB69" w14:textId="17BA1F6F" w:rsidR="000D5A1A" w:rsidRDefault="000D5A1A" w:rsidP="000D5A1A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>
        <w:rPr>
          <w:rFonts w:ascii="CMU Sans Serif Medium" w:hAnsi="CMU Sans Serif Medium" w:cs="CMU Sans Serif Medium"/>
          <w:sz w:val="48"/>
          <w:lang w:val="en-US"/>
        </w:rPr>
        <w:t>Co-evolution of law and finance around bankruptcy laws;</w:t>
      </w:r>
    </w:p>
    <w:p w14:paraId="5A54B545" w14:textId="23920DE9" w:rsidR="000D5A1A" w:rsidRDefault="000D5A1A" w:rsidP="000D5A1A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>
        <w:rPr>
          <w:rFonts w:ascii="CMU Sans Serif Medium" w:hAnsi="CMU Sans Serif Medium" w:cs="CMU Sans Serif Medium"/>
          <w:sz w:val="48"/>
          <w:lang w:val="en-US"/>
        </w:rPr>
        <w:t>Metrics for ex ante efficiency of bankruptcy laws</w:t>
      </w:r>
    </w:p>
    <w:p w14:paraId="352C5C4B" w14:textId="493FA980" w:rsidR="000D5A1A" w:rsidRDefault="000D5A1A" w:rsidP="000D5A1A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>
        <w:rPr>
          <w:rFonts w:ascii="CMU Sans Serif Medium" w:hAnsi="CMU Sans Serif Medium" w:cs="CMU Sans Serif Medium"/>
          <w:sz w:val="48"/>
          <w:lang w:val="en-US"/>
        </w:rPr>
        <w:t>Some stylized facts</w:t>
      </w:r>
    </w:p>
    <w:p w14:paraId="2A566D44" w14:textId="4F405FED" w:rsidR="000D5A1A" w:rsidRDefault="000D5A1A" w:rsidP="000D5A1A">
      <w:pPr>
        <w:pStyle w:val="ListParagraph"/>
        <w:numPr>
          <w:ilvl w:val="1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>
        <w:rPr>
          <w:rFonts w:ascii="CMU Sans Serif Medium" w:hAnsi="CMU Sans Serif Medium" w:cs="CMU Sans Serif Medium"/>
          <w:sz w:val="48"/>
          <w:lang w:val="en-US"/>
        </w:rPr>
        <w:t>Resolution times</w:t>
      </w:r>
    </w:p>
    <w:p w14:paraId="4631316A" w14:textId="46CAD3C3" w:rsidR="000D5A1A" w:rsidRDefault="000D5A1A" w:rsidP="000D5A1A">
      <w:pPr>
        <w:pStyle w:val="ListParagraph"/>
        <w:numPr>
          <w:ilvl w:val="1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>
        <w:rPr>
          <w:rFonts w:ascii="CMU Sans Serif Medium" w:hAnsi="CMU Sans Serif Medium" w:cs="CMU Sans Serif Medium"/>
          <w:sz w:val="48"/>
          <w:lang w:val="en-US"/>
        </w:rPr>
        <w:t>Recovery metrics</w:t>
      </w:r>
    </w:p>
    <w:p w14:paraId="103BE5F8" w14:textId="77777777" w:rsidR="000D5A1A" w:rsidRDefault="000D5A1A" w:rsidP="000D5A1A">
      <w:pPr>
        <w:pStyle w:val="ListParagraph"/>
        <w:numPr>
          <w:ilvl w:val="1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>
        <w:rPr>
          <w:rFonts w:ascii="CMU Sans Serif Medium" w:hAnsi="CMU Sans Serif Medium" w:cs="CMU Sans Serif Medium"/>
          <w:sz w:val="48"/>
          <w:lang w:val="en-US"/>
        </w:rPr>
        <w:t xml:space="preserve"> </w:t>
      </w:r>
      <w:r>
        <w:rPr>
          <w:rFonts w:ascii="CMU Sans Serif Medium" w:hAnsi="CMU Sans Serif Medium" w:cs="CMU Sans Serif Medium"/>
          <w:sz w:val="48"/>
          <w:lang w:val="en-US"/>
        </w:rPr>
        <w:tab/>
        <w:t xml:space="preserve">Access to bankruptcy platforms: </w:t>
      </w:r>
    </w:p>
    <w:p w14:paraId="6E2ABC99" w14:textId="7B413930" w:rsidR="000D5A1A" w:rsidRDefault="000D5A1A" w:rsidP="000D5A1A">
      <w:pPr>
        <w:pStyle w:val="ListParagraph"/>
        <w:numPr>
          <w:ilvl w:val="2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>
        <w:rPr>
          <w:rFonts w:ascii="CMU Sans Serif Medium" w:hAnsi="CMU Sans Serif Medium" w:cs="CMU Sans Serif Medium"/>
          <w:sz w:val="48"/>
          <w:lang w:val="en-US"/>
        </w:rPr>
        <w:t>by initiator FC/OC/CD&lt;by year&gt;</w:t>
      </w:r>
    </w:p>
    <w:p w14:paraId="22AB845B" w14:textId="5D26D406" w:rsidR="000D5A1A" w:rsidRDefault="000D5A1A" w:rsidP="000D5A1A">
      <w:pPr>
        <w:pStyle w:val="ListParagraph"/>
        <w:numPr>
          <w:ilvl w:val="2"/>
          <w:numId w:val="1"/>
        </w:numPr>
        <w:rPr>
          <w:rFonts w:ascii="CMU Sans Serif Medium" w:hAnsi="CMU Sans Serif Medium" w:cs="CMU Sans Serif Medium"/>
          <w:sz w:val="48"/>
          <w:lang w:val="en-US"/>
        </w:rPr>
      </w:pPr>
      <w:r>
        <w:rPr>
          <w:rFonts w:ascii="CMU Sans Serif Medium" w:hAnsi="CMU Sans Serif Medium" w:cs="CMU Sans Serif Medium"/>
          <w:sz w:val="48"/>
          <w:lang w:val="en-US"/>
        </w:rPr>
        <w:t xml:space="preserve">by </w:t>
      </w:r>
      <w:r w:rsidR="000823FA">
        <w:rPr>
          <w:rFonts w:ascii="CMU Sans Serif Medium" w:hAnsi="CMU Sans Serif Medium" w:cs="CMU Sans Serif Medium"/>
          <w:sz w:val="48"/>
          <w:lang w:val="en-US"/>
        </w:rPr>
        <w:t>default</w:t>
      </w:r>
      <w:bookmarkStart w:id="0" w:name="_GoBack"/>
      <w:bookmarkEnd w:id="0"/>
      <w:r>
        <w:rPr>
          <w:rFonts w:ascii="CMU Sans Serif Medium" w:hAnsi="CMU Sans Serif Medium" w:cs="CMU Sans Serif Medium"/>
          <w:sz w:val="48"/>
          <w:lang w:val="en-US"/>
        </w:rPr>
        <w:t xml:space="preserve"> amount</w:t>
      </w:r>
      <w:r w:rsidR="000823FA">
        <w:rPr>
          <w:rFonts w:ascii="CMU Sans Serif Medium" w:hAnsi="CMU Sans Serif Medium" w:cs="CMU Sans Serif Medium"/>
          <w:sz w:val="48"/>
          <w:lang w:val="en-US"/>
        </w:rPr>
        <w:t xml:space="preserve"> &lt;resolution/liquidation&gt;</w:t>
      </w:r>
    </w:p>
    <w:p w14:paraId="111FE3DB" w14:textId="0ED4E242" w:rsidR="000D5A1A" w:rsidRDefault="000D5A1A" w:rsidP="000D5A1A">
      <w:pPr>
        <w:rPr>
          <w:rFonts w:ascii="CMU Sans Serif Medium" w:hAnsi="CMU Sans Serif Medium" w:cs="CMU Sans Serif Medium"/>
          <w:sz w:val="48"/>
          <w:lang w:val="en-US"/>
        </w:rPr>
      </w:pPr>
    </w:p>
    <w:p w14:paraId="17F8BF2B" w14:textId="3CCA8925" w:rsidR="000D5A1A" w:rsidRDefault="000D5A1A" w:rsidP="000D5A1A">
      <w:pPr>
        <w:rPr>
          <w:rFonts w:ascii="CMU Sans Serif Medium" w:hAnsi="CMU Sans Serif Medium" w:cs="CMU Sans Serif Medium"/>
          <w:sz w:val="48"/>
          <w:lang w:val="en-US"/>
        </w:rPr>
      </w:pPr>
    </w:p>
    <w:p w14:paraId="40FC36F2" w14:textId="26D4A7F9" w:rsidR="000D5A1A" w:rsidRDefault="000D5A1A" w:rsidP="000D5A1A">
      <w:pPr>
        <w:rPr>
          <w:rFonts w:ascii="CMU Sans Serif Medium" w:hAnsi="CMU Sans Serif Medium" w:cs="CMU Sans Serif Medium"/>
          <w:sz w:val="48"/>
          <w:lang w:val="en-US"/>
        </w:rPr>
      </w:pPr>
    </w:p>
    <w:p w14:paraId="46BB02B0" w14:textId="77777777" w:rsidR="000D5A1A" w:rsidRPr="000D5A1A" w:rsidRDefault="000D5A1A" w:rsidP="000D5A1A">
      <w:pPr>
        <w:rPr>
          <w:sz w:val="24"/>
        </w:rPr>
      </w:pPr>
      <w:r w:rsidRPr="000D5A1A">
        <w:rPr>
          <w:color w:val="222222"/>
          <w:sz w:val="24"/>
          <w:bdr w:val="none" w:sz="0" w:space="0" w:color="auto" w:frame="1"/>
          <w:shd w:val="clear" w:color="auto" w:fill="FFFFFF"/>
        </w:rPr>
        <w:t>The reference point for efficiency can take the form of market value or market oriented procedures (Thorburn </w:t>
      </w:r>
      <w:hyperlink r:id="rId5" w:anchor="ref-CR26" w:tgtFrame="_blank" w:tooltip="Thorburn, K. S. (2000). Bankruptcy auctions: Costs, debt recovery, and firm survival. Journal of Financial Economics,58(3), 337–368. &#10;https://doi.org/10.1016/S0304-405X(00)00075-1&#10;&#10;." w:history="1">
        <w:r w:rsidRPr="000D5A1A">
          <w:rPr>
            <w:color w:val="025E8D"/>
            <w:sz w:val="24"/>
            <w:u w:val="single"/>
            <w:bdr w:val="none" w:sz="0" w:space="0" w:color="auto" w:frame="1"/>
            <w:shd w:val="clear" w:color="auto" w:fill="FFFFFF"/>
          </w:rPr>
          <w:t>2000</w:t>
        </w:r>
      </w:hyperlink>
      <w:r w:rsidRPr="000D5A1A">
        <w:rPr>
          <w:color w:val="222222"/>
          <w:sz w:val="24"/>
          <w:bdr w:val="none" w:sz="0" w:space="0" w:color="auto" w:frame="1"/>
          <w:shd w:val="clear" w:color="auto" w:fill="FFFFFF"/>
        </w:rPr>
        <w:t>), time, cost, and recovery rate of the procedure (</w:t>
      </w:r>
      <w:proofErr w:type="spellStart"/>
      <w:r w:rsidRPr="000D5A1A">
        <w:rPr>
          <w:color w:val="222222"/>
          <w:sz w:val="24"/>
          <w:bdr w:val="none" w:sz="0" w:space="0" w:color="auto" w:frame="1"/>
          <w:shd w:val="clear" w:color="auto" w:fill="FFFFFF"/>
        </w:rPr>
        <w:t>Succurro</w:t>
      </w:r>
      <w:proofErr w:type="spellEnd"/>
      <w:r w:rsidRPr="000D5A1A">
        <w:rPr>
          <w:color w:val="222222"/>
          <w:sz w:val="24"/>
          <w:bdr w:val="none" w:sz="0" w:space="0" w:color="auto" w:frame="1"/>
          <w:shd w:val="clear" w:color="auto" w:fill="FFFFFF"/>
        </w:rPr>
        <w:t> </w:t>
      </w:r>
      <w:hyperlink r:id="rId6" w:anchor="ref-CR25" w:tgtFrame="_blank" w:tooltip="Succurro, M. (2012). Bankruptcy systems and economic performance across countries: Some empirical evidence. European Journal of Law and Economics,33(1), 101–126. &#10;https://doi.org/10.1007/s10657-009-9138-2&#10;&#10;." w:history="1">
        <w:r w:rsidRPr="000D5A1A">
          <w:rPr>
            <w:color w:val="025E8D"/>
            <w:sz w:val="24"/>
            <w:u w:val="single"/>
            <w:bdr w:val="none" w:sz="0" w:space="0" w:color="auto" w:frame="1"/>
            <w:shd w:val="clear" w:color="auto" w:fill="FFFFFF"/>
          </w:rPr>
          <w:t>2012</w:t>
        </w:r>
      </w:hyperlink>
      <w:r w:rsidRPr="000D5A1A">
        <w:rPr>
          <w:color w:val="222222"/>
          <w:sz w:val="24"/>
          <w:bdr w:val="none" w:sz="0" w:space="0" w:color="auto" w:frame="1"/>
          <w:shd w:val="clear" w:color="auto" w:fill="FFFFFF"/>
        </w:rPr>
        <w:t>), ability to strike a balance between debtors and creditors protection (Franks et al. </w:t>
      </w:r>
      <w:hyperlink r:id="rId7" w:anchor="ref-CR12" w:tgtFrame="_blank" w:tooltip="Franks, J. R., Nyborg, K. G., &amp; Torous, W. N. (1996). A comparison of US, UK, and German insolvency codes. Financial Managment,25(3), 86–101. &#10;https://doi.org/10.2307/3665810&#10;&#10;." w:history="1">
        <w:r w:rsidRPr="000D5A1A">
          <w:rPr>
            <w:color w:val="025E8D"/>
            <w:sz w:val="24"/>
            <w:u w:val="single"/>
            <w:bdr w:val="none" w:sz="0" w:space="0" w:color="auto" w:frame="1"/>
            <w:shd w:val="clear" w:color="auto" w:fill="FFFFFF"/>
          </w:rPr>
          <w:t>1996</w:t>
        </w:r>
      </w:hyperlink>
      <w:r w:rsidRPr="000D5A1A">
        <w:rPr>
          <w:color w:val="222222"/>
          <w:sz w:val="24"/>
          <w:bdr w:val="none" w:sz="0" w:space="0" w:color="auto" w:frame="1"/>
          <w:shd w:val="clear" w:color="auto" w:fill="FFFFFF"/>
        </w:rPr>
        <w:t>; La Porta et al. </w:t>
      </w:r>
      <w:hyperlink r:id="rId8" w:anchor="ref-CR16" w:tgtFrame="_blank" w:tooltip="La Porta, R., Lopez-de-Silanes, F., &amp; Shleifer, A. (2008). The economic consequences of legal origins. Journal of Economic Literature,46(2), 285–332. &#10;https://doi.org/10.1257/jel.46.2.285&#10;&#10;." w:history="1">
        <w:r w:rsidRPr="000D5A1A">
          <w:rPr>
            <w:color w:val="025E8D"/>
            <w:sz w:val="24"/>
            <w:u w:val="single"/>
            <w:bdr w:val="none" w:sz="0" w:space="0" w:color="auto" w:frame="1"/>
            <w:shd w:val="clear" w:color="auto" w:fill="FFFFFF"/>
          </w:rPr>
          <w:t>2008</w:t>
        </w:r>
      </w:hyperlink>
      <w:r w:rsidRPr="000D5A1A">
        <w:rPr>
          <w:color w:val="222222"/>
          <w:sz w:val="24"/>
          <w:bdr w:val="none" w:sz="0" w:space="0" w:color="auto" w:frame="1"/>
          <w:shd w:val="clear" w:color="auto" w:fill="FFFFFF"/>
        </w:rPr>
        <w:t>),</w:t>
      </w:r>
    </w:p>
    <w:p w14:paraId="473CCEED" w14:textId="77777777" w:rsidR="000D5A1A" w:rsidRPr="000D5A1A" w:rsidRDefault="000D5A1A" w:rsidP="000D5A1A">
      <w:pPr>
        <w:rPr>
          <w:rFonts w:ascii="CMU Sans Serif Medium" w:hAnsi="CMU Sans Serif Medium" w:cs="CMU Sans Serif Medium"/>
          <w:sz w:val="48"/>
          <w:lang w:val="en-US"/>
        </w:rPr>
      </w:pPr>
    </w:p>
    <w:sectPr w:rsidR="000D5A1A" w:rsidRPr="000D5A1A" w:rsidSect="00B12D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Bright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Latin Modern Sans 12">
    <w:altName w:val="Calibri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829A8"/>
    <w:multiLevelType w:val="hybridMultilevel"/>
    <w:tmpl w:val="A79A40F2"/>
    <w:lvl w:ilvl="0" w:tplc="A9C0B6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30"/>
    <w:rsid w:val="00063A30"/>
    <w:rsid w:val="000823FA"/>
    <w:rsid w:val="000D5A1A"/>
    <w:rsid w:val="000E650A"/>
    <w:rsid w:val="004A53BF"/>
    <w:rsid w:val="006D5BD4"/>
    <w:rsid w:val="00B12DBC"/>
    <w:rsid w:val="00F906FA"/>
    <w:rsid w:val="00F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BCFDE"/>
  <w15:chartTrackingRefBased/>
  <w15:docId w15:val="{D5DC8494-6B49-304B-973A-8480E438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BD4"/>
    <w:rPr>
      <w:rFonts w:ascii="Times New Roman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53BF"/>
    <w:pPr>
      <w:keepNext/>
      <w:keepLines/>
      <w:spacing w:before="40"/>
      <w:outlineLvl w:val="1"/>
    </w:pPr>
    <w:rPr>
      <w:rFonts w:eastAsiaTheme="majorEastAsia" w:cstheme="majorBidi"/>
      <w:color w:val="ED7D31" w:themeColor="accen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12DBC"/>
    <w:pPr>
      <w:spacing w:before="100" w:beforeAutospacing="1" w:afterLines="120" w:after="288"/>
      <w:jc w:val="center"/>
    </w:pPr>
    <w:rPr>
      <w:rFonts w:ascii="CMU Bright Roman" w:hAnsi="CMU Bright Roman" w:cs="CMU Sans Serif Medium"/>
      <w:i/>
      <w:color w:val="4472C4" w:themeColor="accent1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53BF"/>
    <w:rPr>
      <w:rFonts w:ascii="Latin Modern Sans 12" w:eastAsiaTheme="majorEastAsia" w:hAnsi="Latin Modern Sans 12" w:cstheme="majorBidi"/>
      <w:color w:val="ED7D31" w:themeColor="accent2"/>
      <w:sz w:val="28"/>
      <w:szCs w:val="26"/>
    </w:rPr>
  </w:style>
  <w:style w:type="paragraph" w:styleId="ListParagraph">
    <w:name w:val="List Paragraph"/>
    <w:basedOn w:val="Normal"/>
    <w:uiPriority w:val="34"/>
    <w:qFormat/>
    <w:rsid w:val="000D5A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657-019-09629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0657-019-09629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0657-019-09629-2" TargetMode="External"/><Relationship Id="rId5" Type="http://schemas.openxmlformats.org/officeDocument/2006/relationships/hyperlink" Target="https://link.springer.com/article/10.1007/s10657-019-09629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Raje</dc:creator>
  <cp:keywords/>
  <dc:description/>
  <cp:lastModifiedBy>Pradeep Raje</cp:lastModifiedBy>
  <cp:revision>2</cp:revision>
  <dcterms:created xsi:type="dcterms:W3CDTF">2023-11-07T13:28:00Z</dcterms:created>
  <dcterms:modified xsi:type="dcterms:W3CDTF">2023-11-07T13:40:00Z</dcterms:modified>
</cp:coreProperties>
</file>