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E0B2" w14:textId="66B535DB" w:rsidR="0025562E" w:rsidRDefault="0025562E" w:rsidP="00B56F50">
      <w:pPr>
        <w:rPr>
          <w:rFonts w:ascii="CMU Sans Serif Medium" w:hAnsi="CMU Sans Serif Medium" w:cs="CMU Sans Serif Medium"/>
          <w:b/>
          <w:lang w:val="en-US"/>
        </w:rPr>
      </w:pPr>
      <w:proofErr w:type="spellStart"/>
      <w:r>
        <w:rPr>
          <w:rFonts w:ascii="CMU Sans Serif Medium" w:hAnsi="CMU Sans Serif Medium" w:cs="CMU Sans Serif Medium"/>
          <w:b/>
          <w:lang w:val="en-US"/>
        </w:rPr>
        <w:t>Gopalakrishnan2020</w:t>
      </w:r>
      <w:proofErr w:type="spellEnd"/>
    </w:p>
    <w:p w14:paraId="3451E1A7" w14:textId="3D31C064" w:rsidR="0025562E" w:rsidRPr="004805F8" w:rsidRDefault="0025562E" w:rsidP="004805F8">
      <w:pPr>
        <w:pStyle w:val="ListParagraph"/>
        <w:numPr>
          <w:ilvl w:val="0"/>
          <w:numId w:val="11"/>
        </w:numPr>
        <w:rPr>
          <w:rFonts w:ascii="Georgia" w:hAnsi="Georgia"/>
          <w:color w:val="1F1F1F"/>
        </w:rPr>
      </w:pPr>
      <w:r w:rsidRPr="004805F8">
        <w:rPr>
          <w:rFonts w:ascii="Georgia" w:hAnsi="Georgia"/>
          <w:color w:val="1F1F1F"/>
        </w:rPr>
        <w:t>One possible channel is the impairment in borrowers' collateral during economic downturns, which can raise the agency costs of financing (Gertler and Bernanke, 1989) and, consequently, increase the likelihood of liquidation under stronger creditor rights. This can discourage managers acting on behalf of the shareholders from taking on risks that can increase the possibility of a debt default (Adler, 1991).</w:t>
      </w:r>
    </w:p>
    <w:p w14:paraId="6EDA3D87" w14:textId="27974EFC" w:rsidR="004805F8" w:rsidRPr="004805F8" w:rsidRDefault="004805F8" w:rsidP="004805F8">
      <w:pPr>
        <w:pStyle w:val="ListParagraph"/>
        <w:numPr>
          <w:ilvl w:val="0"/>
          <w:numId w:val="11"/>
        </w:numPr>
      </w:pPr>
      <w:r w:rsidRPr="004805F8">
        <w:rPr>
          <w:rFonts w:ascii="Georgia" w:hAnsi="Georgia"/>
          <w:color w:val="1F1F1F"/>
        </w:rPr>
        <w:t>The </w:t>
      </w:r>
      <w:r w:rsidRPr="004805F8">
        <w:rPr>
          <w:rFonts w:ascii="Georgia" w:hAnsi="Georgia"/>
          <w:i/>
          <w:iCs/>
          <w:color w:val="1F1F1F"/>
        </w:rPr>
        <w:t>Resolving Insolvency</w:t>
      </w:r>
      <w:r w:rsidRPr="004805F8">
        <w:rPr>
          <w:rFonts w:ascii="Georgia" w:hAnsi="Georgia"/>
          <w:color w:val="1F1F1F"/>
        </w:rPr>
        <w:t xml:space="preserve"> index builds on earlier work on creditor rights by La Porta et al. (1998) and </w:t>
      </w:r>
      <w:proofErr w:type="spellStart"/>
      <w:r w:rsidRPr="004805F8">
        <w:rPr>
          <w:rFonts w:ascii="Georgia" w:hAnsi="Georgia"/>
          <w:color w:val="1F1F1F"/>
        </w:rPr>
        <w:t>Djankov</w:t>
      </w:r>
      <w:proofErr w:type="spellEnd"/>
      <w:r w:rsidRPr="004805F8">
        <w:rPr>
          <w:rFonts w:ascii="Georgia" w:hAnsi="Georgia"/>
          <w:color w:val="1F1F1F"/>
        </w:rPr>
        <w:t xml:space="preserve"> et al. (2007).</w:t>
      </w:r>
    </w:p>
    <w:p w14:paraId="0DD0C0D1" w14:textId="77777777" w:rsidR="004805F8" w:rsidRPr="004805F8" w:rsidRDefault="004805F8" w:rsidP="004805F8">
      <w:pPr>
        <w:pStyle w:val="ListParagraph"/>
        <w:numPr>
          <w:ilvl w:val="0"/>
          <w:numId w:val="11"/>
        </w:numPr>
      </w:pPr>
      <w:bookmarkStart w:id="0" w:name="_GoBack"/>
      <w:r w:rsidRPr="004805F8">
        <w:t>the IBC is a unified reform to maintain creditor rights to the creditor's benefit while limiting hasty liquidation to the debtor's benefit resulting in efficiency, we expect distressed firms to benefit from the IBC policy as summarized in our first hypothesis (</w:t>
      </w:r>
      <w:proofErr w:type="spellStart"/>
      <w:r w:rsidRPr="004805F8">
        <w:t>H1</w:t>
      </w:r>
      <w:proofErr w:type="spellEnd"/>
      <w:r w:rsidRPr="004805F8">
        <w:t>), which is related to the effects of the reform on the “credit channels” of distressed firms:</w:t>
      </w:r>
      <w:bookmarkEnd w:id="0"/>
    </w:p>
    <w:p w14:paraId="72BDCE5E" w14:textId="77777777" w:rsidR="004805F8" w:rsidRPr="004805F8" w:rsidRDefault="004805F8" w:rsidP="004805F8">
      <w:pPr>
        <w:pStyle w:val="ListParagraph"/>
        <w:numPr>
          <w:ilvl w:val="0"/>
          <w:numId w:val="11"/>
        </w:numPr>
      </w:pPr>
    </w:p>
    <w:p w14:paraId="38AE8443" w14:textId="77777777" w:rsidR="004805F8" w:rsidRPr="0025562E" w:rsidRDefault="004805F8" w:rsidP="0025562E"/>
    <w:p w14:paraId="50DFFD8E" w14:textId="77777777" w:rsidR="0025562E" w:rsidRPr="0025562E" w:rsidRDefault="0025562E" w:rsidP="00B56F50">
      <w:pPr>
        <w:rPr>
          <w:rFonts w:ascii="CMU Sans Serif Medium" w:hAnsi="CMU Sans Serif Medium" w:cs="CMU Sans Serif Medium"/>
          <w:lang w:val="en-US"/>
        </w:rPr>
      </w:pPr>
    </w:p>
    <w:p w14:paraId="1B5B8716" w14:textId="62C19D28" w:rsidR="004E0F3F" w:rsidRPr="004E0F3F" w:rsidRDefault="004E0F3F" w:rsidP="00B56F50">
      <w:pPr>
        <w:rPr>
          <w:rFonts w:ascii="CMU Sans Serif Medium" w:hAnsi="CMU Sans Serif Medium" w:cs="CMU Sans Serif Medium"/>
          <w:b/>
          <w:lang w:val="en-US"/>
        </w:rPr>
      </w:pPr>
      <w:proofErr w:type="spellStart"/>
      <w:r w:rsidRPr="004E0F3F">
        <w:rPr>
          <w:rFonts w:ascii="CMU Sans Serif Medium" w:hAnsi="CMU Sans Serif Medium" w:cs="CMU Sans Serif Medium"/>
          <w:b/>
          <w:lang w:val="en-US"/>
        </w:rPr>
        <w:t>Bose2021</w:t>
      </w:r>
      <w:proofErr w:type="spellEnd"/>
    </w:p>
    <w:p w14:paraId="5BE287A7" w14:textId="77777777" w:rsidR="004E0F3F" w:rsidRPr="004E0F3F" w:rsidRDefault="004E0F3F" w:rsidP="004E0F3F">
      <w:r w:rsidRPr="004E0F3F">
        <w:rPr>
          <w:rFonts w:ascii="Georgia" w:hAnsi="Georgia"/>
          <w:color w:val="1F1F1F"/>
        </w:rPr>
        <w:t>Using a sample of 87 countries over the period 2005–2016, </w:t>
      </w:r>
      <w:hyperlink r:id="rId5" w:anchor="bb0385" w:history="1">
        <w:r w:rsidRPr="004E0F3F">
          <w:rPr>
            <w:rFonts w:ascii="Georgia" w:hAnsi="Georgia"/>
            <w:color w:val="0272B1"/>
          </w:rPr>
          <w:t xml:space="preserve">Stef and </w:t>
        </w:r>
        <w:proofErr w:type="spellStart"/>
        <w:r w:rsidRPr="004E0F3F">
          <w:rPr>
            <w:rFonts w:ascii="Georgia" w:hAnsi="Georgia"/>
            <w:color w:val="0272B1"/>
          </w:rPr>
          <w:t>Dimelis</w:t>
        </w:r>
        <w:proofErr w:type="spellEnd"/>
        <w:r w:rsidRPr="004E0F3F">
          <w:rPr>
            <w:rFonts w:ascii="Georgia" w:hAnsi="Georgia"/>
            <w:color w:val="0272B1"/>
          </w:rPr>
          <w:t xml:space="preserve"> (2020)</w:t>
        </w:r>
      </w:hyperlink>
      <w:r w:rsidRPr="004E0F3F">
        <w:rPr>
          <w:rFonts w:ascii="Georgia" w:hAnsi="Georgia"/>
          <w:color w:val="1F1F1F"/>
        </w:rPr>
        <w:t> find that banking activity in terms of private credit flow is greater in countries with a high level of creditors' protection and bankruptcy systems that enable the survival of financially distressed firms. </w:t>
      </w:r>
      <w:r w:rsidRPr="004E0F3F">
        <w:fldChar w:fldCharType="begin"/>
      </w:r>
      <w:r w:rsidRPr="004E0F3F">
        <w:instrText xml:space="preserve"> HYPERLINK "https://www.sciencedirect.com/science/article/pii/S0929119920302807" \l "bb0215" </w:instrText>
      </w:r>
      <w:r w:rsidRPr="004E0F3F">
        <w:fldChar w:fldCharType="separate"/>
      </w:r>
      <w:r w:rsidRPr="004E0F3F">
        <w:rPr>
          <w:rFonts w:ascii="Georgia" w:hAnsi="Georgia"/>
          <w:color w:val="0272B1"/>
        </w:rPr>
        <w:t>Gutiérrez et al. (2012)</w:t>
      </w:r>
      <w:r w:rsidRPr="004E0F3F">
        <w:fldChar w:fldCharType="end"/>
      </w:r>
      <w:r w:rsidRPr="004E0F3F">
        <w:rPr>
          <w:rFonts w:ascii="Georgia" w:hAnsi="Georgia"/>
          <w:color w:val="1F1F1F"/>
        </w:rPr>
        <w:t> also analyse the effect of the bankruptcy law on firms that find themselves in financial distress.</w:t>
      </w:r>
    </w:p>
    <w:p w14:paraId="1938EDC6" w14:textId="77777777" w:rsidR="004E0F3F" w:rsidRDefault="004E0F3F" w:rsidP="00B56F50">
      <w:pPr>
        <w:rPr>
          <w:rFonts w:ascii="CMU Sans Serif Medium" w:hAnsi="CMU Sans Serif Medium" w:cs="CMU Sans Serif Medium"/>
          <w:b/>
          <w:lang w:val="en-US"/>
        </w:rPr>
      </w:pPr>
    </w:p>
    <w:p w14:paraId="352D60E2" w14:textId="4C0A3C41" w:rsidR="004E0F3F" w:rsidRPr="004E0F3F" w:rsidRDefault="004E0F3F" w:rsidP="004E0F3F">
      <w:r w:rsidRPr="004E0F3F">
        <w:fldChar w:fldCharType="begin"/>
      </w:r>
      <w:r w:rsidRPr="004E0F3F">
        <w:instrText xml:space="preserve"> HYPERLINK "https://www.sciencedirect.com/science/article/pii/S0929119920302807" \l "bb0115" </w:instrText>
      </w:r>
      <w:r w:rsidRPr="004E0F3F">
        <w:fldChar w:fldCharType="separate"/>
      </w:r>
      <w:proofErr w:type="spellStart"/>
      <w:r w:rsidRPr="004E0F3F">
        <w:rPr>
          <w:rFonts w:ascii="Georgia" w:hAnsi="Georgia"/>
          <w:color w:val="0272B1"/>
        </w:rPr>
        <w:t>Davydenko</w:t>
      </w:r>
      <w:proofErr w:type="spellEnd"/>
      <w:r w:rsidRPr="004E0F3F">
        <w:rPr>
          <w:rFonts w:ascii="Georgia" w:hAnsi="Georgia"/>
          <w:color w:val="0272B1"/>
        </w:rPr>
        <w:t xml:space="preserve"> and Franks (2008)</w:t>
      </w:r>
      <w:r w:rsidRPr="004E0F3F">
        <w:fldChar w:fldCharType="end"/>
      </w:r>
      <w:r w:rsidRPr="004E0F3F">
        <w:rPr>
          <w:rFonts w:ascii="Georgia" w:hAnsi="Georgia"/>
          <w:color w:val="1F1F1F"/>
        </w:rPr>
        <w:t xml:space="preserve"> analyse </w:t>
      </w:r>
      <w:r w:rsidRPr="004E0F3F">
        <w:rPr>
          <w:rFonts w:ascii="Georgia" w:hAnsi="Georgia"/>
          <w:color w:val="1F1F1F"/>
          <w:highlight w:val="green"/>
        </w:rPr>
        <w:t>recovery rates</w:t>
      </w:r>
      <w:r w:rsidRPr="004E0F3F">
        <w:rPr>
          <w:rFonts w:ascii="Georgia" w:hAnsi="Georgia"/>
          <w:color w:val="1F1F1F"/>
        </w:rPr>
        <w:t xml:space="preserve"> in the UK, France, and Germany and find that differences in creditors' rights across countries lead banks to adjust their lending practices to mitigate costly aspects of bankruptcy law. Using a large cross-country firm-level dataset, </w:t>
      </w:r>
      <w:hyperlink r:id="rId6" w:anchor="bb0185" w:history="1">
        <w:r w:rsidRPr="004E0F3F">
          <w:rPr>
            <w:rFonts w:ascii="Georgia" w:hAnsi="Georgia"/>
            <w:color w:val="0272B1"/>
          </w:rPr>
          <w:t>Gopalakrishnan and Mohap</w:t>
        </w:r>
        <w:r w:rsidRPr="004E0F3F">
          <w:rPr>
            <w:rFonts w:ascii="Georgia" w:hAnsi="Georgia"/>
            <w:color w:val="0272B1"/>
          </w:rPr>
          <w:t>a</w:t>
        </w:r>
        <w:r w:rsidRPr="004E0F3F">
          <w:rPr>
            <w:rFonts w:ascii="Georgia" w:hAnsi="Georgia"/>
            <w:color w:val="0272B1"/>
          </w:rPr>
          <w:t>tra (2020)</w:t>
        </w:r>
      </w:hyperlink>
      <w:r w:rsidRPr="004E0F3F">
        <w:rPr>
          <w:rFonts w:ascii="Georgia" w:hAnsi="Georgia"/>
          <w:color w:val="1F1F1F"/>
        </w:rPr>
        <w:t> find that a stronger insolvency regime reduces firms' likelihood of defaulting on their debt, while also mitigating the adverse effects of economic shocks on firms' default risk.</w:t>
      </w:r>
    </w:p>
    <w:p w14:paraId="6C3A5475" w14:textId="77777777" w:rsidR="004E0F3F" w:rsidRDefault="004E0F3F" w:rsidP="00B56F50">
      <w:pPr>
        <w:rPr>
          <w:rFonts w:ascii="CMU Sans Serif Medium" w:hAnsi="CMU Sans Serif Medium" w:cs="CMU Sans Serif Medium"/>
          <w:b/>
          <w:lang w:val="en-US"/>
        </w:rPr>
      </w:pPr>
    </w:p>
    <w:p w14:paraId="326D7704" w14:textId="77777777" w:rsidR="004E0F3F" w:rsidRDefault="004E0F3F" w:rsidP="00B56F50">
      <w:pPr>
        <w:rPr>
          <w:rFonts w:ascii="CMU Sans Serif Medium" w:hAnsi="CMU Sans Serif Medium" w:cs="CMU Sans Serif Medium"/>
          <w:b/>
          <w:lang w:val="en-US"/>
        </w:rPr>
      </w:pPr>
    </w:p>
    <w:p w14:paraId="20F6D81E" w14:textId="77777777" w:rsidR="004E0F3F" w:rsidRDefault="004E0F3F" w:rsidP="00B56F50">
      <w:pPr>
        <w:rPr>
          <w:rFonts w:ascii="CMU Sans Serif Medium" w:hAnsi="CMU Sans Serif Medium" w:cs="CMU Sans Serif Medium"/>
          <w:b/>
          <w:lang w:val="en-US"/>
        </w:rPr>
      </w:pPr>
    </w:p>
    <w:p w14:paraId="257BD978" w14:textId="2C7BB5B6" w:rsidR="00F14817" w:rsidRPr="004E0F3F" w:rsidRDefault="00B640F9" w:rsidP="00B56F50">
      <w:pPr>
        <w:rPr>
          <w:rFonts w:ascii="CMU Sans Serif Medium" w:hAnsi="CMU Sans Serif Medium" w:cs="CMU Sans Serif Medium"/>
          <w:b/>
          <w:lang w:val="en-US"/>
        </w:rPr>
      </w:pPr>
      <w:proofErr w:type="spellStart"/>
      <w:r w:rsidRPr="004E0F3F">
        <w:rPr>
          <w:rFonts w:ascii="CMU Sans Serif Medium" w:hAnsi="CMU Sans Serif Medium" w:cs="CMU Sans Serif Medium"/>
          <w:b/>
          <w:lang w:val="en-US"/>
        </w:rPr>
        <w:t>Curiel1987</w:t>
      </w:r>
      <w:proofErr w:type="spellEnd"/>
      <w:r w:rsidR="005A1A3C" w:rsidRPr="004E0F3F">
        <w:rPr>
          <w:rFonts w:ascii="CMU Sans Serif Medium" w:hAnsi="CMU Sans Serif Medium" w:cs="CMU Sans Serif Medium"/>
          <w:b/>
          <w:lang w:val="en-US"/>
        </w:rPr>
        <w:t xml:space="preserve"> </w:t>
      </w:r>
      <w:r w:rsidR="007D6D71" w:rsidRPr="004E0F3F">
        <w:rPr>
          <w:rFonts w:ascii="CMU Sans Serif Medium" w:hAnsi="CMU Sans Serif Medium" w:cs="CMU Sans Serif Medium"/>
          <w:b/>
          <w:lang w:val="en-US"/>
        </w:rPr>
        <w:t xml:space="preserve"> </w:t>
      </w:r>
    </w:p>
    <w:p w14:paraId="376AD9CF" w14:textId="6B11D095" w:rsidR="007D6D71" w:rsidRPr="004E0F3F" w:rsidRDefault="00B640F9" w:rsidP="00B56F50">
      <w:pPr>
        <w:rPr>
          <w:rFonts w:ascii="CMU Sans Serif Medium" w:hAnsi="CMU Sans Serif Medium" w:cs="CMU Sans Serif Medium"/>
          <w:lang w:val="en-US"/>
        </w:rPr>
      </w:pPr>
      <w:r w:rsidRPr="004E0F3F">
        <w:rPr>
          <w:rFonts w:ascii="CMU Sans Serif Medium" w:hAnsi="CMU Sans Serif Medium" w:cs="CMU Sans Serif Medium"/>
          <w:lang w:val="en-US"/>
        </w:rPr>
        <w:t>O'Neill [6] discusses several division methods in such situations. 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proposes the method of recursive completion. </w:t>
      </w:r>
      <w:proofErr w:type="spellStart"/>
      <w:r w:rsidRPr="004E0F3F">
        <w:rPr>
          <w:rFonts w:ascii="CMU Sans Serif Medium" w:hAnsi="CMU Sans Serif Medium" w:cs="CMU Sans Serif Medium"/>
          <w:lang w:val="en-US"/>
        </w:rPr>
        <w:t>Aumann</w:t>
      </w:r>
      <w:proofErr w:type="spellEnd"/>
      <w:r w:rsidRPr="004E0F3F">
        <w:rPr>
          <w:rFonts w:ascii="CMU Sans Serif Medium" w:hAnsi="CMU Sans Serif Medium" w:cs="CMU Sans Serif Medium"/>
          <w:lang w:val="en-US"/>
        </w:rPr>
        <w:t xml:space="preserve"> and Maschler</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 </w:t>
      </w:r>
      <w:proofErr w:type="spellStart"/>
      <w:r w:rsidR="00917C40" w:rsidRPr="004E0F3F">
        <w:rPr>
          <w:rFonts w:ascii="CMU Sans Serif Medium" w:hAnsi="CMU Sans Serif Medium" w:cs="CMU Sans Serif Medium"/>
          <w:highlight w:val="yellow"/>
          <w:lang w:val="en-US"/>
        </w:rPr>
        <w:t>Aumann1985</w:t>
      </w:r>
      <w:proofErr w:type="spellEnd"/>
      <w:r w:rsidRPr="004E0F3F">
        <w:rPr>
          <w:rFonts w:ascii="CMU Sans Serif Medium" w:hAnsi="CMU Sans Serif Medium" w:cs="CMU Sans Serif Medium"/>
          <w:lang w:val="en-US"/>
        </w:rPr>
        <w:t xml:space="preserve"> ] study three examples of bankruptcy from the Babylonian Talmud and extend the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solution given there to all bankruptcy problems. Another way of dividing the estate is the proportional method which divides the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estate proportionally to the claims. This method is widely used. However, contrary to</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the two methods mentioned above it is not a game theoretic method. Especially, it is</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not invariant under strategic equivalence.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suggest a method which arises from the proportional method by</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making some modifications in order to achieve strategic equivalence and to obtain a</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game theoretical method. This new method is called the adjusted proportional method</w:t>
      </w:r>
      <w:r w:rsidR="005A1A3C" w:rsidRPr="004E0F3F">
        <w:rPr>
          <w:rFonts w:ascii="CMU Sans Serif Medium" w:hAnsi="CMU Sans Serif Medium" w:cs="CMU Sans Serif Medium"/>
          <w:lang w:val="en-US"/>
        </w:rPr>
        <w:t xml:space="preserve"> </w:t>
      </w:r>
      <w:r w:rsidR="007D6D71" w:rsidRPr="004E0F3F">
        <w:rPr>
          <w:rFonts w:ascii="CMU Sans Serif Medium" w:hAnsi="CMU Sans Serif Medium" w:cs="CMU Sans Serif Medium"/>
          <w:lang w:val="en-US"/>
        </w:rPr>
        <w:t xml:space="preserve">  </w:t>
      </w:r>
    </w:p>
    <w:p w14:paraId="19329BD7" w14:textId="77777777" w:rsidR="007D6D71" w:rsidRPr="004E0F3F" w:rsidRDefault="00A76FAF"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Crampton1985</w:t>
      </w:r>
      <w:proofErr w:type="spellEnd"/>
      <w:r w:rsidR="007D6D71" w:rsidRPr="004E0F3F">
        <w:rPr>
          <w:rFonts w:ascii="CMU Sans Serif Medium" w:hAnsi="CMU Sans Serif Medium" w:cs="CMU Sans Serif Medium"/>
          <w:lang w:val="en-US"/>
        </w:rPr>
        <w:t xml:space="preserve"> </w:t>
      </w:r>
    </w:p>
    <w:p w14:paraId="45913F14" w14:textId="77777777" w:rsidR="00A76FAF" w:rsidRPr="004E0F3F" w:rsidRDefault="00A76FAF"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A fundamental problem in economics is determining how agreements are reached in situations where the parties</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have some market power. I explore these questions in the context of </w:t>
      </w:r>
      <w:r w:rsidRPr="004E0F3F">
        <w:rPr>
          <w:rFonts w:ascii="CMU Sans Serif Medium" w:hAnsi="CMU Sans Serif Medium" w:cs="CMU Sans Serif Medium"/>
          <w:sz w:val="24"/>
          <w:highlight w:val="yellow"/>
          <w:lang w:val="en-US"/>
        </w:rPr>
        <w:t>bilateral monopoly</w:t>
      </w:r>
      <w:r w:rsidRPr="004E0F3F">
        <w:rPr>
          <w:rFonts w:ascii="CMU Sans Serif Medium" w:hAnsi="CMU Sans Serif Medium" w:cs="CMU Sans Serif Medium"/>
          <w:sz w:val="24"/>
          <w:lang w:val="en-US"/>
        </w:rPr>
        <w:t>, in which a buyer and a seller are bargaining</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over the price of an object.</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Two features of my analysis, which are important in any bargaining setting, are information and impatience.</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The bargainers typically have private information about their preferences and will suffer some delay costs if</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agreement is postponed. Information asymmetries between bargainers will often lead to inefficiencies</w:t>
      </w:r>
      <w:r w:rsidR="007D6D71" w:rsidRPr="004E0F3F">
        <w:rPr>
          <w:rFonts w:ascii="CMU Sans Serif Medium" w:hAnsi="CMU Sans Serif Medium" w:cs="CMU Sans Serif Medium"/>
          <w:sz w:val="24"/>
          <w:lang w:val="en-US"/>
        </w:rPr>
        <w:t xml:space="preserve"> </w:t>
      </w:r>
    </w:p>
    <w:p w14:paraId="702DB00A" w14:textId="77777777" w:rsidR="007D6D71" w:rsidRPr="004E0F3F" w:rsidRDefault="007D6D71"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General bargaining mechanisms. Not bankruptcy</w:t>
      </w:r>
    </w:p>
    <w:p w14:paraId="23C75E4E" w14:textId="77777777" w:rsidR="007D6D71" w:rsidRPr="004E0F3F" w:rsidRDefault="00586F1D"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Some authors have examined the bargaining problem in a static context, focusing solely on the role of incomplete information and ignoring the sequential aspects of bargaining. Myerson and Satterthwaite (1983) </w:t>
      </w:r>
      <w:r w:rsidRPr="004E0F3F">
        <w:rPr>
          <w:rFonts w:ascii="CMU Sans Serif Medium" w:hAnsi="CMU Sans Serif Medium" w:cs="CMU Sans Serif Medium"/>
          <w:sz w:val="24"/>
          <w:highlight w:val="yellow"/>
          <w:lang w:val="en-US"/>
        </w:rPr>
        <w:t>analyze bargaining as a direct revelation game.</w:t>
      </w:r>
      <w:r w:rsidRPr="004E0F3F">
        <w:rPr>
          <w:rFonts w:ascii="CMU Sans Serif Medium" w:hAnsi="CMU Sans Serif Medium" w:cs="CMU Sans Serif Medium"/>
          <w:sz w:val="24"/>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4E0F3F" w:rsidRDefault="00D233C1"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Chatterjee and Samuelson (1983) analyze a strategic game in which both players make offers simultaneously,</w:t>
      </w:r>
      <w:r w:rsidR="00941E49"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and trade occurs at a price between the two offers if the seller’s offer is less than the buyer’s offer</w:t>
      </w:r>
    </w:p>
    <w:p w14:paraId="7858B538" w14:textId="77777777" w:rsidR="00B07F65" w:rsidRPr="004E0F3F" w:rsidRDefault="00B07F65"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4E0F3F">
        <w:rPr>
          <w:rFonts w:ascii="CMU Sans Serif Medium" w:hAnsi="CMU Sans Serif Medium" w:cs="CMU Sans Serif Medium"/>
          <w:sz w:val="24"/>
          <w:lang w:val="en-US"/>
        </w:rPr>
        <w:t>Selten</w:t>
      </w:r>
      <w:proofErr w:type="spellEnd"/>
      <w:r w:rsidRPr="004E0F3F">
        <w:rPr>
          <w:rFonts w:ascii="CMU Sans Serif Medium" w:hAnsi="CMU Sans Serif Medium" w:cs="CMU Sans Serif Medium"/>
          <w:sz w:val="24"/>
          <w:lang w:val="en-US"/>
        </w:rPr>
        <w:t xml:space="preserve"> (1976) (in terms of subgame perfection), and later by Kreps and Wilson (1982),</w:t>
      </w:r>
    </w:p>
    <w:p w14:paraId="7E2D2A57" w14:textId="77777777" w:rsidR="00B07F65" w:rsidRPr="004E0F3F" w:rsidRDefault="00B07F65" w:rsidP="00B56F50">
      <w:pPr>
        <w:pStyle w:val="ListParagraph"/>
        <w:numPr>
          <w:ilvl w:val="0"/>
          <w:numId w:val="5"/>
        </w:numPr>
        <w:rPr>
          <w:rFonts w:ascii="CMU Sans Serif Medium" w:hAnsi="CMU Sans Serif Medium" w:cs="CMU Sans Serif Medium"/>
          <w:sz w:val="24"/>
          <w:highlight w:val="lightGray"/>
          <w:lang w:val="en-US"/>
        </w:rPr>
      </w:pPr>
      <w:r w:rsidRPr="004E0F3F">
        <w:rPr>
          <w:rFonts w:ascii="CMU Sans Serif Medium" w:hAnsi="CMU Sans Serif Medium" w:cs="CMU Sans Serif Medium"/>
          <w:sz w:val="24"/>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4E0F3F" w:rsidRDefault="00693EB4"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4E0F3F">
        <w:rPr>
          <w:rFonts w:ascii="CMU Sans Serif Medium" w:hAnsi="CMU Sans Serif Medium" w:cs="CMU Sans Serif Medium"/>
          <w:sz w:val="24"/>
          <w:highlight w:val="lightGray"/>
          <w:lang w:val="en-US"/>
        </w:rPr>
        <w:t>high-cost sellers and low-valuation buyers will prefer to wait for better terms of trade</w:t>
      </w:r>
    </w:p>
    <w:p w14:paraId="0D10BCBF" w14:textId="77777777" w:rsidR="00572194" w:rsidRPr="004E0F3F" w:rsidRDefault="00572194" w:rsidP="00B56F50">
      <w:pPr>
        <w:rPr>
          <w:rFonts w:ascii="CMU Sans Serif Medium" w:hAnsi="CMU Sans Serif Medium" w:cs="CMU Sans Serif Medium"/>
          <w:lang w:val="en-US"/>
        </w:rPr>
      </w:pPr>
    </w:p>
    <w:p w14:paraId="7E93DBB3" w14:textId="129DA7E4" w:rsidR="006C664E" w:rsidRPr="004E0F3F" w:rsidRDefault="00572194" w:rsidP="00B56F50">
      <w:pPr>
        <w:rPr>
          <w:rFonts w:ascii="CMU Sans Serif Medium" w:hAnsi="CMU Sans Serif Medium" w:cs="CMU Sans Serif Medium"/>
          <w:lang w:val="en-US"/>
        </w:rPr>
      </w:pPr>
      <w:r w:rsidRPr="004E0F3F">
        <w:rPr>
          <w:rFonts w:ascii="CMU Sans Serif Medium" w:hAnsi="CMU Sans Serif Medium" w:cs="CMU Sans Serif Medium"/>
          <w:lang w:val="en-US"/>
        </w:rPr>
        <w:t>Baird &amp; Picker 1991</w:t>
      </w:r>
    </w:p>
    <w:p w14:paraId="09606934" w14:textId="77777777" w:rsidR="006C664E" w:rsidRPr="004E0F3F" w:rsidRDefault="006C664E" w:rsidP="00B56F50">
      <w:pPr>
        <w:pStyle w:val="ListParagraph"/>
        <w:numPr>
          <w:ilvl w:val="0"/>
          <w:numId w:val="4"/>
        </w:numPr>
        <w:rPr>
          <w:rFonts w:ascii="CMU Sans Serif Medium" w:hAnsi="CMU Sans Serif Medium" w:cs="CMU Sans Serif Medium"/>
          <w:sz w:val="24"/>
          <w:highlight w:val="lightGray"/>
          <w:lang w:val="en-US"/>
        </w:rPr>
      </w:pPr>
      <w:r w:rsidRPr="004E0F3F">
        <w:rPr>
          <w:rFonts w:ascii="CMU Sans Serif Medium" w:hAnsi="CMU Sans Serif Medium" w:cs="CMU Sans Serif Medium"/>
          <w:sz w:val="24"/>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4E0F3F">
        <w:rPr>
          <w:rFonts w:ascii="CMU Sans Serif Medium" w:hAnsi="CMU Sans Serif Medium" w:cs="CMU Sans Serif Medium"/>
          <w:sz w:val="24"/>
          <w:highlight w:val="lightGray"/>
        </w:rPr>
        <w:t>the first instance to allow them to act collectively</w:t>
      </w:r>
    </w:p>
    <w:p w14:paraId="5BA0B407" w14:textId="62DD2B7A" w:rsidR="004E1424" w:rsidRPr="004E0F3F" w:rsidRDefault="006C664E" w:rsidP="00B56F50">
      <w:pPr>
        <w:pStyle w:val="ListParagraph"/>
        <w:numPr>
          <w:ilvl w:val="0"/>
          <w:numId w:val="4"/>
        </w:numPr>
        <w:rPr>
          <w:rFonts w:ascii="CMU Sans Serif Medium" w:hAnsi="CMU Sans Serif Medium" w:cs="CMU Sans Serif Medium"/>
          <w:sz w:val="24"/>
          <w:lang w:val="en-US"/>
        </w:rPr>
      </w:pPr>
      <w:r w:rsidRPr="004E0F3F">
        <w:rPr>
          <w:rFonts w:ascii="CMU Sans Serif Medium" w:hAnsi="CMU Sans Serif Medium" w:cs="CMU Sans Serif Medium"/>
          <w:sz w:val="24"/>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4E0F3F">
        <w:rPr>
          <w:rFonts w:ascii="CMU Sans Serif Medium" w:hAnsi="CMU Sans Serif Medium" w:cs="CMU Sans Serif Medium"/>
          <w:sz w:val="24"/>
          <w:lang w:val="en-US"/>
        </w:rPr>
        <w:t xml:space="preserve"> </w:t>
      </w:r>
    </w:p>
    <w:p w14:paraId="125771FC" w14:textId="4E2B5C5F" w:rsidR="00615A59" w:rsidRPr="004E0F3F" w:rsidRDefault="004E1424" w:rsidP="00B56F50">
      <w:pPr>
        <w:pStyle w:val="ListParagraph"/>
        <w:numPr>
          <w:ilvl w:val="0"/>
          <w:numId w:val="4"/>
        </w:numPr>
        <w:rPr>
          <w:rFonts w:ascii="CMU Sans Serif Medium" w:hAnsi="CMU Sans Serif Medium" w:cs="CMU Sans Serif Medium"/>
          <w:sz w:val="24"/>
          <w:lang w:val="en-US"/>
        </w:rPr>
      </w:pPr>
      <w:r w:rsidRPr="004E0F3F">
        <w:rPr>
          <w:rFonts w:ascii="CMU Sans Serif Medium" w:hAnsi="CMU Sans Serif Medium" w:cs="CMU Sans Serif Medium"/>
          <w:sz w:val="24"/>
        </w:rPr>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4E0F3F">
        <w:rPr>
          <w:rFonts w:ascii="CMU Sans Serif Medium" w:hAnsi="CMU Sans Serif Medium" w:cs="CMU Sans Serif Medium"/>
          <w:sz w:val="24"/>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4E0F3F">
        <w:rPr>
          <w:rFonts w:ascii="CMU Sans Serif Medium" w:hAnsi="CMU Sans Serif Medium" w:cs="CMU Sans Serif Medium"/>
          <w:sz w:val="24"/>
        </w:rPr>
        <w:t xml:space="preserve"> </w:t>
      </w:r>
    </w:p>
    <w:p w14:paraId="232C1154" w14:textId="77777777" w:rsidR="002C128B" w:rsidRPr="004E0F3F" w:rsidRDefault="002C128B" w:rsidP="00B56F50">
      <w:pPr>
        <w:rPr>
          <w:rFonts w:ascii="CMU Sans Serif Medium" w:hAnsi="CMU Sans Serif Medium" w:cs="CMU Sans Serif Medium"/>
          <w:lang w:val="en-US"/>
        </w:rPr>
      </w:pPr>
    </w:p>
    <w:p w14:paraId="37BAABDA" w14:textId="1C988B7E" w:rsidR="00615A59" w:rsidRPr="004E0F3F" w:rsidRDefault="00615A59"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White2007</w:t>
      </w:r>
      <w:proofErr w:type="spellEnd"/>
      <w:r w:rsidRPr="004E0F3F">
        <w:rPr>
          <w:rFonts w:ascii="CMU Sans Serif Medium" w:hAnsi="CMU Sans Serif Medium" w:cs="CMU Sans Serif Medium"/>
          <w:lang w:val="en-US"/>
        </w:rPr>
        <w:t xml:space="preserve"> </w:t>
      </w:r>
    </w:p>
    <w:p w14:paraId="332C81A9" w14:textId="34A613F7" w:rsidR="00615A59" w:rsidRPr="004E0F3F" w:rsidRDefault="00615A59" w:rsidP="00B56F50">
      <w:pPr>
        <w:rPr>
          <w:rFonts w:ascii="CMU Sans Serif Medium" w:hAnsi="CMU Sans Serif Medium" w:cs="CMU Sans Serif Medium"/>
          <w:lang w:val="en-US"/>
        </w:rPr>
      </w:pPr>
      <w:r w:rsidRPr="004E0F3F">
        <w:rPr>
          <w:rFonts w:ascii="CMU Sans Serif Medium" w:hAnsi="CMU Sans Serif Medium" w:cs="CMU Sans Serif Medium"/>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4E0F3F" w:rsidRDefault="005D05F6" w:rsidP="00B56F50">
      <w:pPr>
        <w:rPr>
          <w:rFonts w:ascii="CMU Sans Serif Medium" w:hAnsi="CMU Sans Serif Medium" w:cs="CMU Sans Serif Medium"/>
          <w:lang w:val="en-US"/>
        </w:rPr>
      </w:pPr>
    </w:p>
    <w:p w14:paraId="343353FA" w14:textId="07071328" w:rsidR="005D05F6" w:rsidRPr="004E0F3F" w:rsidRDefault="005D05F6"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highlight w:val="yellow"/>
          <w:lang w:val="en-US"/>
        </w:rPr>
        <w:t>Corneli1997</w:t>
      </w:r>
      <w:proofErr w:type="spellEnd"/>
    </w:p>
    <w:p w14:paraId="66C03802" w14:textId="02A772D5" w:rsidR="00275C19" w:rsidRPr="004E0F3F" w:rsidRDefault="005D05F6" w:rsidP="00B56F50">
      <w:pPr>
        <w:rPr>
          <w:rFonts w:ascii="CMU Sans Serif Medium" w:hAnsi="CMU Sans Serif Medium" w:cs="CMU Sans Serif Medium"/>
        </w:rPr>
      </w:pPr>
      <w:r w:rsidRPr="004E0F3F">
        <w:rPr>
          <w:rFonts w:ascii="CMU Sans Serif Medium" w:hAnsi="CMU Sans Serif Medium" w:cs="CMU Sans Serif Medium"/>
        </w:rPr>
        <w:t xml:space="preserve">This paper suggests a framework to </w:t>
      </w:r>
      <w:proofErr w:type="spellStart"/>
      <w:r w:rsidRPr="004E0F3F">
        <w:rPr>
          <w:rFonts w:ascii="CMU Sans Serif Medium" w:hAnsi="CMU Sans Serif Medium" w:cs="CMU Sans Serif Medium"/>
        </w:rPr>
        <w:t>analyze</w:t>
      </w:r>
      <w:proofErr w:type="spellEnd"/>
      <w:r w:rsidRPr="004E0F3F">
        <w:rPr>
          <w:rFonts w:ascii="CMU Sans Serif Medium" w:hAnsi="CMU Sans Serif Medium" w:cs="CMU Sans Serif Medium"/>
        </w:rPr>
        <w:t xml:space="preserve"> the efficiency properties of bankruptcy procedures, distinguishing between ex-ante and ex-post efficiency. </w:t>
      </w:r>
      <w:r w:rsidRPr="004E0F3F">
        <w:rPr>
          <w:rFonts w:ascii="CMU Sans Serif Medium" w:hAnsi="CMU Sans Serif Medium" w:cs="CMU Sans Serif Medium"/>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4E0F3F">
        <w:rPr>
          <w:rFonts w:ascii="CMU Sans Serif Medium" w:hAnsi="CMU Sans Serif Medium" w:cs="CMU Sans Serif Medium"/>
        </w:rPr>
        <w:t xml:space="preserve"> We show that the definition of creditors' ownership rights over the company and the protection of the creditors' seniority, are crucial to asse</w:t>
      </w:r>
      <w:r w:rsidR="005C771C" w:rsidRPr="004E0F3F">
        <w:rPr>
          <w:rFonts w:ascii="CMU Sans Serif Medium" w:hAnsi="CMU Sans Serif Medium" w:cs="CMU Sans Serif Medium"/>
        </w:rPr>
        <w:t>s</w:t>
      </w:r>
      <w:r w:rsidRPr="004E0F3F">
        <w:rPr>
          <w:rFonts w:ascii="CMU Sans Serif Medium" w:hAnsi="CMU Sans Serif Medium" w:cs="CMU Sans Serif Medium"/>
        </w:rPr>
        <w:t>s the ex-ante efficiency of a bankruptcy procedure.</w:t>
      </w:r>
    </w:p>
    <w:p w14:paraId="08E74399" w14:textId="77777777" w:rsidR="0057701B" w:rsidRPr="004E0F3F" w:rsidRDefault="0057701B" w:rsidP="00B56F50">
      <w:pPr>
        <w:rPr>
          <w:rFonts w:ascii="CMU Sans Serif Medium" w:hAnsi="CMU Sans Serif Medium" w:cs="CMU Sans Serif Medium"/>
          <w:lang w:val="en-US"/>
        </w:rPr>
      </w:pPr>
    </w:p>
    <w:p w14:paraId="6CED0AA7" w14:textId="00E2691E" w:rsidR="000F5F2D" w:rsidRPr="004E0F3F" w:rsidRDefault="000F5F2D"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Staszkiewicz</w:t>
      </w:r>
      <w:r w:rsidR="00F047CE" w:rsidRPr="004E0F3F">
        <w:rPr>
          <w:rFonts w:ascii="CMU Sans Serif Medium" w:hAnsi="CMU Sans Serif Medium" w:cs="CMU Sans Serif Medium"/>
          <w:lang w:val="en-US"/>
        </w:rPr>
        <w:t>2019</w:t>
      </w:r>
      <w:proofErr w:type="spellEnd"/>
    </w:p>
    <w:p w14:paraId="5C0C6657" w14:textId="5D907007" w:rsidR="008E0766" w:rsidRPr="004E0F3F" w:rsidRDefault="008E0766"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investigated the efficiency of creditor protection in insolvency. We approached efficiency in three dimensions: ex ante, ex post, and interim. This paper presents the differences between Polish and Spanish ex ante efficiency, the factors influencing the interim recovery rate and efficiency, and the differences between ex ante and ex post efficiency in Polish proceedings </w:t>
      </w:r>
    </w:p>
    <w:p w14:paraId="739C405F" w14:textId="77777777" w:rsidR="00C341F0" w:rsidRPr="004E0F3F" w:rsidRDefault="002C36B1"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asks how </w:t>
      </w:r>
      <w:proofErr w:type="spellStart"/>
      <w:r w:rsidRPr="004E0F3F">
        <w:rPr>
          <w:rFonts w:ascii="CMU Sans Serif Medium" w:hAnsi="CMU Sans Serif Medium" w:cs="CMU Sans Serif Medium"/>
          <w:lang w:val="en-US"/>
        </w:rPr>
        <w:t>insolvency</w:t>
      </w:r>
      <w:r w:rsidRPr="004E0F3F">
        <w:rPr>
          <w:rFonts w:ascii="CMU Sans Serif Medium" w:hAnsi="CMU Sans Serif Medium" w:cs="CMU Sans Serif Medium"/>
          <w:color w:val="0000FF"/>
          <w:lang w:val="en-US"/>
        </w:rPr>
        <w:t>1</w:t>
      </w:r>
      <w:proofErr w:type="spellEnd"/>
      <w:r w:rsidRPr="004E0F3F">
        <w:rPr>
          <w:rFonts w:ascii="CMU Sans Serif Medium" w:hAnsi="CMU Sans Serif Medium" w:cs="CMU Sans Serif Medium"/>
          <w:color w:val="0000FF"/>
          <w:lang w:val="en-US"/>
        </w:rPr>
        <w:t xml:space="preserve"> </w:t>
      </w:r>
      <w:r w:rsidRPr="004E0F3F">
        <w:rPr>
          <w:rFonts w:ascii="CMU Sans Serif Medium" w:hAnsi="CMU Sans Serif Medium" w:cs="CMU Sans Serif Medium"/>
          <w:lang w:val="en-US"/>
        </w:rPr>
        <w:t>procedures are efficient from the perspective of the</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creditor.</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the findings of </w:t>
      </w:r>
      <w:proofErr w:type="spellStart"/>
      <w:r w:rsidRPr="004E0F3F">
        <w:rPr>
          <w:rFonts w:ascii="CMU Sans Serif Medium" w:hAnsi="CMU Sans Serif Medium" w:cs="CMU Sans Serif Medium"/>
          <w:lang w:val="en-US"/>
        </w:rPr>
        <w:t>Djankov</w:t>
      </w:r>
      <w:proofErr w:type="spellEnd"/>
      <w:r w:rsidRPr="004E0F3F">
        <w:rPr>
          <w:rFonts w:ascii="CMU Sans Serif Medium" w:hAnsi="CMU Sans Serif Medium" w:cs="CMU Sans Serif Medium"/>
          <w:lang w:val="en-US"/>
        </w:rPr>
        <w:t xml:space="preserve">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by providing</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the actual long term average of </w:t>
      </w:r>
      <w:r w:rsidRPr="004E0F3F">
        <w:rPr>
          <w:rFonts w:ascii="CMU Sans Serif Medium" w:hAnsi="CMU Sans Serif Medium" w:cs="CMU Sans Serif Medium"/>
          <w:highlight w:val="cyan"/>
          <w:lang w:val="en-US"/>
        </w:rPr>
        <w:t>the duration of proceedings</w:t>
      </w:r>
      <w:r w:rsidRPr="004E0F3F">
        <w:rPr>
          <w:rFonts w:ascii="CMU Sans Serif Medium" w:hAnsi="CMU Sans Serif Medium" w:cs="CMU Sans Serif Medium"/>
          <w:lang w:val="en-US"/>
        </w:rPr>
        <w:t xml:space="preserve"> in Poland—853 days</w:t>
      </w:r>
      <w:r w:rsidR="00C341F0" w:rsidRPr="004E0F3F">
        <w:rPr>
          <w:rFonts w:ascii="CMU Sans Serif Medium" w:hAnsi="CMU Sans Serif Medium" w:cs="CMU Sans Serif Medium"/>
          <w:lang w:val="en-US"/>
        </w:rPr>
        <w:t xml:space="preserve"> </w:t>
      </w:r>
    </w:p>
    <w:p w14:paraId="0836CC2F" w14:textId="13918DA3" w:rsidR="00C341F0" w:rsidRPr="004E0F3F" w:rsidRDefault="00C341F0"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The globalization of the world economy motivates research for exploring legal efficiency across countries (Acemoglu and Johnson </w:t>
      </w:r>
      <w:r w:rsidRPr="004E0F3F">
        <w:rPr>
          <w:rFonts w:ascii="CMU Sans Serif Medium" w:hAnsi="CMU Sans Serif Medium" w:cs="CMU Sans Serif Medium"/>
          <w:color w:val="0000FF"/>
          <w:lang w:val="en-US"/>
        </w:rPr>
        <w:t>2005</w:t>
      </w:r>
      <w:r w:rsidRPr="004E0F3F">
        <w:rPr>
          <w:rFonts w:ascii="CMU Sans Serif Medium" w:hAnsi="CMU Sans Serif Medium" w:cs="CMU Sans Serif Medium"/>
          <w:lang w:val="en-US"/>
        </w:rPr>
        <w:t xml:space="preserve">; Franks et al. </w:t>
      </w:r>
      <w:r w:rsidRPr="004E0F3F">
        <w:rPr>
          <w:rFonts w:ascii="CMU Sans Serif Medium" w:hAnsi="CMU Sans Serif Medium" w:cs="CMU Sans Serif Medium"/>
          <w:color w:val="0000FF"/>
          <w:lang w:val="en-US"/>
        </w:rPr>
        <w:t>1996</w:t>
      </w:r>
      <w:r w:rsidRPr="004E0F3F">
        <w:rPr>
          <w:rFonts w:ascii="CMU Sans Serif Medium" w:hAnsi="CMU Sans Serif Medium" w:cs="CMU Sans Serif Medium"/>
          <w:lang w:val="en-US"/>
        </w:rPr>
        <w:t xml:space="preserve">; La Porta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Succurro</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2012</w:t>
      </w:r>
      <w:r w:rsidRPr="004E0F3F">
        <w:rPr>
          <w:rFonts w:ascii="CMU Sans Serif Medium" w:hAnsi="CMU Sans Serif Medium" w:cs="CMU Sans Serif Medium"/>
          <w:lang w:val="en-US"/>
        </w:rPr>
        <w:t>) and domestic settings (</w:t>
      </w:r>
      <w:proofErr w:type="spellStart"/>
      <w:r w:rsidRPr="004E0F3F">
        <w:rPr>
          <w:rFonts w:ascii="CMU Sans Serif Medium" w:hAnsi="CMU Sans Serif Medium" w:cs="CMU Sans Serif Medium"/>
          <w:lang w:val="en-US"/>
        </w:rPr>
        <w:t>Chemin</w:t>
      </w:r>
      <w:proofErr w:type="spellEnd"/>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color w:val="0000FF"/>
          <w:lang w:val="en-US"/>
        </w:rPr>
        <w:t>2009a</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b</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Ponticelli</w:t>
      </w:r>
      <w:proofErr w:type="spellEnd"/>
      <w:r w:rsidRPr="004E0F3F">
        <w:rPr>
          <w:rFonts w:ascii="CMU Sans Serif Medium" w:hAnsi="CMU Sans Serif Medium" w:cs="CMU Sans Serif Medium"/>
          <w:lang w:val="en-US"/>
        </w:rPr>
        <w:t xml:space="preserve"> and </w:t>
      </w:r>
      <w:proofErr w:type="spellStart"/>
      <w:r w:rsidRPr="004E0F3F">
        <w:rPr>
          <w:rFonts w:ascii="CMU Sans Serif Medium" w:hAnsi="CMU Sans Serif Medium" w:cs="CMU Sans Serif Medium"/>
          <w:lang w:val="en-US"/>
        </w:rPr>
        <w:t>Alencar</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2016</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Visaria</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2009</w:t>
      </w:r>
      <w:r w:rsidRPr="004E0F3F">
        <w:rPr>
          <w:rFonts w:ascii="CMU Sans Serif Medium" w:hAnsi="CMU Sans Serif Medium" w:cs="CMU Sans Serif Medium"/>
          <w:lang w:val="en-US"/>
        </w:rPr>
        <w:t>). In the background, there is ongoing discussion on the efficiency of the bankruptcy conditions, bankruptcy procedures, and the consequences</w:t>
      </w:r>
      <w:r w:rsidR="00E477E2"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of the insolvency proceedings.</w:t>
      </w:r>
    </w:p>
    <w:p w14:paraId="7CFE2416" w14:textId="77777777" w:rsidR="002F1373" w:rsidRPr="004E0F3F" w:rsidRDefault="00E477E2"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In respect of the bankruptcy law</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procedures, there is no ultimate approach to the efficiency assessment. The reference</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point for efficiency can take the form of market value or market oriented procedures</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(Thorburn </w:t>
      </w:r>
      <w:r w:rsidRPr="004E0F3F">
        <w:rPr>
          <w:rFonts w:ascii="CMU Sans Serif Medium" w:hAnsi="CMU Sans Serif Medium" w:cs="CMU Sans Serif Medium"/>
          <w:color w:val="0000FF"/>
          <w:sz w:val="24"/>
          <w:lang w:val="en-US"/>
        </w:rPr>
        <w:t>2000</w:t>
      </w:r>
      <w:r w:rsidRPr="004E0F3F">
        <w:rPr>
          <w:rFonts w:ascii="CMU Sans Serif Medium" w:hAnsi="CMU Sans Serif Medium" w:cs="CMU Sans Serif Medium"/>
          <w:sz w:val="24"/>
          <w:lang w:val="en-US"/>
        </w:rPr>
        <w:t>), time, cost, and recovery rate of the procedure (</w:t>
      </w:r>
      <w:proofErr w:type="spellStart"/>
      <w:r w:rsidRPr="004E0F3F">
        <w:rPr>
          <w:rFonts w:ascii="CMU Sans Serif Medium" w:hAnsi="CMU Sans Serif Medium" w:cs="CMU Sans Serif Medium"/>
          <w:sz w:val="24"/>
          <w:lang w:val="en-US"/>
        </w:rPr>
        <w:t>Succurro</w:t>
      </w:r>
      <w:proofErr w:type="spellEnd"/>
      <w:r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color w:val="0000FF"/>
          <w:sz w:val="24"/>
          <w:lang w:val="en-US"/>
        </w:rPr>
        <w:t>2012</w:t>
      </w:r>
      <w:r w:rsidRPr="004E0F3F">
        <w:rPr>
          <w:rFonts w:ascii="CMU Sans Serif Medium" w:hAnsi="CMU Sans Serif Medium" w:cs="CMU Sans Serif Medium"/>
          <w:sz w:val="24"/>
          <w:lang w:val="en-US"/>
        </w:rPr>
        <w:t>),</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ability to strike a balance between debtors and creditors protection (Franks et al </w:t>
      </w:r>
      <w:r w:rsidRPr="004E0F3F">
        <w:rPr>
          <w:rFonts w:ascii="CMU Sans Serif Medium" w:hAnsi="CMU Sans Serif Medium" w:cs="CMU Sans Serif Medium"/>
          <w:color w:val="0000FF"/>
          <w:sz w:val="24"/>
          <w:lang w:val="en-US"/>
        </w:rPr>
        <w:t>1996</w:t>
      </w:r>
      <w:r w:rsidRPr="004E0F3F">
        <w:rPr>
          <w:rFonts w:ascii="CMU Sans Serif Medium" w:hAnsi="CMU Sans Serif Medium" w:cs="CMU Sans Serif Medium"/>
          <w:sz w:val="24"/>
          <w:lang w:val="en-US"/>
        </w:rPr>
        <w:t xml:space="preserve">; La Porta et al. </w:t>
      </w:r>
      <w:r w:rsidRPr="004E0F3F">
        <w:rPr>
          <w:rFonts w:ascii="CMU Sans Serif Medium" w:hAnsi="CMU Sans Serif Medium" w:cs="CMU Sans Serif Medium"/>
          <w:color w:val="0000FF"/>
          <w:sz w:val="24"/>
          <w:lang w:val="en-US"/>
        </w:rPr>
        <w:t>2008</w:t>
      </w:r>
      <w:r w:rsidRPr="004E0F3F">
        <w:rPr>
          <w:rFonts w:ascii="CMU Sans Serif Medium" w:hAnsi="CMU Sans Serif Medium" w:cs="CMU Sans Serif Medium"/>
          <w:sz w:val="24"/>
          <w:lang w:val="en-US"/>
        </w:rPr>
        <w:t>), or the behavioral changes of process actors</w:t>
      </w:r>
      <w:r w:rsidR="002F1373" w:rsidRPr="004E0F3F">
        <w:rPr>
          <w:rFonts w:ascii="CMU Sans Serif Medium" w:hAnsi="CMU Sans Serif Medium" w:cs="CMU Sans Serif Medium"/>
          <w:sz w:val="24"/>
          <w:lang w:val="en-US"/>
        </w:rPr>
        <w:t xml:space="preserve"> </w:t>
      </w:r>
    </w:p>
    <w:p w14:paraId="4A32610D" w14:textId="613D0538" w:rsidR="00E477E2" w:rsidRPr="004E0F3F" w:rsidRDefault="00E477E2"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measure efficiency in different moments</w:t>
      </w:r>
    </w:p>
    <w:p w14:paraId="4EA1F672" w14:textId="77777777" w:rsidR="002F1373" w:rsidRPr="004E0F3F" w:rsidRDefault="002F1373" w:rsidP="00B56F50">
      <w:pPr>
        <w:pStyle w:val="ListParagraph"/>
        <w:numPr>
          <w:ilvl w:val="0"/>
          <w:numId w:val="8"/>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Claessens</w:t>
      </w:r>
      <w:proofErr w:type="spellEnd"/>
      <w:r w:rsidRPr="004E0F3F">
        <w:rPr>
          <w:rFonts w:ascii="CMU Sans Serif Medium" w:hAnsi="CMU Sans Serif Medium" w:cs="CMU Sans Serif Medium"/>
          <w:sz w:val="24"/>
          <w:lang w:val="en-US"/>
        </w:rPr>
        <w:t xml:space="preserve"> and </w:t>
      </w:r>
      <w:proofErr w:type="spellStart"/>
      <w:r w:rsidRPr="004E0F3F">
        <w:rPr>
          <w:rFonts w:ascii="CMU Sans Serif Medium" w:hAnsi="CMU Sans Serif Medium" w:cs="CMU Sans Serif Medium"/>
          <w:sz w:val="24"/>
          <w:lang w:val="en-US"/>
        </w:rPr>
        <w:t>Klapper</w:t>
      </w:r>
      <w:proofErr w:type="spellEnd"/>
      <w:r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color w:val="0000FF"/>
          <w:sz w:val="24"/>
          <w:lang w:val="en-US"/>
        </w:rPr>
        <w:t>2005</w:t>
      </w:r>
      <w:r w:rsidRPr="004E0F3F">
        <w:rPr>
          <w:rFonts w:ascii="CMU Sans Serif Medium" w:hAnsi="CMU Sans Serif Medium" w:cs="CMU Sans Serif Medium"/>
          <w:sz w:val="24"/>
          <w:lang w:val="en-US"/>
        </w:rPr>
        <w:t>) provide the time horizon insolvency regime efficiency.</w:t>
      </w:r>
    </w:p>
    <w:p w14:paraId="416E36F5" w14:textId="6D963759" w:rsidR="002F1373" w:rsidRPr="004E0F3F" w:rsidRDefault="002F1373"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They distinguish between ex ante and ex post efficiency. An efficient ex ante insolvency regime prevents managers and shareholders from taking imprudent loans, and lenders from giving risky loans. An ex post efficiency system assures that the highest total value will be obtained for the distressed firm. Camacho-</w:t>
      </w:r>
      <w:proofErr w:type="spellStart"/>
      <w:r w:rsidRPr="004E0F3F">
        <w:rPr>
          <w:rFonts w:ascii="CMU Sans Serif Medium" w:hAnsi="CMU Sans Serif Medium" w:cs="CMU Sans Serif Medium"/>
          <w:sz w:val="24"/>
          <w:lang w:val="en-US"/>
        </w:rPr>
        <w:t>Miñano</w:t>
      </w:r>
      <w:proofErr w:type="spellEnd"/>
      <w:r w:rsidRPr="004E0F3F">
        <w:rPr>
          <w:rFonts w:ascii="CMU Sans Serif Medium" w:hAnsi="CMU Sans Serif Medium" w:cs="CMU Sans Serif Medium"/>
          <w:sz w:val="24"/>
          <w:lang w:val="en-US"/>
        </w:rPr>
        <w:t xml:space="preserve"> et al. (</w:t>
      </w:r>
      <w:r w:rsidRPr="004E0F3F">
        <w:rPr>
          <w:rFonts w:ascii="CMU Sans Serif Medium" w:hAnsi="CMU Sans Serif Medium" w:cs="CMU Sans Serif Medium"/>
          <w:color w:val="0000FF"/>
          <w:sz w:val="24"/>
          <w:lang w:val="en-US"/>
        </w:rPr>
        <w:t>2013</w:t>
      </w:r>
      <w:r w:rsidRPr="004E0F3F">
        <w:rPr>
          <w:rFonts w:ascii="CMU Sans Serif Medium" w:hAnsi="CMU Sans Serif Medium" w:cs="CMU Sans Serif Medium"/>
          <w:sz w:val="24"/>
          <w:lang w:val="en-US"/>
        </w:rPr>
        <w:t>) enhance it by considering interim efficiency, that should allow a realization of the assets in the shortest time at the lowest achievable cost. Camacho-</w:t>
      </w:r>
      <w:proofErr w:type="spellStart"/>
      <w:r w:rsidRPr="004E0F3F">
        <w:rPr>
          <w:rFonts w:ascii="CMU Sans Serif Medium" w:hAnsi="CMU Sans Serif Medium" w:cs="CMU Sans Serif Medium"/>
          <w:sz w:val="24"/>
          <w:lang w:val="en-US"/>
        </w:rPr>
        <w:t>Miñano</w:t>
      </w:r>
      <w:proofErr w:type="spellEnd"/>
      <w:r w:rsidRPr="004E0F3F">
        <w:rPr>
          <w:rFonts w:ascii="CMU Sans Serif Medium" w:hAnsi="CMU Sans Serif Medium" w:cs="CMU Sans Serif Medium"/>
          <w:sz w:val="24"/>
          <w:lang w:val="en-US"/>
        </w:rPr>
        <w:t xml:space="preserve"> et al. (</w:t>
      </w:r>
      <w:r w:rsidRPr="004E0F3F">
        <w:rPr>
          <w:rFonts w:ascii="CMU Sans Serif Medium" w:hAnsi="CMU Sans Serif Medium" w:cs="CMU Sans Serif Medium"/>
          <w:color w:val="0000FF"/>
          <w:sz w:val="24"/>
          <w:lang w:val="en-US"/>
        </w:rPr>
        <w:t>2013</w:t>
      </w:r>
      <w:r w:rsidRPr="004E0F3F">
        <w:rPr>
          <w:rFonts w:ascii="CMU Sans Serif Medium" w:hAnsi="CMU Sans Serif Medium" w:cs="CMU Sans Serif Medium"/>
          <w:sz w:val="24"/>
          <w:lang w:val="en-US"/>
        </w:rPr>
        <w:t>) test for ex ante efficiency.</w:t>
      </w:r>
    </w:p>
    <w:p w14:paraId="10D54D53" w14:textId="190756D6" w:rsidR="00B56F50" w:rsidRPr="004E0F3F" w:rsidRDefault="00B56F50" w:rsidP="00B56F50">
      <w:pPr>
        <w:ind w:left="360"/>
        <w:rPr>
          <w:rFonts w:ascii="CMU Sans Serif Medium" w:hAnsi="CMU Sans Serif Medium" w:cs="CMU Sans Serif Medium"/>
          <w:b/>
          <w:lang w:val="en-US"/>
        </w:rPr>
      </w:pPr>
      <w:proofErr w:type="spellStart"/>
      <w:r w:rsidRPr="004E0F3F">
        <w:rPr>
          <w:rFonts w:ascii="CMU Sans Serif Medium" w:hAnsi="CMU Sans Serif Medium" w:cs="CMU Sans Serif Medium"/>
          <w:b/>
          <w:highlight w:val="green"/>
          <w:lang w:val="en-US"/>
        </w:rPr>
        <w:t>Succuro2012</w:t>
      </w:r>
      <w:proofErr w:type="spellEnd"/>
    </w:p>
    <w:p w14:paraId="499B184F" w14:textId="2C478D3A" w:rsidR="00B56F50" w:rsidRPr="004E0F3F" w:rsidRDefault="00987336" w:rsidP="00B50CD0">
      <w:pPr>
        <w:ind w:left="720"/>
        <w:rPr>
          <w:rFonts w:ascii="CMU Sans Serif Medium" w:hAnsi="CMU Sans Serif Medium" w:cs="CMU Sans Serif Medium"/>
        </w:rPr>
      </w:pPr>
      <w:r w:rsidRPr="004E0F3F">
        <w:rPr>
          <w:rFonts w:ascii="CMU Sans Serif Medium" w:hAnsi="CMU Sans Serif Medium" w:cs="CMU Sans Serif Medium"/>
        </w:rPr>
        <w:t>Examine t</w:t>
      </w:r>
      <w:r w:rsidR="00B56F50" w:rsidRPr="004E0F3F">
        <w:rPr>
          <w:rFonts w:ascii="CMU Sans Serif Medium" w:hAnsi="CMU Sans Serif Medium" w:cs="CMU Sans Serif Medium"/>
        </w:rPr>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Pr="004E0F3F" w:rsidRDefault="00B50CD0" w:rsidP="005C28BD">
      <w:pPr>
        <w:rPr>
          <w:rFonts w:ascii="CMU Sans Serif Medium" w:hAnsi="CMU Sans Serif Medium" w:cs="CMU Sans Serif Medium"/>
        </w:rPr>
      </w:pPr>
      <w:r w:rsidRPr="004E0F3F">
        <w:rPr>
          <w:rFonts w:ascii="CMU Sans Serif Medium" w:hAnsi="CMU Sans Serif Medium" w:cs="CMU Sans Serif Medium"/>
        </w:rPr>
        <w:t xml:space="preserve">the latest published figures </w:t>
      </w:r>
      <w:r w:rsidRPr="004E0F3F">
        <w:rPr>
          <w:rFonts w:ascii="CMU Sans Serif Medium" w:hAnsi="CMU Sans Serif Medium" w:cs="CMU Sans Serif Medium"/>
          <w:highlight w:val="cyan"/>
        </w:rPr>
        <w:t>highlighted that 90% of the companies in bankruptcy ended up in liquidation;</w:t>
      </w:r>
      <w:r w:rsidRPr="004E0F3F">
        <w:rPr>
          <w:rFonts w:ascii="CMU Sans Serif Medium" w:hAnsi="CMU Sans Serif Medium" w:cs="CMU Sans Serif Medium"/>
        </w:rPr>
        <w:t xml:space="preserve"> the </w:t>
      </w:r>
      <w:r w:rsidRPr="004E0F3F">
        <w:rPr>
          <w:rFonts w:ascii="CMU Sans Serif Medium" w:hAnsi="CMU Sans Serif Medium" w:cs="CMU Sans Serif Medium"/>
          <w:highlight w:val="cyan"/>
        </w:rPr>
        <w:t>creditors recovered only 56% of the average debt,</w:t>
      </w:r>
      <w:r w:rsidRPr="004E0F3F">
        <w:rPr>
          <w:rFonts w:ascii="CMU Sans Serif Medium" w:hAnsi="CMU Sans Serif Medium" w:cs="CMU Sans Serif Medium"/>
        </w:rPr>
        <w:t xml:space="preserve"> and there was </w:t>
      </w:r>
      <w:r w:rsidRPr="004E0F3F">
        <w:rPr>
          <w:rFonts w:ascii="CMU Sans Serif Medium" w:hAnsi="CMU Sans Serif Medium" w:cs="CMU Sans Serif Medium"/>
          <w:highlight w:val="cyan"/>
        </w:rPr>
        <w:t>a sharp increase in the number of companies in liquidation situation</w:t>
      </w:r>
      <w:r w:rsidRPr="004E0F3F">
        <w:rPr>
          <w:rFonts w:ascii="CMU Sans Serif Medium" w:hAnsi="CMU Sans Serif Medium" w:cs="CMU Sans Serif Medium"/>
        </w:rPr>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4E0F3F" w:rsidRDefault="00054DB0" w:rsidP="00CA0E5E">
      <w:pPr>
        <w:ind w:left="360"/>
        <w:rPr>
          <w:rFonts w:ascii="CMU Sans Serif Medium" w:hAnsi="CMU Sans Serif Medium" w:cs="CMU Sans Serif Medium"/>
        </w:rPr>
      </w:pPr>
      <w:r w:rsidRPr="004E0F3F">
        <w:rPr>
          <w:rFonts w:ascii="CMU Sans Serif Medium" w:hAnsi="CMU Sans Serif Medium" w:cs="CMU Sans Serif Medium"/>
          <w:lang w:val="en-US"/>
        </w:rPr>
        <w:t>Several European countries, on the basis of Chap. 11 US Bankruptcy Code,</w:t>
      </w:r>
      <w:r w:rsidR="00CA0E5E"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changed their bankruptcy law due to a lack of the reorganization power of their</w:t>
      </w:r>
      <w:r w:rsidR="00CA0E5E" w:rsidRPr="004E0F3F">
        <w:rPr>
          <w:rFonts w:ascii="CMU Sans Serif Medium" w:hAnsi="CMU Sans Serif Medium" w:cs="CMU Sans Serif Medium"/>
          <w:lang w:val="en-US"/>
        </w:rPr>
        <w:t xml:space="preserve"> </w:t>
      </w:r>
      <w:r w:rsidR="00CA0E5E" w:rsidRPr="004E0F3F">
        <w:rPr>
          <w:rFonts w:ascii="CMU Sans Serif Medium" w:hAnsi="CMU Sans Serif Medium" w:cs="CMU Sans Serif Medium"/>
          <w:color w:val="000000"/>
          <w:lang w:val="en-US"/>
        </w:rPr>
        <w:t>systems. The liquidation-based origins of these European laws were considered out of date and were deemed to lead to over-liquidation (</w:t>
      </w:r>
      <w:proofErr w:type="spellStart"/>
      <w:r w:rsidR="00CA0E5E" w:rsidRPr="004E0F3F">
        <w:rPr>
          <w:rFonts w:ascii="CMU Sans Serif Medium" w:hAnsi="CMU Sans Serif Medium" w:cs="CMU Sans Serif Medium"/>
          <w:color w:val="000000"/>
          <w:lang w:val="en-US"/>
        </w:rPr>
        <w:t>Couwenberg</w:t>
      </w:r>
      <w:proofErr w:type="spellEnd"/>
      <w:r w:rsidR="00CA0E5E" w:rsidRPr="004E0F3F">
        <w:rPr>
          <w:rFonts w:ascii="CMU Sans Serif Medium" w:hAnsi="CMU Sans Serif Medium" w:cs="CMU Sans Serif Medium"/>
          <w:color w:val="000000"/>
          <w:lang w:val="en-US"/>
        </w:rPr>
        <w:t xml:space="preserve"> and de Jong </w:t>
      </w:r>
      <w:r w:rsidR="00CA0E5E" w:rsidRPr="004E0F3F">
        <w:rPr>
          <w:rFonts w:ascii="CMU Sans Serif Medium" w:hAnsi="CMU Sans Serif Medium" w:cs="CMU Sans Serif Medium"/>
          <w:color w:val="0000FF"/>
          <w:lang w:val="en-US"/>
        </w:rPr>
        <w:t>2008</w:t>
      </w:r>
      <w:r w:rsidR="00CA0E5E" w:rsidRPr="004E0F3F">
        <w:rPr>
          <w:rFonts w:ascii="CMU Sans Serif Medium" w:hAnsi="CMU Sans Serif Medium" w:cs="CMU Sans Serif Medium"/>
          <w:color w:val="000000"/>
          <w:lang w:val="en-US"/>
        </w:rPr>
        <w:t>). Belgium changed its rules in 1998, France in 1994, Finland in 1993, Germany in 1994 (</w:t>
      </w:r>
      <w:proofErr w:type="spellStart"/>
      <w:r w:rsidR="00CA0E5E" w:rsidRPr="004E0F3F">
        <w:rPr>
          <w:rFonts w:ascii="CMU Sans Serif Medium" w:hAnsi="CMU Sans Serif Medium" w:cs="CMU Sans Serif Medium"/>
          <w:color w:val="000000"/>
          <w:lang w:val="en-US"/>
        </w:rPr>
        <w:t>Couwenberg</w:t>
      </w:r>
      <w:proofErr w:type="spellEnd"/>
      <w:r w:rsidR="00CA0E5E" w:rsidRPr="004E0F3F">
        <w:rPr>
          <w:rFonts w:ascii="CMU Sans Serif Medium" w:hAnsi="CMU Sans Serif Medium" w:cs="CMU Sans Serif Medium"/>
          <w:color w:val="000000"/>
          <w:lang w:val="en-US"/>
        </w:rPr>
        <w:t xml:space="preserve"> </w:t>
      </w:r>
      <w:r w:rsidR="00CA0E5E" w:rsidRPr="004E0F3F">
        <w:rPr>
          <w:rFonts w:ascii="CMU Sans Serif Medium" w:hAnsi="CMU Sans Serif Medium" w:cs="CMU Sans Serif Medium"/>
          <w:color w:val="0000FF"/>
          <w:lang w:val="en-US"/>
        </w:rPr>
        <w:t>2001</w:t>
      </w:r>
      <w:r w:rsidR="00CA0E5E" w:rsidRPr="004E0F3F">
        <w:rPr>
          <w:rFonts w:ascii="CMU Sans Serif Medium" w:hAnsi="CMU Sans Serif Medium" w:cs="CMU Sans Serif Medium"/>
          <w:color w:val="000000"/>
          <w:lang w:val="en-US"/>
        </w:rPr>
        <w:t xml:space="preserve">), the UK in 2002, Italy in 2005/2006. Other European and Non-European countries adopted to various degrees bankruptcy reforms (Table </w:t>
      </w:r>
      <w:r w:rsidR="00CA0E5E" w:rsidRPr="004E0F3F">
        <w:rPr>
          <w:rFonts w:ascii="CMU Sans Serif Medium" w:hAnsi="CMU Sans Serif Medium" w:cs="CMU Sans Serif Medium"/>
          <w:color w:val="0000FF"/>
          <w:lang w:val="en-US"/>
        </w:rPr>
        <w:t>1</w:t>
      </w:r>
      <w:r w:rsidR="00CA0E5E" w:rsidRPr="004E0F3F">
        <w:rPr>
          <w:rFonts w:ascii="CMU Sans Serif Medium" w:hAnsi="CMU Sans Serif Medium" w:cs="CMU Sans Serif Medium"/>
          <w:color w:val="000000"/>
          <w:lang w:val="en-US"/>
        </w:rPr>
        <w:t xml:space="preserve">). A new bankruptcy law drafted in 2004 in Czech Republic may drastically improve the efficiency of financial distress resolution. Brazil introduced a reorganization procedure in 2004 that helps viable enterprises stay alive and gives secured creditors more influence over the process. Serbia also introduced reforms in 2004, setting strict time limits and strengthening accountability standards for bankruptcy administrators. In 2005/2006 fourteen </w:t>
      </w:r>
      <w:proofErr w:type="spellStart"/>
      <w:r w:rsidR="00CA0E5E" w:rsidRPr="004E0F3F">
        <w:rPr>
          <w:rFonts w:ascii="CMU Sans Serif Medium" w:hAnsi="CMU Sans Serif Medium" w:cs="CMU Sans Serif Medium"/>
          <w:color w:val="000000"/>
          <w:lang w:val="en-US"/>
        </w:rPr>
        <w:t>countries5</w:t>
      </w:r>
      <w:proofErr w:type="spellEnd"/>
      <w:r w:rsidR="00CA0E5E" w:rsidRPr="004E0F3F">
        <w:rPr>
          <w:rFonts w:ascii="CMU Sans Serif Medium" w:hAnsi="CMU Sans Serif Medium" w:cs="CMU Sans Serif Medium"/>
          <w:color w:val="000000"/>
          <w:lang w:val="en-US"/>
        </w:rPr>
        <w:t xml:space="preserve"> adopted bankruptcy reforms (forty since 2003); among these, only Peru and Uzbekistan adopted negative reform. Burundi and Micronesia both enacted their first bankruptcy law. France, Italy, Korea and Slovakia adopted reforms that allow </w:t>
      </w:r>
      <w:proofErr w:type="spellStart"/>
      <w:r w:rsidR="00CA0E5E" w:rsidRPr="004E0F3F">
        <w:rPr>
          <w:rFonts w:ascii="CMU Sans Serif Medium" w:hAnsi="CMU Sans Serif Medium" w:cs="CMU Sans Serif Medium"/>
          <w:color w:val="000000"/>
          <w:lang w:val="en-US"/>
        </w:rPr>
        <w:t>preinsolvency</w:t>
      </w:r>
      <w:proofErr w:type="spellEnd"/>
      <w:r w:rsidR="00CA0E5E" w:rsidRPr="004E0F3F">
        <w:rPr>
          <w:rFonts w:ascii="CMU Sans Serif Medium" w:hAnsi="CMU Sans Serif Medium" w:cs="CMU Sans Serif Medium"/>
          <w:color w:val="000000"/>
          <w:lang w:val="en-US"/>
        </w:rPr>
        <w:t xml:space="preserve"> proceedings and make reorganization more attractive; Chile, Latvia, Serbia and Slovakia adopted reforms that improve supervision of administrators. Also Puerto Rico and United States shortened time limits for bankruptcy procedures (World Bank, Doing Business Report </w:t>
      </w:r>
      <w:r w:rsidR="00CA0E5E" w:rsidRPr="004E0F3F">
        <w:rPr>
          <w:rFonts w:ascii="CMU Sans Serif Medium" w:hAnsi="CMU Sans Serif Medium" w:cs="CMU Sans Serif Medium"/>
          <w:color w:val="0000FF"/>
          <w:lang w:val="en-US"/>
        </w:rPr>
        <w:t>2007</w:t>
      </w:r>
      <w:r w:rsidR="00CA0E5E" w:rsidRPr="004E0F3F">
        <w:rPr>
          <w:rFonts w:ascii="CMU Sans Serif Medium" w:hAnsi="CMU Sans Serif Medium" w:cs="CMU Sans Serif Medium"/>
          <w:color w:val="000000"/>
          <w:lang w:val="en-US"/>
        </w:rPr>
        <w:t xml:space="preserve">). Five countries in Eastern Europe and Central Asia (Georgia, Armenia, Hungary, Croatia, Uzbekistan) joined China as top reformers in bankruptcy in 2006/2007 (Table </w:t>
      </w:r>
      <w:r w:rsidR="00CA0E5E" w:rsidRPr="004E0F3F">
        <w:rPr>
          <w:rFonts w:ascii="CMU Sans Serif Medium" w:hAnsi="CMU Sans Serif Medium" w:cs="CMU Sans Serif Medium"/>
          <w:color w:val="0000FF"/>
          <w:lang w:val="en-US"/>
        </w:rPr>
        <w:t>1</w:t>
      </w:r>
      <w:r w:rsidR="00CA0E5E" w:rsidRPr="004E0F3F">
        <w:rPr>
          <w:rFonts w:ascii="CMU Sans Serif Medium" w:hAnsi="CMU Sans Serif Medium" w:cs="CMU Sans Serif Medium"/>
          <w:color w:val="000000"/>
          <w:lang w:val="en-US"/>
        </w:rPr>
        <w:t xml:space="preserve">). Also Italy, Denmark and Portugal improved their bankruptcy systems in 2007 (World Bank, Doing Business Report </w:t>
      </w:r>
      <w:r w:rsidR="00CA0E5E" w:rsidRPr="004E0F3F">
        <w:rPr>
          <w:rFonts w:ascii="CMU Sans Serif Medium" w:hAnsi="CMU Sans Serif Medium" w:cs="CMU Sans Serif Medium"/>
          <w:color w:val="0000FF"/>
          <w:lang w:val="en-US"/>
        </w:rPr>
        <w:t>2008</w:t>
      </w:r>
      <w:r w:rsidR="00CA0E5E" w:rsidRPr="004E0F3F">
        <w:rPr>
          <w:rFonts w:ascii="CMU Sans Serif Medium" w:hAnsi="CMU Sans Serif Medium" w:cs="CMU Sans Serif Medium"/>
          <w:color w:val="000000"/>
          <w:lang w:val="en-US"/>
        </w:rPr>
        <w:t>).</w:t>
      </w:r>
    </w:p>
    <w:p w14:paraId="768848BB" w14:textId="501519D1" w:rsidR="00CF27F4" w:rsidRPr="004E0F3F" w:rsidRDefault="00CF27F4" w:rsidP="00CF27F4">
      <w:pPr>
        <w:rPr>
          <w:rFonts w:ascii="CMU Sans Serif Medium" w:hAnsi="CMU Sans Serif Medium" w:cs="CMU Sans Serif Medium"/>
          <w:lang w:val="en-US"/>
        </w:rPr>
      </w:pPr>
      <w:r w:rsidRPr="004E0F3F">
        <w:rPr>
          <w:rFonts w:ascii="CMU Sans Serif Medium" w:hAnsi="CMU Sans Serif Medium" w:cs="CMU Sans Serif Medium"/>
          <w:lang w:val="en-US"/>
        </w:rPr>
        <w:t xml:space="preserve">to evaluate the efficiency of a bankruptcy system both the liquidation and the reorganization efficiency should be </w:t>
      </w:r>
      <w:proofErr w:type="gramStart"/>
      <w:r w:rsidRPr="004E0F3F">
        <w:rPr>
          <w:rFonts w:ascii="CMU Sans Serif Medium" w:hAnsi="CMU Sans Serif Medium" w:cs="CMU Sans Serif Medium"/>
          <w:lang w:val="en-US"/>
        </w:rPr>
        <w:t>taken into account</w:t>
      </w:r>
      <w:proofErr w:type="gramEnd"/>
      <w:r w:rsidRPr="004E0F3F">
        <w:rPr>
          <w:rFonts w:ascii="CMU Sans Serif Medium" w:hAnsi="CMU Sans Serif Medium" w:cs="CMU Sans Serif Medium"/>
          <w:lang w:val="en-US"/>
        </w:rPr>
        <w:t xml:space="preserve">. Good bankruptcy laws close unviable business and reorganize viable ones thus regulating more efficiently the insolvency proceedings (World Bank, Doing Business Report </w:t>
      </w:r>
      <w:r w:rsidRPr="004E0F3F">
        <w:rPr>
          <w:rFonts w:ascii="CMU Sans Serif Medium" w:hAnsi="CMU Sans Serif Medium" w:cs="CMU Sans Serif Medium"/>
          <w:color w:val="0000FF"/>
          <w:lang w:val="en-US"/>
        </w:rPr>
        <w:t>2007</w:t>
      </w:r>
      <w:r w:rsidRPr="004E0F3F">
        <w:rPr>
          <w:rFonts w:ascii="CMU Sans Serif Medium" w:hAnsi="CMU Sans Serif Medium" w:cs="CMU Sans Serif Medium"/>
          <w:lang w:val="en-US"/>
        </w:rPr>
        <w:t xml:space="preserve">). the analysis actually considers ‘‘closing a business’’ enforcement as proxy for bankruptcy system efficiency since reorganization rates (ratio of the number of firms in a reorganization procedure to the total number of bankrupt firms), as well as success rates (ratio of the number of firms that reorganize successfully to the total number of bankrupt firms), are low around the world. </w:t>
      </w:r>
      <w:proofErr w:type="spellStart"/>
      <w:r w:rsidRPr="004E0F3F">
        <w:rPr>
          <w:rFonts w:ascii="CMU Sans Serif Medium" w:hAnsi="CMU Sans Serif Medium" w:cs="CMU Sans Serif Medium"/>
          <w:lang w:val="en-US"/>
        </w:rPr>
        <w:t>Couwenberg</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2001</w:t>
      </w:r>
      <w:r w:rsidRPr="004E0F3F">
        <w:rPr>
          <w:rFonts w:ascii="CMU Sans Serif Medium" w:hAnsi="CMU Sans Serif Medium" w:cs="CMU Sans Serif Medium"/>
          <w:lang w:val="en-US"/>
        </w:rPr>
        <w:t xml:space="preserve">), the overwhelming majority of the insolvency proceedings around the world concerns liquidation </w:t>
      </w:r>
      <w:proofErr w:type="gramStart"/>
      <w:r w:rsidRPr="004E0F3F">
        <w:rPr>
          <w:rFonts w:ascii="CMU Sans Serif Medium" w:hAnsi="CMU Sans Serif Medium" w:cs="CMU Sans Serif Medium"/>
          <w:lang w:val="en-US"/>
        </w:rPr>
        <w:t>The</w:t>
      </w:r>
      <w:proofErr w:type="gramEnd"/>
      <w:r w:rsidRPr="004E0F3F">
        <w:rPr>
          <w:rFonts w:ascii="CMU Sans Serif Medium" w:hAnsi="CMU Sans Serif Medium" w:cs="CMU Sans Serif Medium"/>
          <w:lang w:val="en-US"/>
        </w:rPr>
        <w:t xml:space="preserve"> efficiency of a bankruptcy system can be evaluated for the three stages of the bankruptcy process (</w:t>
      </w:r>
      <w:proofErr w:type="spellStart"/>
      <w:r w:rsidRPr="004E0F3F">
        <w:rPr>
          <w:rFonts w:ascii="CMU Sans Serif Medium" w:hAnsi="CMU Sans Serif Medium" w:cs="CMU Sans Serif Medium"/>
          <w:lang w:val="en-US"/>
        </w:rPr>
        <w:t>Couwenberg</w:t>
      </w:r>
      <w:proofErr w:type="spellEnd"/>
      <w:r w:rsidRPr="004E0F3F">
        <w:rPr>
          <w:rFonts w:ascii="CMU Sans Serif Medium" w:hAnsi="CMU Sans Serif Medium" w:cs="CMU Sans Serif Medium"/>
          <w:lang w:val="en-US"/>
        </w:rPr>
        <w:t xml:space="preserve"> and de Jong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xml:space="preserve">; Franks et al. </w:t>
      </w:r>
      <w:r w:rsidRPr="004E0F3F">
        <w:rPr>
          <w:rFonts w:ascii="CMU Sans Serif Medium" w:hAnsi="CMU Sans Serif Medium" w:cs="CMU Sans Serif Medium"/>
          <w:color w:val="0000FF"/>
          <w:lang w:val="en-US"/>
        </w:rPr>
        <w:t>1996</w:t>
      </w:r>
      <w:r w:rsidRPr="004E0F3F">
        <w:rPr>
          <w:rFonts w:ascii="CMU Sans Serif Medium" w:hAnsi="CMU Sans Serif Medium" w:cs="CMU Sans Serif Medium"/>
          <w:lang w:val="en-US"/>
        </w:rPr>
        <w:t xml:space="preserve">). The </w:t>
      </w:r>
      <w:proofErr w:type="spellStart"/>
      <w:r w:rsidRPr="004E0F3F">
        <w:rPr>
          <w:rFonts w:ascii="CMU Sans Serif Medium" w:hAnsi="CMU Sans Serif Medium" w:cs="CMU Sans Serif Medium"/>
          <w:lang w:val="en-US"/>
        </w:rPr>
        <w:t>ex ante</w:t>
      </w:r>
      <w:proofErr w:type="spellEnd"/>
      <w:r w:rsidRPr="004E0F3F">
        <w:rPr>
          <w:rFonts w:ascii="CMU Sans Serif Medium" w:hAnsi="CMU Sans Serif Medium" w:cs="CMU Sans Serif Medium"/>
          <w:lang w:val="en-US"/>
        </w:rPr>
        <w:t xml:space="preserve"> efficiency (first stage) aims to provide incentives for entrepreneurs to limit the usage of the legal procedures for bankruptcy. The interim efficiency (second stage) takes place during the financial distress, when the bankruptcy procedure is tainted by conflicts of interest of participants. The ex post efficiency (third stage) is achieved if all creditors and other parties receive the highest payouts in accordance with contractual rights. Therefore, efficiency arise when bankruptcy process costs are low, recovery rates are high and distribution are driven by priority rules. Since several difficulties arise in the study of the first and the second stages of the bankruptcy process, this study focuses attention on the third phase of the bankruptcy process that can be </w:t>
      </w:r>
      <w:proofErr w:type="spellStart"/>
      <w:r w:rsidRPr="004E0F3F">
        <w:rPr>
          <w:rFonts w:ascii="CMU Sans Serif Medium" w:hAnsi="CMU Sans Serif Medium" w:cs="CMU Sans Serif Medium"/>
          <w:lang w:val="en-US"/>
        </w:rPr>
        <w:t>analysed</w:t>
      </w:r>
      <w:proofErr w:type="spellEnd"/>
      <w:r w:rsidRPr="004E0F3F">
        <w:rPr>
          <w:rFonts w:ascii="CMU Sans Serif Medium" w:hAnsi="CMU Sans Serif Medium" w:cs="CMU Sans Serif Medium"/>
          <w:lang w:val="en-US"/>
        </w:rPr>
        <w:t xml:space="preserve"> by considering specific efficiency proxies.</w:t>
      </w:r>
    </w:p>
    <w:p w14:paraId="07FB0053" w14:textId="77777777" w:rsidR="00CF27F4" w:rsidRPr="004E0F3F" w:rsidRDefault="00CF27F4" w:rsidP="00B56F50">
      <w:pPr>
        <w:ind w:left="360"/>
        <w:rPr>
          <w:rFonts w:ascii="CMU Sans Serif Medium" w:hAnsi="CMU Sans Serif Medium" w:cs="CMU Sans Serif Medium"/>
          <w:lang w:val="en-US"/>
        </w:rPr>
      </w:pPr>
    </w:p>
    <w:p w14:paraId="422F81CA" w14:textId="77777777" w:rsidR="00CF27F4" w:rsidRPr="004E0F3F" w:rsidRDefault="00CF27F4" w:rsidP="00B56F50">
      <w:pPr>
        <w:ind w:left="360"/>
        <w:rPr>
          <w:rFonts w:ascii="CMU Sans Serif Medium" w:hAnsi="CMU Sans Serif Medium" w:cs="CMU Sans Serif Medium"/>
          <w:lang w:val="en-US"/>
        </w:rPr>
      </w:pPr>
    </w:p>
    <w:p w14:paraId="426F3FBA" w14:textId="3392F70E" w:rsidR="00275C19" w:rsidRPr="004E0F3F" w:rsidRDefault="00275C19" w:rsidP="00B56F50">
      <w:pPr>
        <w:ind w:left="360"/>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Korol2019</w:t>
      </w:r>
      <w:proofErr w:type="spellEnd"/>
    </w:p>
    <w:p w14:paraId="281C914E" w14:textId="77777777" w:rsidR="00CF27F4" w:rsidRPr="004E0F3F" w:rsidRDefault="00CF27F4" w:rsidP="00B56F50">
      <w:pPr>
        <w:ind w:left="360"/>
        <w:rPr>
          <w:rFonts w:ascii="CMU Sans Serif Medium" w:hAnsi="CMU Sans Serif Medium" w:cs="CMU Sans Serif Medium"/>
          <w:lang w:val="en-US"/>
        </w:rPr>
      </w:pPr>
    </w:p>
    <w:p w14:paraId="7513EBC4" w14:textId="77777777" w:rsidR="00275C19" w:rsidRPr="004E0F3F" w:rsidRDefault="00275C19" w:rsidP="00B56F50">
      <w:pPr>
        <w:rPr>
          <w:rFonts w:ascii="CMU Sans Serif Medium" w:hAnsi="CMU Sans Serif Medium" w:cs="CMU Sans Serif Medium"/>
        </w:rPr>
      </w:pPr>
      <w:r w:rsidRPr="004E0F3F">
        <w:rPr>
          <w:rFonts w:ascii="CMU Sans Serif Medium" w:hAnsi="CMU Sans Serif Medium" w:cs="CMU Sans Serif Medium"/>
        </w:rPr>
        <w:t xml:space="preserve">Though the first law on bankruptcy was already written in 1542 in England during the reign of King Henry VIII, the first studies on forecasting bankruptcies took place in the </w:t>
      </w:r>
      <w:proofErr w:type="spellStart"/>
      <w:r w:rsidRPr="004E0F3F">
        <w:rPr>
          <w:rFonts w:ascii="CMU Sans Serif Medium" w:hAnsi="CMU Sans Serif Medium" w:cs="CMU Sans Serif Medium"/>
        </w:rPr>
        <w:t>1960s</w:t>
      </w:r>
      <w:proofErr w:type="spellEnd"/>
      <w:r w:rsidRPr="004E0F3F">
        <w:rPr>
          <w:rFonts w:ascii="CMU Sans Serif Medium" w:hAnsi="CMU Sans Serif Medium" w:cs="CMU Sans Serif Medium"/>
        </w:rPr>
        <w:t>, started by </w:t>
      </w:r>
      <w:hyperlink r:id="rId7" w:anchor="B13-jrfm-12-00185" w:history="1">
        <w:r w:rsidRPr="004E0F3F">
          <w:rPr>
            <w:rFonts w:ascii="CMU Sans Serif Medium" w:hAnsi="CMU Sans Serif Medium" w:cs="CMU Sans Serif Medium"/>
          </w:rPr>
          <w:t>Beaver</w:t>
        </w:r>
      </w:hyperlink>
      <w:r w:rsidRPr="004E0F3F">
        <w:rPr>
          <w:rFonts w:ascii="CMU Sans Serif Medium" w:hAnsi="CMU Sans Serif Medium" w:cs="CMU Sans Serif Medium"/>
        </w:rPr>
        <w:t> (</w:t>
      </w:r>
      <w:hyperlink r:id="rId8" w:anchor="B13-jrfm-12-00185" w:history="1">
        <w:r w:rsidRPr="004E0F3F">
          <w:rPr>
            <w:rFonts w:ascii="CMU Sans Serif Medium" w:hAnsi="CMU Sans Serif Medium" w:cs="CMU Sans Serif Medium"/>
          </w:rPr>
          <w:t>1966</w:t>
        </w:r>
      </w:hyperlink>
      <w:r w:rsidRPr="004E0F3F">
        <w:rPr>
          <w:rFonts w:ascii="CMU Sans Serif Medium" w:hAnsi="CMU Sans Serif Medium" w:cs="CMU Sans Serif Medium"/>
        </w:rPr>
        <w:t>) and </w:t>
      </w:r>
      <w:hyperlink r:id="rId9" w:anchor="B5-jrfm-12-00185" w:history="1">
        <w:r w:rsidRPr="004E0F3F">
          <w:rPr>
            <w:rFonts w:ascii="CMU Sans Serif Medium" w:hAnsi="CMU Sans Serif Medium" w:cs="CMU Sans Serif Medium"/>
          </w:rPr>
          <w:t>Altman</w:t>
        </w:r>
      </w:hyperlink>
      <w:r w:rsidRPr="004E0F3F">
        <w:rPr>
          <w:rFonts w:ascii="CMU Sans Serif Medium" w:hAnsi="CMU Sans Serif Medium" w:cs="CMU Sans Serif Medium"/>
        </w:rPr>
        <w:t> (</w:t>
      </w:r>
      <w:hyperlink r:id="rId10" w:anchor="B5-jrfm-12-00185" w:history="1">
        <w:r w:rsidRPr="004E0F3F">
          <w:rPr>
            <w:rFonts w:ascii="CMU Sans Serif Medium" w:hAnsi="CMU Sans Serif Medium" w:cs="CMU Sans Serif Medium"/>
          </w:rPr>
          <w:t>1968</w:t>
        </w:r>
      </w:hyperlink>
      <w:r w:rsidRPr="004E0F3F">
        <w:rPr>
          <w:rFonts w:ascii="CMU Sans Serif Medium" w:hAnsi="CMU Sans Serif Medium" w:cs="CMU Sans Serif Medium"/>
        </w:rPr>
        <w:t>). There are two main distinct strands of models that have been used to predict bankruptcy—statistical and artificial intelligence models.</w:t>
      </w:r>
    </w:p>
    <w:p w14:paraId="2C3AE557" w14:textId="2A31FAE5" w:rsidR="00EB5F3F" w:rsidRPr="004E0F3F" w:rsidRDefault="00275C19" w:rsidP="00B56F50">
      <w:pPr>
        <w:rPr>
          <w:rFonts w:ascii="CMU Sans Serif Medium" w:hAnsi="CMU Sans Serif Medium" w:cs="CMU Sans Serif Medium"/>
        </w:rPr>
      </w:pPr>
      <w:r w:rsidRPr="004E0F3F">
        <w:rPr>
          <w:rFonts w:ascii="CMU Sans Serif Medium" w:hAnsi="CMU Sans Serif Medium" w:cs="CMU Sans Serif Medium"/>
        </w:rPr>
        <w:t>Since the estimation of the pioneering model of multivariate discriminant analysis by Altman, numerous research studies have been carried out with the use of a wide variety of statistical methods (e.g.,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Alaka</w:t>
      </w:r>
      <w:proofErr w:type="spellEnd"/>
      <w:r w:rsidRPr="004E0F3F">
        <w:rPr>
          <w:rFonts w:ascii="CMU Sans Serif Medium" w:hAnsi="CMU Sans Serif Medium" w:cs="CMU Sans Serif Medium"/>
        </w:rPr>
        <w:t xml:space="preserve"> et al. 2018</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1" w:anchor="B11-jrfm-12-00185" w:history="1">
        <w:r w:rsidRPr="004E0F3F">
          <w:rPr>
            <w:rFonts w:ascii="CMU Sans Serif Medium" w:hAnsi="CMU Sans Serif Medium" w:cs="CMU Sans Serif Medium"/>
          </w:rPr>
          <w:t>Bandyopadhyay 2006</w:t>
        </w:r>
      </w:hyperlink>
      <w:r w:rsidRPr="004E0F3F">
        <w:rPr>
          <w:rFonts w:ascii="CMU Sans Serif Medium" w:hAnsi="CMU Sans Serif Medium" w:cs="CMU Sans Serif Medium"/>
        </w:rPr>
        <w:t>; </w:t>
      </w:r>
      <w:hyperlink r:id="rId12" w:anchor="B12-jrfm-12-00185" w:history="1">
        <w:r w:rsidRPr="004E0F3F">
          <w:rPr>
            <w:rFonts w:ascii="CMU Sans Serif Medium" w:hAnsi="CMU Sans Serif Medium" w:cs="CMU Sans Serif Medium"/>
          </w:rPr>
          <w:t>Barboza et al. 2017</w:t>
        </w:r>
      </w:hyperlink>
      <w:r w:rsidRPr="004E0F3F">
        <w:rPr>
          <w:rFonts w:ascii="CMU Sans Serif Medium" w:hAnsi="CMU Sans Serif Medium" w:cs="CMU Sans Serif Medium"/>
        </w:rPr>
        <w:t>; </w:t>
      </w:r>
      <w:proofErr w:type="spellStart"/>
      <w:r w:rsidR="00555E92" w:rsidRPr="004E0F3F">
        <w:rPr>
          <w:rFonts w:ascii="CMU Sans Serif Medium" w:hAnsi="CMU Sans Serif Medium" w:cs="CMU Sans Serif Medium"/>
        </w:rPr>
        <w:fldChar w:fldCharType="begin"/>
      </w:r>
      <w:r w:rsidR="00555E92" w:rsidRPr="004E0F3F">
        <w:rPr>
          <w:rFonts w:ascii="CMU Sans Serif Medium" w:hAnsi="CMU Sans Serif Medium" w:cs="CMU Sans Serif Medium"/>
        </w:rPr>
        <w:instrText xml:space="preserve"> HYPERLINK "https://www.mdpi.com/1911-8074/12/4/185" \l "B23-jrfm-12-00185" </w:instrText>
      </w:r>
      <w:r w:rsidR="00555E92" w:rsidRPr="004E0F3F">
        <w:rPr>
          <w:rFonts w:ascii="CMU Sans Serif Medium" w:hAnsi="CMU Sans Serif Medium" w:cs="CMU Sans Serif Medium"/>
        </w:rPr>
        <w:fldChar w:fldCharType="separate"/>
      </w:r>
      <w:r w:rsidRPr="004E0F3F">
        <w:rPr>
          <w:rFonts w:ascii="CMU Sans Serif Medium" w:hAnsi="CMU Sans Serif Medium" w:cs="CMU Sans Serif Medium"/>
        </w:rPr>
        <w:t>Delen</w:t>
      </w:r>
      <w:proofErr w:type="spellEnd"/>
      <w:r w:rsidRPr="004E0F3F">
        <w:rPr>
          <w:rFonts w:ascii="CMU Sans Serif Medium" w:hAnsi="CMU Sans Serif Medium" w:cs="CMU Sans Serif Medium"/>
        </w:rPr>
        <w:t xml:space="preserve"> et al. 2013</w:t>
      </w:r>
      <w:r w:rsidR="00555E92"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3" w:anchor="B30-jrfm-12-00185" w:history="1">
        <w:r w:rsidRPr="004E0F3F">
          <w:rPr>
            <w:rFonts w:ascii="CMU Sans Serif Medium" w:hAnsi="CMU Sans Serif Medium" w:cs="CMU Sans Serif Medium"/>
          </w:rPr>
          <w:t xml:space="preserve">Giannopoulos and </w:t>
        </w:r>
        <w:proofErr w:type="spellStart"/>
        <w:r w:rsidRPr="004E0F3F">
          <w:rPr>
            <w:rFonts w:ascii="CMU Sans Serif Medium" w:hAnsi="CMU Sans Serif Medium" w:cs="CMU Sans Serif Medium"/>
          </w:rPr>
          <w:t>Sigbjornsen</w:t>
        </w:r>
        <w:proofErr w:type="spellEnd"/>
        <w:r w:rsidRPr="004E0F3F">
          <w:rPr>
            <w:rFonts w:ascii="CMU Sans Serif Medium" w:hAnsi="CMU Sans Serif Medium" w:cs="CMU Sans Serif Medium"/>
          </w:rPr>
          <w:t xml:space="preserve"> 2019</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"B32-jrfm-12-00185"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Ho</w:t>
      </w:r>
      <w:proofErr w:type="spellEnd"/>
      <w:r w:rsidRPr="004E0F3F">
        <w:rPr>
          <w:rFonts w:ascii="CMU Sans Serif Medium" w:hAnsi="CMU Sans Serif Medium" w:cs="CMU Sans Serif Medium"/>
        </w:rPr>
        <w:t xml:space="preserve"> et al.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4" w:anchor="B34-jrfm-12-00185" w:history="1">
        <w:r w:rsidRPr="004E0F3F">
          <w:rPr>
            <w:rFonts w:ascii="CMU Sans Serif Medium" w:hAnsi="CMU Sans Serif Medium" w:cs="CMU Sans Serif Medium"/>
          </w:rPr>
          <w:t>Hosmer et al. 2013</w:t>
        </w:r>
      </w:hyperlink>
      <w:r w:rsidRPr="004E0F3F">
        <w:rPr>
          <w:rFonts w:ascii="CMU Sans Serif Medium" w:hAnsi="CMU Sans Serif Medium" w:cs="CMU Sans Serif Medium"/>
        </w:rPr>
        <w:t>; </w:t>
      </w:r>
      <w:hyperlink r:id="rId15" w:anchor="B35-jrfm-12-00185" w:history="1">
        <w:r w:rsidRPr="004E0F3F">
          <w:rPr>
            <w:rFonts w:ascii="CMU Sans Serif Medium" w:hAnsi="CMU Sans Serif Medium" w:cs="CMU Sans Serif Medium"/>
          </w:rPr>
          <w:t>Jackson and Wood 2013</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"B43-jrfm-12-00185"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Kieschnick</w:t>
      </w:r>
      <w:proofErr w:type="spellEnd"/>
      <w:r w:rsidRPr="004E0F3F">
        <w:rPr>
          <w:rFonts w:ascii="CMU Sans Serif Medium" w:hAnsi="CMU Sans Serif Medium" w:cs="CMU Sans Serif Medium"/>
        </w:rPr>
        <w:t xml:space="preserve"> et al.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6" w:anchor="B45-jrfm-12-00185" w:history="1">
        <w:r w:rsidRPr="004E0F3F">
          <w:rPr>
            <w:rFonts w:ascii="CMU Sans Serif Medium" w:hAnsi="CMU Sans Serif Medium" w:cs="CMU Sans Serif Medium"/>
          </w:rPr>
          <w:t>Kumar and Ravi 2007</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"B46-jrfm-12-00185"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Laitinen</w:t>
      </w:r>
      <w:proofErr w:type="spellEnd"/>
      <w:r w:rsidRPr="004E0F3F">
        <w:rPr>
          <w:rFonts w:ascii="CMU Sans Serif Medium" w:hAnsi="CMU Sans Serif Medium" w:cs="CMU Sans Serif Medium"/>
        </w:rPr>
        <w:t xml:space="preserve"> 2007</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"B51-jrfm-12-00185"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Lukason</w:t>
      </w:r>
      <w:proofErr w:type="spellEnd"/>
      <w:r w:rsidRPr="004E0F3F">
        <w:rPr>
          <w:rFonts w:ascii="CMU Sans Serif Medium" w:hAnsi="CMU Sans Serif Medium" w:cs="CMU Sans Serif Medium"/>
        </w:rPr>
        <w:t xml:space="preserve"> and Hoffman 2014</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"B52-jrfm-12-00185"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Lyandres</w:t>
      </w:r>
      <w:proofErr w:type="spellEnd"/>
      <w:r w:rsidRPr="004E0F3F">
        <w:rPr>
          <w:rFonts w:ascii="CMU Sans Serif Medium" w:hAnsi="CMU Sans Serif Medium" w:cs="CMU Sans Serif Medium"/>
        </w:rPr>
        <w:t xml:space="preserve"> and Zhdanov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"B55-jrfm-12-00185"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Mihalovic</w:t>
      </w:r>
      <w:proofErr w:type="spellEnd"/>
      <w:r w:rsidRPr="004E0F3F">
        <w:rPr>
          <w:rFonts w:ascii="CMU Sans Serif Medium" w:hAnsi="CMU Sans Serif Medium" w:cs="CMU Sans Serif Medium"/>
        </w:rPr>
        <w:t xml:space="preserve"> 2016</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"B58-jrfm-12-00185"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Orsenigo</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Vercellis</w:t>
      </w:r>
      <w:proofErr w:type="spellEnd"/>
      <w:r w:rsidRPr="004E0F3F">
        <w:rPr>
          <w:rFonts w:ascii="CMU Sans Serif Medium" w:hAnsi="CMU Sans Serif Medium" w:cs="CMU Sans Serif Medium"/>
        </w:rPr>
        <w:t xml:space="preserve">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"B60-jrfm-12-00185"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Psillaki</w:t>
      </w:r>
      <w:proofErr w:type="spellEnd"/>
      <w:r w:rsidRPr="004E0F3F">
        <w:rPr>
          <w:rFonts w:ascii="CMU Sans Serif Medium" w:hAnsi="CMU Sans Serif Medium" w:cs="CMU Sans Serif Medium"/>
        </w:rPr>
        <w:t xml:space="preserve"> et al. 2010</w:t>
      </w:r>
      <w:r w:rsidRPr="004E0F3F">
        <w:rPr>
          <w:rFonts w:ascii="CMU Sans Serif Medium" w:hAnsi="CMU Sans Serif Medium" w:cs="CMU Sans Serif Medium"/>
        </w:rPr>
        <w:fldChar w:fldCharType="end"/>
      </w:r>
      <w:r w:rsidRPr="004E0F3F">
        <w:rPr>
          <w:rFonts w:ascii="CMU Sans Serif Medium" w:hAnsi="CMU Sans Serif Medium" w:cs="CMU Sans Serif Medium"/>
        </w:rPr>
        <w:t>). The most popular statistical techniques as noted by </w:t>
      </w:r>
      <w:proofErr w:type="spellStart"/>
      <w:r w:rsidR="00555E92" w:rsidRPr="004E0F3F">
        <w:rPr>
          <w:rFonts w:ascii="CMU Sans Serif Medium" w:hAnsi="CMU Sans Serif Medium" w:cs="CMU Sans Serif Medium"/>
        </w:rPr>
        <w:fldChar w:fldCharType="begin"/>
      </w:r>
      <w:r w:rsidR="00555E92" w:rsidRPr="004E0F3F">
        <w:rPr>
          <w:rFonts w:ascii="CMU Sans Serif Medium" w:hAnsi="CMU Sans Serif Medium" w:cs="CMU Sans Serif Medium"/>
        </w:rPr>
        <w:instrText xml:space="preserve"> HYPERLINK "https://www.mdpi.com/1911-8074/12/4/185" \l "B10-jrfm-12-00185" </w:instrText>
      </w:r>
      <w:r w:rsidR="00555E92" w:rsidRPr="004E0F3F">
        <w:rPr>
          <w:rFonts w:ascii="CMU Sans Serif Medium" w:hAnsi="CMU Sans Serif Medium" w:cs="CMU Sans Serif Medium"/>
        </w:rPr>
        <w:fldChar w:fldCharType="separate"/>
      </w:r>
      <w:r w:rsidRPr="004E0F3F">
        <w:rPr>
          <w:rFonts w:ascii="CMU Sans Serif Medium" w:hAnsi="CMU Sans Serif Medium" w:cs="CMU Sans Serif Medium"/>
        </w:rPr>
        <w:t>Balcaen</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Ooghe</w:t>
      </w:r>
      <w:proofErr w:type="spellEnd"/>
      <w:r w:rsidR="00555E92"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7" w:anchor="B10-jrfm-12-00185" w:history="1">
        <w:r w:rsidRPr="004E0F3F">
          <w:rPr>
            <w:rFonts w:ascii="CMU Sans Serif Medium" w:hAnsi="CMU Sans Serif Medium" w:cs="CMU Sans Serif Medium"/>
          </w:rPr>
          <w:t>2006</w:t>
        </w:r>
      </w:hyperlink>
      <w:r w:rsidRPr="004E0F3F">
        <w:rPr>
          <w:rFonts w:ascii="CMU Sans Serif Medium" w:hAnsi="CMU Sans Serif Medium" w:cs="CMU Sans Serif Medium"/>
        </w:rPr>
        <w:t>) are multivariate discriminant analysis and logistic regression models.</w:t>
      </w:r>
    </w:p>
    <w:p w14:paraId="5A72DFCF" w14:textId="77777777" w:rsidR="00CF27F4" w:rsidRPr="004E0F3F" w:rsidRDefault="00CF27F4" w:rsidP="00B56F50">
      <w:pPr>
        <w:rPr>
          <w:rFonts w:ascii="CMU Sans Serif Medium" w:hAnsi="CMU Sans Serif Medium" w:cs="CMU Sans Serif Medium"/>
        </w:rPr>
      </w:pPr>
    </w:p>
    <w:p w14:paraId="215D1276" w14:textId="6CA191F7" w:rsidR="00EB5F3F" w:rsidRPr="004E0F3F" w:rsidRDefault="00EB5F3F" w:rsidP="00B56F50">
      <w:pPr>
        <w:rPr>
          <w:rFonts w:ascii="CMU Sans Serif Medium" w:hAnsi="CMU Sans Serif Medium" w:cs="CMU Sans Serif Medium"/>
        </w:rPr>
      </w:pPr>
      <w:proofErr w:type="spellStart"/>
      <w:r w:rsidRPr="004E0F3F">
        <w:rPr>
          <w:rFonts w:ascii="CMU Sans Serif Medium" w:hAnsi="CMU Sans Serif Medium" w:cs="CMU Sans Serif Medium"/>
        </w:rPr>
        <w:t>Cressy2006</w:t>
      </w:r>
      <w:proofErr w:type="spellEnd"/>
    </w:p>
    <w:p w14:paraId="309ECECC" w14:textId="77777777" w:rsidR="00CF27F4" w:rsidRPr="004E0F3F" w:rsidRDefault="00CF27F4" w:rsidP="00B56F50">
      <w:pPr>
        <w:rPr>
          <w:rFonts w:ascii="CMU Sans Serif Medium" w:hAnsi="CMU Sans Serif Medium" w:cs="CMU Sans Serif Medium"/>
        </w:rPr>
      </w:pPr>
    </w:p>
    <w:p w14:paraId="559EDC8A" w14:textId="0400E005" w:rsidR="00EB5F3F" w:rsidRPr="004E0F3F" w:rsidRDefault="00EB5F3F" w:rsidP="00B56F50">
      <w:pPr>
        <w:rPr>
          <w:rFonts w:ascii="CMU Sans Serif Medium" w:hAnsi="CMU Sans Serif Medium" w:cs="CMU Sans Serif Medium"/>
        </w:rPr>
      </w:pPr>
      <w:r w:rsidRPr="004E0F3F">
        <w:rPr>
          <w:rFonts w:ascii="CMU Sans Serif Medium" w:hAnsi="CMU Sans Serif Medium" w:cs="CMU Sans Serif Medium"/>
        </w:rPr>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IBC Code 2016</w:t>
      </w:r>
    </w:p>
    <w:p w14:paraId="7C69D499" w14:textId="77777777"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Preamble: An Act to consolidate and amend the laws relating to reorganisation and insolvency</w:t>
      </w:r>
    </w:p>
    <w:p w14:paraId="030DDD68" w14:textId="77777777"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resolution of corporate persons, partnership firms and individuals in a time</w:t>
      </w:r>
    </w:p>
    <w:p w14:paraId="5B190248" w14:textId="45F3A0F1"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bound manner for maximisation of value of assets of such persons</w:t>
      </w:r>
    </w:p>
    <w:p w14:paraId="06A6DCF2" w14:textId="77777777" w:rsidR="00F26E5E" w:rsidRPr="004E0F3F" w:rsidRDefault="00F26E5E" w:rsidP="00B56F50">
      <w:pPr>
        <w:rPr>
          <w:rFonts w:ascii="CMU Sans Serif Medium" w:hAnsi="CMU Sans Serif Medium" w:cs="CMU Sans Serif Medium"/>
        </w:rPr>
      </w:pPr>
      <w:r w:rsidRPr="004E0F3F">
        <w:rPr>
          <w:rFonts w:ascii="CMU Sans Serif Medium" w:hAnsi="CMU Sans Serif Medium" w:cs="CMU Sans Serif Medium"/>
        </w:rPr>
        <w:t>4. (1) This Part shall apply to matters relating to the insolvency and liquidation of</w:t>
      </w:r>
    </w:p>
    <w:p w14:paraId="6A64FD17" w14:textId="4A76ED94" w:rsidR="00FF1294" w:rsidRPr="004E0F3F" w:rsidRDefault="00F26E5E" w:rsidP="00B56F50">
      <w:pPr>
        <w:rPr>
          <w:rFonts w:ascii="CMU Sans Serif Medium" w:hAnsi="CMU Sans Serif Medium" w:cs="CMU Sans Serif Medium"/>
        </w:rPr>
      </w:pPr>
      <w:r w:rsidRPr="004E0F3F">
        <w:rPr>
          <w:rFonts w:ascii="CMU Sans Serif Medium" w:hAnsi="CMU Sans Serif Medium" w:cs="CMU Sans Serif Medium"/>
        </w:rPr>
        <w:t>corporate debtors where the minimum amount of the default is one lakh rupees:</w:t>
      </w:r>
    </w:p>
    <w:p w14:paraId="47EDB414" w14:textId="77777777" w:rsidR="00FF1294" w:rsidRPr="004E0F3F" w:rsidRDefault="00FF1294" w:rsidP="00B56F50">
      <w:pPr>
        <w:rPr>
          <w:rFonts w:ascii="CMU Sans Serif Medium" w:hAnsi="CMU Sans Serif Medium" w:cs="CMU Sans Serif Medium"/>
        </w:rPr>
      </w:pPr>
      <w:r w:rsidRPr="004E0F3F">
        <w:rPr>
          <w:rFonts w:ascii="CMU Sans Serif Medium" w:hAnsi="CMU Sans Serif Medium" w:cs="CMU Sans Serif Medium"/>
        </w:rPr>
        <w:t>&lt;&lt;On the increased provisioning, Bhattacharya said, “… In all of these accounts we have pretty large provisions. So yes, we have to make a little more but it should not very badly impact the numbers.” She added that in case a new buyer bids to buy one of the loans, the declared provisions would reduce the value of the asset.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4E0F3F" w:rsidRDefault="004805F8" w:rsidP="00B56F50">
      <w:pPr>
        <w:pStyle w:val="ListParagraph"/>
        <w:numPr>
          <w:ilvl w:val="0"/>
          <w:numId w:val="3"/>
        </w:numPr>
        <w:rPr>
          <w:rFonts w:ascii="CMU Sans Serif Medium" w:hAnsi="CMU Sans Serif Medium" w:cs="CMU Sans Serif Medium"/>
          <w:sz w:val="24"/>
        </w:rPr>
      </w:pPr>
      <w:hyperlink r:id="rId18" w:history="1">
        <w:r w:rsidR="00FF1294" w:rsidRPr="004E0F3F">
          <w:rPr>
            <w:rStyle w:val="Hyperlink"/>
            <w:rFonts w:ascii="CMU Sans Serif Medium" w:hAnsi="CMU Sans Serif Medium" w:cs="CMU Sans Serif Medium"/>
            <w:sz w:val="24"/>
          </w:rPr>
          <w:t>https://www.moneycontrol.com/news/business/economy/sbi-takes-3-of-the-12-accounts-to-bankruptcy-court-for-resolution-2313215.html</w:t>
        </w:r>
      </w:hyperlink>
    </w:p>
    <w:p w14:paraId="46183B0E" w14:textId="384B889F" w:rsidR="002A3C30" w:rsidRPr="004E0F3F" w:rsidRDefault="002A3C30" w:rsidP="00B56F50">
      <w:pPr>
        <w:rPr>
          <w:rFonts w:ascii="CMU Sans Serif Medium" w:hAnsi="CMU Sans Serif Medium" w:cs="CMU Sans Serif Medium"/>
        </w:rPr>
      </w:pPr>
      <w:proofErr w:type="spellStart"/>
      <w:r w:rsidRPr="004E0F3F">
        <w:rPr>
          <w:rFonts w:ascii="CMU Sans Serif Medium" w:hAnsi="CMU Sans Serif Medium" w:cs="CMU Sans Serif Medium"/>
        </w:rPr>
        <w:t>Mokal2005</w:t>
      </w:r>
      <w:proofErr w:type="spellEnd"/>
    </w:p>
    <w:p w14:paraId="61DE7520" w14:textId="0308EA57" w:rsidR="002A3C30" w:rsidRPr="004E0F3F" w:rsidRDefault="002A3C30" w:rsidP="00B56F50">
      <w:pPr>
        <w:rPr>
          <w:rFonts w:ascii="CMU Sans Serif Medium" w:hAnsi="CMU Sans Serif Medium" w:cs="CMU Sans Serif Medium"/>
        </w:rPr>
      </w:pPr>
      <w:r w:rsidRPr="004E0F3F">
        <w:rPr>
          <w:rFonts w:ascii="CMU Sans Serif Medium" w:hAnsi="CMU Sans Serif Medium" w:cs="CMU Sans Serif Medium"/>
          <w:highlight w:val="lightGray"/>
        </w:rPr>
        <w:t>a rational scheme of fair co-operation would not tolerate waste.</w:t>
      </w:r>
      <w:r w:rsidRPr="004E0F3F">
        <w:rPr>
          <w:rFonts w:ascii="CMU Sans Serif Medium" w:hAnsi="CMU Sans Serif Medium" w:cs="CMU Sans Serif Medium"/>
        </w:rPr>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4E0F3F">
        <w:rPr>
          <w:rFonts w:ascii="CMU Sans Serif Medium" w:hAnsi="CMU Sans Serif Medium" w:cs="CMU Sans Serif Medium"/>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sidRPr="004E0F3F">
        <w:rPr>
          <w:rFonts w:ascii="CMU Sans Serif Medium" w:hAnsi="CMU Sans Serif Medium" w:cs="CMU Sans Serif Medium"/>
          <w:highlight w:val="lightGray"/>
        </w:rPr>
        <w:t>als.</w:t>
      </w:r>
    </w:p>
    <w:p w14:paraId="1043C751" w14:textId="0AF703B0" w:rsidR="00FF1294"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IMF</w:t>
      </w:r>
      <w:r w:rsidR="00555E92" w:rsidRPr="004E0F3F">
        <w:rPr>
          <w:rFonts w:ascii="CMU Sans Serif Medium" w:hAnsi="CMU Sans Serif Medium" w:cs="CMU Sans Serif Medium"/>
        </w:rPr>
        <w:t>1999</w:t>
      </w:r>
    </w:p>
    <w:p w14:paraId="5E2F869A" w14:textId="6D281410" w:rsidR="00F618A7" w:rsidRPr="004E0F3F" w:rsidRDefault="00F618A7" w:rsidP="00B56F50">
      <w:pPr>
        <w:rPr>
          <w:rFonts w:ascii="CMU Sans Serif Medium" w:hAnsi="CMU Sans Serif Medium" w:cs="CMU Sans Serif Medium"/>
          <w:highlight w:val="lightGray"/>
        </w:rPr>
      </w:pPr>
      <w:r w:rsidRPr="004E0F3F">
        <w:rPr>
          <w:rFonts w:ascii="CMU Sans Serif Medium" w:hAnsi="CMU Sans Serif Medium" w:cs="CMU Sans Serif Medium"/>
          <w:lang w:val="en-US"/>
        </w:rPr>
        <w:t xml:space="preserve">The first overall objective is the allocation of risk among participants in a market economy in a predictable, equitable, and transparent manner. </w:t>
      </w:r>
      <w:r w:rsidRPr="004E0F3F">
        <w:rPr>
          <w:rFonts w:ascii="CMU Sans Serif Medium" w:hAnsi="CMU Sans Serif Medium" w:cs="CMU Sans Serif Medium"/>
        </w:rPr>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Pr="004E0F3F" w:rsidRDefault="00F55C36" w:rsidP="00B56F50">
      <w:pPr>
        <w:rPr>
          <w:rFonts w:ascii="CMU Sans Serif Medium" w:hAnsi="CMU Sans Serif Medium" w:cs="CMU Sans Serif Medium"/>
        </w:rPr>
      </w:pPr>
      <w:r w:rsidRPr="004E0F3F">
        <w:rPr>
          <w:rFonts w:ascii="CMU Sans Serif Medium" w:hAnsi="CMU Sans Serif Medium" w:cs="CMU Sans Serif Medium"/>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4E0F3F">
        <w:rPr>
          <w:rFonts w:ascii="CMU Sans Serif Medium" w:hAnsi="CMU Sans Serif Medium" w:cs="CMU Sans Serif Medium"/>
          <w:highlight w:val="lightGray"/>
        </w:rPr>
        <w:t>fulfillment</w:t>
      </w:r>
      <w:proofErr w:type="spellEnd"/>
      <w:r w:rsidRPr="004E0F3F">
        <w:rPr>
          <w:rFonts w:ascii="CMU Sans Serif Medium" w:hAnsi="CMU Sans Serif Medium" w:cs="CMU Sans Serif Medium"/>
          <w:highlight w:val="lightGray"/>
        </w:rPr>
        <w:t xml:space="preserve"> of the objective of equitable risk allocation.</w:t>
      </w:r>
      <w:r w:rsidRPr="004E0F3F">
        <w:rPr>
          <w:rFonts w:ascii="CMU Sans Serif Medium" w:hAnsi="CMU Sans Serif Medium" w:cs="CMU Sans Serif Medium"/>
        </w:rPr>
        <w:t xml:space="preserve"> </w:t>
      </w:r>
    </w:p>
    <w:p w14:paraId="10C2035C" w14:textId="408B621C" w:rsidR="00C03FE5" w:rsidRPr="004E0F3F" w:rsidRDefault="00C03FE5" w:rsidP="00B56F50">
      <w:pPr>
        <w:rPr>
          <w:rFonts w:ascii="CMU Sans Serif Medium" w:hAnsi="CMU Sans Serif Medium" w:cs="CMU Sans Serif Medium"/>
        </w:rPr>
      </w:pPr>
      <w:r w:rsidRPr="004E0F3F">
        <w:rPr>
          <w:rFonts w:ascii="CMU Sans Serif Medium" w:hAnsi="CMU Sans Serif Medium" w:cs="CMU Sans Serif Medium"/>
        </w:rPr>
        <w:t xml:space="preserve"> </w:t>
      </w:r>
      <w:r w:rsidRPr="004E0F3F">
        <w:rPr>
          <w:rFonts w:ascii="CMU Sans Serif Medium" w:hAnsi="CMU Sans Serif Medium" w:cs="CMU Sans Serif Medium"/>
          <w:shd w:val="clear" w:color="auto" w:fill="FCFCFC"/>
        </w:rPr>
        <w:t xml:space="preserve">This objective is most obviously pursued during rehabilitation, where value </w:t>
      </w:r>
      <w:r w:rsidRPr="004E0F3F">
        <w:rPr>
          <w:rFonts w:ascii="CMU Sans Serif Medium" w:hAnsi="CMU Sans Serif Medium" w:cs="CMU Sans Serif Medium"/>
        </w:rPr>
        <w:t xml:space="preserve"> </w:t>
      </w:r>
      <w:r w:rsidRPr="004E0F3F">
        <w:rPr>
          <w:rFonts w:ascii="CMU Sans Serif Medium" w:hAnsi="CMU Sans Serif Medium" w:cs="CMU Sans Serif Medium"/>
          <w:shd w:val="clear" w:color="auto" w:fill="FCFCFC"/>
        </w:rPr>
        <w:t>is maximized by continuing a viable enterprise. But it is also a primary objective of procedures that liquidate enterprises that cannot be rehabilitated. The achievement of the value maximization objective is often furthered by the fulfillment of the objective of equitable risk allocation</w:t>
      </w:r>
      <w:r w:rsidR="00F55C36" w:rsidRPr="004E0F3F">
        <w:rPr>
          <w:rFonts w:ascii="CMU Sans Serif Medium" w:hAnsi="CMU Sans Serif Medium" w:cs="CMU Sans Serif Medium"/>
        </w:rPr>
        <w:t xml:space="preserve"> </w:t>
      </w:r>
    </w:p>
    <w:p w14:paraId="3E6D630C" w14:textId="4BBC4579" w:rsidR="00F55C36"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Some of the key policy choices to be made when 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4E0F3F">
        <w:rPr>
          <w:rFonts w:ascii="CMU Sans Serif Medium" w:hAnsi="CMU Sans Serif Medium" w:cs="CMU Sans Serif Medium"/>
        </w:rPr>
        <w:t>favored</w:t>
      </w:r>
      <w:proofErr w:type="spellEnd"/>
      <w:r w:rsidRPr="004E0F3F">
        <w:rPr>
          <w:rFonts w:ascii="CMU Sans Serif Medium" w:hAnsi="CMU Sans Serif Medium" w:cs="CMU Sans Serif Medium"/>
        </w:rPr>
        <w:t xml:space="preserve"> competitors.</w:t>
      </w:r>
    </w:p>
    <w:p w14:paraId="55E18395" w14:textId="0D029CAD" w:rsidR="00F55C36" w:rsidRPr="004E0F3F" w:rsidRDefault="00F55C36" w:rsidP="00B56F50">
      <w:pPr>
        <w:rPr>
          <w:rFonts w:ascii="CMU Sans Serif Medium" w:hAnsi="CMU Sans Serif Medium" w:cs="CMU Sans Serif Medium"/>
        </w:rPr>
      </w:pPr>
    </w:p>
    <w:p w14:paraId="3841479B" w14:textId="6B837A91" w:rsidR="00BC0EA4" w:rsidRPr="004E0F3F" w:rsidRDefault="00BC0EA4" w:rsidP="00B56F50">
      <w:pPr>
        <w:rPr>
          <w:rFonts w:ascii="CMU Sans Serif Medium" w:hAnsi="CMU Sans Serif Medium" w:cs="CMU Sans Serif Medium"/>
        </w:rPr>
      </w:pPr>
      <w:proofErr w:type="spellStart"/>
      <w:r w:rsidRPr="004E0F3F">
        <w:rPr>
          <w:rFonts w:ascii="CMU Sans Serif Medium" w:hAnsi="CMU Sans Serif Medium" w:cs="CMU Sans Serif Medium"/>
        </w:rPr>
        <w:t>Porta1998</w:t>
      </w:r>
      <w:proofErr w:type="spellEnd"/>
    </w:p>
    <w:p w14:paraId="7945A709" w14:textId="604F8DC6" w:rsidR="00BC0EA4" w:rsidRPr="004E0F3F" w:rsidRDefault="00BC0EA4" w:rsidP="00B56F50">
      <w:pPr>
        <w:rPr>
          <w:rFonts w:ascii="CMU Sans Serif Medium" w:hAnsi="CMU Sans Serif Medium" w:cs="CMU Sans Serif Medium"/>
        </w:rPr>
      </w:pPr>
      <w:r w:rsidRPr="004E0F3F">
        <w:rPr>
          <w:rFonts w:ascii="CMU Sans Serif Medium" w:hAnsi="CMU Sans Serif Medium" w:cs="CMU Sans Serif Medium"/>
        </w:rPr>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rsidRPr="004E0F3F">
        <w:rPr>
          <w:rFonts w:ascii="CMU Sans Serif Medium" w:hAnsi="CMU Sans Serif Medium" w:cs="CMU Sans Serif Medium"/>
        </w:rPr>
        <w:t>ar</w:t>
      </w:r>
      <w:r w:rsidRPr="004E0F3F">
        <w:rPr>
          <w:rFonts w:ascii="CMU Sans Serif Medium" w:hAnsi="CMU Sans Serif Medium" w:cs="CMU Sans Serif Medium"/>
        </w:rPr>
        <w:t xml:space="preserve"> from the whole story, and that the defining feature of various securities is the rights that they bring to  their owners (see, e.g., Hart 1995). </w:t>
      </w:r>
    </w:p>
    <w:p w14:paraId="78C6BCCD" w14:textId="77777777" w:rsidR="00A9350A" w:rsidRPr="004E0F3F" w:rsidRDefault="00941B4B" w:rsidP="00B56F50">
      <w:pPr>
        <w:rPr>
          <w:rFonts w:ascii="CMU Sans Serif Medium" w:hAnsi="CMU Sans Serif Medium" w:cs="CMU Sans Serif Medium"/>
        </w:rPr>
      </w:pPr>
      <w:r w:rsidRPr="004E0F3F">
        <w:rPr>
          <w:rFonts w:ascii="CMU Sans Serif Medium" w:hAnsi="CMU Sans Serif Medium" w:cs="CMU Sans Serif Medium"/>
        </w:rPr>
        <w:t>Law and the quality of its enforcement are potentially important determinants of what rights security holders have and how</w:t>
      </w:r>
      <w:r w:rsidR="00A9350A" w:rsidRPr="004E0F3F">
        <w:rPr>
          <w:rFonts w:ascii="CMU Sans Serif Medium" w:hAnsi="CMU Sans Serif Medium" w:cs="CMU Sans Serif Medium"/>
        </w:rPr>
        <w:t xml:space="preserve"> well these rights are protected. Since the protection investors receive determines their readiness to finance firms, corporate finance may critically turn on these legal rules and their enforcement.</w:t>
      </w:r>
    </w:p>
    <w:p w14:paraId="69107C58" w14:textId="0B313AFE" w:rsidR="00941B4B" w:rsidRPr="004E0F3F" w:rsidRDefault="00941B4B" w:rsidP="00B56F50">
      <w:pPr>
        <w:rPr>
          <w:rFonts w:ascii="CMU Sans Serif Medium" w:hAnsi="CMU Sans Serif Medium" w:cs="CMU Sans Serif Medium"/>
        </w:rPr>
      </w:pPr>
    </w:p>
    <w:p w14:paraId="3B45A64E" w14:textId="513715B9" w:rsidR="00941B4B" w:rsidRPr="004E0F3F" w:rsidRDefault="00F52627" w:rsidP="00B56F50">
      <w:pPr>
        <w:rPr>
          <w:rFonts w:ascii="CMU Sans Serif Medium" w:hAnsi="CMU Sans Serif Medium" w:cs="CMU Sans Serif Medium"/>
        </w:rPr>
      </w:pPr>
      <w:proofErr w:type="spellStart"/>
      <w:r w:rsidRPr="004E0F3F">
        <w:rPr>
          <w:rFonts w:ascii="CMU Sans Serif Medium" w:hAnsi="CMU Sans Serif Medium" w:cs="CMU Sans Serif Medium"/>
        </w:rPr>
        <w:t>Claessens2002</w:t>
      </w:r>
      <w:proofErr w:type="spellEnd"/>
    </w:p>
    <w:p w14:paraId="49492DC0" w14:textId="04C44714" w:rsidR="00F52627" w:rsidRPr="004E0F3F" w:rsidRDefault="00F52627" w:rsidP="00B56F50">
      <w:pPr>
        <w:rPr>
          <w:rFonts w:ascii="CMU Sans Serif Medium" w:hAnsi="CMU Sans Serif Medium" w:cs="CMU Sans Serif Medium"/>
        </w:rPr>
      </w:pPr>
      <w:r w:rsidRPr="004E0F3F">
        <w:rPr>
          <w:rFonts w:ascii="CMU Sans Serif Medium" w:hAnsi="CMU Sans Serif Medium" w:cs="CMU Sans Serif Medium"/>
        </w:rPr>
        <w:t>A good insolvency regime should also prevent managers and shareholders from taking imprudent loans and lenders from giving loans with a high probability of default. At the same time, the insolvency regime should provide for a degree of entrepreneurship in the economy more generally. An insolvency regime should also deliver an ex-post efficient outcome, in the sense that the highest total value is obtained for the distressed firm with the least direct costs and loss in going concern value</w:t>
      </w:r>
    </w:p>
    <w:p w14:paraId="2E01F13B" w14:textId="02C6224F" w:rsidR="00BC0EA4" w:rsidRPr="004E0F3F" w:rsidRDefault="002D4DA1" w:rsidP="00B56F50">
      <w:pPr>
        <w:rPr>
          <w:rFonts w:ascii="CMU Sans Serif Medium" w:hAnsi="CMU Sans Serif Medium" w:cs="CMU Sans Serif Medium"/>
        </w:rPr>
      </w:pPr>
      <w:r w:rsidRPr="004E0F3F">
        <w:rPr>
          <w:rFonts w:ascii="CMU Sans Serif Medium" w:hAnsi="CMU Sans Serif Medium" w:cs="CMU Sans Serif Medium"/>
        </w:rPr>
        <w:t>Donald M. </w:t>
      </w:r>
      <w:proofErr w:type="spellStart"/>
      <w:r w:rsidRPr="004E0F3F">
        <w:rPr>
          <w:rFonts w:ascii="CMU Sans Serif Medium" w:hAnsi="CMU Sans Serif Medium" w:cs="CMU Sans Serif Medium"/>
        </w:rPr>
        <w:t>DePamphilis</w:t>
      </w:r>
      <w:proofErr w:type="spellEnd"/>
      <w:r w:rsidRPr="004E0F3F">
        <w:rPr>
          <w:rFonts w:ascii="CMU Sans Serif Medium" w:hAnsi="CMU Sans Serif Medium" w:cs="CMU Sans Serif Medium"/>
        </w:rPr>
        <w:t xml:space="preserve"> 2010</w:t>
      </w:r>
    </w:p>
    <w:p w14:paraId="62320F47" w14:textId="77777777" w:rsidR="0018758C" w:rsidRPr="004E0F3F" w:rsidRDefault="0018758C" w:rsidP="00B56F50">
      <w:pPr>
        <w:rPr>
          <w:rFonts w:ascii="CMU Sans Serif Medium" w:hAnsi="CMU Sans Serif Medium" w:cs="CMU Sans Serif Medium"/>
        </w:rPr>
      </w:pPr>
      <w:r w:rsidRPr="004E0F3F">
        <w:rPr>
          <w:rFonts w:ascii="CMU Sans Serif Medium" w:hAnsi="CMU Sans Serif Medium" w:cs="CMU Sans Serif Medium"/>
        </w:rPr>
        <w:t xml:space="preserve">Reforms in creditor rights tend to increase the availability and reduce the cost of credit in countries, where court enforcement is quick and fair. </w:t>
      </w:r>
      <w:proofErr w:type="spellStart"/>
      <w:r w:rsidRPr="004E0F3F">
        <w:rPr>
          <w:rFonts w:ascii="CMU Sans Serif Medium" w:hAnsi="CMU Sans Serif Medium" w:cs="CMU Sans Serif Medium"/>
        </w:rPr>
        <w:t>Haselmann</w:t>
      </w:r>
      <w:proofErr w:type="spellEnd"/>
      <w:r w:rsidRPr="004E0F3F">
        <w:rPr>
          <w:rFonts w:ascii="CMU Sans Serif Medium" w:hAnsi="CMU Sans Serif Medium" w:cs="CMU Sans Serif Medium"/>
        </w:rPr>
        <w:t xml:space="preserve">, </w:t>
      </w:r>
      <w:proofErr w:type="spellStart"/>
      <w:r w:rsidRPr="004E0F3F">
        <w:rPr>
          <w:rFonts w:ascii="CMU Sans Serif Medium" w:hAnsi="CMU Sans Serif Medium" w:cs="CMU Sans Serif Medium"/>
        </w:rPr>
        <w:t>Pistor</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Vig</w:t>
      </w:r>
      <w:proofErr w:type="spellEnd"/>
      <w:r w:rsidRPr="004E0F3F">
        <w:rPr>
          <w:rFonts w:ascii="CMU Sans Serif Medium" w:hAnsi="CMU Sans Serif Medium" w:cs="CMU Sans Serif Medium"/>
        </w:rPr>
        <w:t xml:space="preserve"> (2006) show that, in their sample of bank loans in 12 emerging countries, the availability of credit increased, and the cost of credit declined in response to </w:t>
      </w:r>
      <w:hyperlink r:id="rId19" w:tooltip="Learn more about bankruptcy from ScienceDirect's AI-generated Topic Pages" w:history="1">
        <w:r w:rsidRPr="004E0F3F">
          <w:rPr>
            <w:rStyle w:val="Hyperlink"/>
            <w:rFonts w:ascii="CMU Sans Serif Medium" w:eastAsiaTheme="majorEastAsia" w:hAnsi="CMU Sans Serif Medium" w:cs="CMU Sans Serif Medium"/>
            <w:color w:val="1F1F1F"/>
          </w:rPr>
          <w:t>bankruptcy</w:t>
        </w:r>
      </w:hyperlink>
      <w:r w:rsidRPr="004E0F3F">
        <w:rPr>
          <w:rFonts w:ascii="CMU Sans Serif Medium" w:hAnsi="CMU Sans Serif Medium" w:cs="CMU Sans Serif Medium"/>
        </w:rP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r w:rsidR="004805F8" w:rsidRPr="004E0F3F">
        <w:rPr>
          <w:rFonts w:ascii="CMU Sans Serif Medium" w:hAnsi="CMU Sans Serif Medium" w:cs="CMU Sans Serif Medium"/>
        </w:rPr>
        <w:fldChar w:fldCharType="begin"/>
      </w:r>
      <w:r w:rsidR="004805F8" w:rsidRPr="004E0F3F">
        <w:rPr>
          <w:rFonts w:ascii="CMU Sans Serif Medium" w:hAnsi="CMU Sans Serif Medium" w:cs="CMU Sans Serif Medium"/>
        </w:rPr>
        <w:instrText xml:space="preserve"> HYPERLINK "https://www.sciencedirect.com/topics/economics-econometrics-and-finance/bankruptcy" \o "Learn more about Bankruptcy from ScienceDirect's AI-generated Topic Pages" </w:instrText>
      </w:r>
      <w:r w:rsidR="004805F8" w:rsidRPr="004E0F3F">
        <w:rPr>
          <w:rFonts w:ascii="CMU Sans Serif Medium" w:hAnsi="CMU Sans Serif Medium" w:cs="CMU Sans Serif Medium"/>
        </w:rPr>
        <w:fldChar w:fldCharType="separate"/>
      </w:r>
      <w:r w:rsidRPr="004E0F3F">
        <w:rPr>
          <w:rStyle w:val="Hyperlink"/>
          <w:rFonts w:ascii="CMU Sans Serif Medium" w:eastAsiaTheme="majorEastAsia" w:hAnsi="CMU Sans Serif Medium" w:cs="CMU Sans Serif Medium"/>
          <w:color w:val="1F1F1F"/>
        </w:rPr>
        <w:t>Bankruptcy</w:t>
      </w:r>
      <w:r w:rsidR="004805F8" w:rsidRPr="004E0F3F">
        <w:rPr>
          <w:rStyle w:val="Hyperlink"/>
          <w:rFonts w:ascii="CMU Sans Serif Medium" w:eastAsiaTheme="majorEastAsia" w:hAnsi="CMU Sans Serif Medium" w:cs="CMU Sans Serif Medium"/>
          <w:color w:val="1F1F1F"/>
        </w:rPr>
        <w:fldChar w:fldCharType="end"/>
      </w:r>
      <w:r w:rsidRPr="004E0F3F">
        <w:rPr>
          <w:rFonts w:ascii="CMU Sans Serif Medium" w:hAnsi="CMU Sans Serif Medium" w:cs="CMU Sans Serif Medium"/>
        </w:rP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4E0F3F" w:rsidRDefault="0018758C" w:rsidP="00B56F50">
      <w:pPr>
        <w:rPr>
          <w:rFonts w:ascii="CMU Sans Serif Medium" w:hAnsi="CMU Sans Serif Medium" w:cs="CMU Sans Serif Medium"/>
        </w:rPr>
      </w:pPr>
    </w:p>
    <w:p w14:paraId="398BEC1C" w14:textId="76A4BFD5" w:rsidR="00FF1294" w:rsidRPr="004E0F3F" w:rsidRDefault="002F4E7F" w:rsidP="00B56F50">
      <w:pPr>
        <w:rPr>
          <w:rFonts w:ascii="CMU Sans Serif Medium" w:hAnsi="CMU Sans Serif Medium" w:cs="CMU Sans Serif Medium"/>
        </w:rPr>
      </w:pPr>
      <w:proofErr w:type="spellStart"/>
      <w:r w:rsidRPr="004E0F3F">
        <w:rPr>
          <w:rFonts w:ascii="CMU Sans Serif Medium" w:hAnsi="CMU Sans Serif Medium" w:cs="CMU Sans Serif Medium"/>
        </w:rPr>
        <w:t>Smith2004</w:t>
      </w:r>
      <w:proofErr w:type="spellEnd"/>
    </w:p>
    <w:p w14:paraId="4DFE8BCB" w14:textId="77777777" w:rsidR="002F4E7F" w:rsidRPr="004E0F3F" w:rsidRDefault="002F4E7F" w:rsidP="00B56F50">
      <w:pPr>
        <w:rPr>
          <w:rFonts w:ascii="CMU Sans Serif Medium" w:hAnsi="CMU Sans Serif Medium" w:cs="CMU Sans Serif Medium"/>
        </w:rPr>
      </w:pPr>
      <w:r w:rsidRPr="004E0F3F">
        <w:rPr>
          <w:rFonts w:ascii="CMU Sans Serif Medium" w:hAnsi="CMU Sans Serif Medium" w:cs="CMU Sans Serif Medium"/>
        </w:rPr>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Pr="004E0F3F" w:rsidRDefault="00053B9F" w:rsidP="00B56F50">
      <w:pPr>
        <w:rPr>
          <w:rFonts w:ascii="CMU Sans Serif Medium" w:hAnsi="CMU Sans Serif Medium" w:cs="CMU Sans Serif Medium"/>
        </w:rPr>
      </w:pPr>
      <w:proofErr w:type="spellStart"/>
      <w:r w:rsidRPr="004E0F3F">
        <w:rPr>
          <w:rFonts w:ascii="CMU Sans Serif Medium" w:hAnsi="CMU Sans Serif Medium" w:cs="CMU Sans Serif Medium"/>
        </w:rPr>
        <w:t>Longhofer2004</w:t>
      </w:r>
      <w:proofErr w:type="spellEnd"/>
    </w:p>
    <w:p w14:paraId="11A27D74" w14:textId="40A7B592" w:rsidR="007A3817" w:rsidRPr="004E0F3F" w:rsidRDefault="007A3817" w:rsidP="00B56F50">
      <w:pPr>
        <w:rPr>
          <w:rFonts w:ascii="CMU Sans Serif Medium" w:hAnsi="CMU Sans Serif Medium" w:cs="CMU Sans Serif Medium"/>
        </w:rPr>
      </w:pPr>
      <w:r w:rsidRPr="004E0F3F">
        <w:rPr>
          <w:rFonts w:ascii="CMU Sans Serif Medium" w:hAnsi="CMU Sans Serif Medium" w:cs="CMU Sans Serif Medium"/>
        </w:rP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rsidRPr="004E0F3F">
        <w:rPr>
          <w:rFonts w:ascii="CMU Sans Serif Medium" w:hAnsi="CMU Sans Serif Medium" w:cs="CMU Sans Serif Medium"/>
        </w:rPr>
        <w:t>group.1</w:t>
      </w:r>
      <w:proofErr w:type="spellEnd"/>
      <w:r w:rsidRPr="004E0F3F">
        <w:rPr>
          <w:rFonts w:ascii="CMU Sans Serif Medium" w:hAnsi="CMU Sans Serif Medium" w:cs="CMU Sans Serif Medium"/>
        </w:rP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Pr="004E0F3F" w:rsidRDefault="00E413F9" w:rsidP="00B56F50">
      <w:pPr>
        <w:rPr>
          <w:rFonts w:ascii="CMU Sans Serif Medium" w:hAnsi="CMU Sans Serif Medium" w:cs="CMU Sans Serif Medium"/>
        </w:rPr>
      </w:pPr>
      <w:r w:rsidRPr="004E0F3F">
        <w:rPr>
          <w:rFonts w:ascii="CMU Sans Serif Medium" w:hAnsi="CMU Sans Serif Medium" w:cs="CMU Sans Serif Medium"/>
        </w:rPr>
        <w:t>bankruptcy law is not intended to protect a</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debtor from its creditors, nor to protect creditors from their debtor. Rather, itis intended to protect creditors from one another. Although legal scholars</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have suggested this rationale for bankruptcy law, we are not aware of any</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economic analysis of the ex post creditor conflict in the absence of bankruptcy law. To be sure, economists have studied creditor (and creditor</w:t>
      </w:r>
      <w:r w:rsidR="0059306A" w:rsidRPr="004E0F3F">
        <w:rPr>
          <w:rFonts w:ascii="CMU Sans Serif Medium" w:hAnsi="CMU Sans Serif Medium" w:cs="CMU Sans Serif Medium"/>
        </w:rPr>
        <w:t>-</w:t>
      </w:r>
      <w:r w:rsidRPr="004E0F3F">
        <w:rPr>
          <w:rFonts w:ascii="CMU Sans Serif Medium" w:hAnsi="CMU Sans Serif Medium" w:cs="CMU Sans Serif Medium"/>
        </w:rPr>
        <w:t>debtor) conflicts and the resulting externalities, but these conflicts have</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been played out in the context of an existing bankruptcy process. In </w:t>
      </w:r>
      <w:proofErr w:type="spellStart"/>
      <w:r w:rsidRPr="004E0F3F">
        <w:rPr>
          <w:rFonts w:ascii="CMU Sans Serif Medium" w:hAnsi="CMU Sans Serif Medium" w:cs="CMU Sans Serif Medium"/>
        </w:rPr>
        <w:t>contrast,we</w:t>
      </w:r>
      <w:proofErr w:type="spellEnd"/>
      <w:r w:rsidRPr="004E0F3F">
        <w:rPr>
          <w:rFonts w:ascii="CMU Sans Serif Medium" w:hAnsi="CMU Sans Serif Medium" w:cs="CMU Sans Serif Medium"/>
        </w:rPr>
        <w:t xml:space="preserve"> argue that bankruptcy law itself is a solution to creditor conflict.</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Led by Jackson (1986), legal scholars (Baird, 1987; Picker, 1992; </w:t>
      </w:r>
      <w:proofErr w:type="spellStart"/>
      <w:r w:rsidRPr="004E0F3F">
        <w:rPr>
          <w:rFonts w:ascii="CMU Sans Serif Medium" w:hAnsi="CMU Sans Serif Medium" w:cs="CMU Sans Serif Medium"/>
        </w:rPr>
        <w:t>Posner,1986</w:t>
      </w:r>
      <w:proofErr w:type="spellEnd"/>
      <w:r w:rsidRPr="004E0F3F">
        <w:rPr>
          <w:rFonts w:ascii="CMU Sans Serif Medium" w:hAnsi="CMU Sans Serif Medium" w:cs="CMU Sans Serif Medium"/>
        </w:rPr>
        <w:t xml:space="preserve">; White, 1990) have argued that bankruptcy law is a response to </w:t>
      </w:r>
      <w:proofErr w:type="spellStart"/>
      <w:r w:rsidRPr="004E0F3F">
        <w:rPr>
          <w:rFonts w:ascii="CMU Sans Serif Medium" w:hAnsi="CMU Sans Serif Medium" w:cs="CMU Sans Serif Medium"/>
        </w:rPr>
        <w:t>thecommon</w:t>
      </w:r>
      <w:proofErr w:type="spellEnd"/>
      <w:r w:rsidRPr="004E0F3F">
        <w:rPr>
          <w:rFonts w:ascii="CMU Sans Serif Medium" w:hAnsi="CMU Sans Serif Medium" w:cs="CMU Sans Serif Medium"/>
        </w:rPr>
        <w:t xml:space="preserve"> pool problem that arises when a firm with multiple </w:t>
      </w:r>
      <w:proofErr w:type="spellStart"/>
      <w:r w:rsidRPr="004E0F3F">
        <w:rPr>
          <w:rFonts w:ascii="CMU Sans Serif Medium" w:hAnsi="CMU Sans Serif Medium" w:cs="CMU Sans Serif Medium"/>
        </w:rPr>
        <w:t>creditorsbecomes</w:t>
      </w:r>
      <w:proofErr w:type="spellEnd"/>
      <w:r w:rsidRPr="004E0F3F">
        <w:rPr>
          <w:rFonts w:ascii="CMU Sans Serif Medium" w:hAnsi="CMU Sans Serif Medium" w:cs="CMU Sans Serif Medium"/>
        </w:rPr>
        <w:t xml:space="preserve"> insolvent: ‘‘The basic problem that bankruptcy law is </w:t>
      </w:r>
      <w:proofErr w:type="spellStart"/>
      <w:r w:rsidRPr="004E0F3F">
        <w:rPr>
          <w:rFonts w:ascii="CMU Sans Serif Medium" w:hAnsi="CMU Sans Serif Medium" w:cs="CMU Sans Serif Medium"/>
        </w:rPr>
        <w:t>designedto</w:t>
      </w:r>
      <w:proofErr w:type="spellEnd"/>
      <w:r w:rsidRPr="004E0F3F">
        <w:rPr>
          <w:rFonts w:ascii="CMU Sans Serif Medium" w:hAnsi="CMU Sans Serif Medium" w:cs="CMU Sans Serif Medium"/>
        </w:rPr>
        <w:t xml:space="preserve"> handle, both as a normative matter and as a positive matter, is that </w:t>
      </w:r>
      <w:proofErr w:type="spellStart"/>
      <w:r w:rsidRPr="004E0F3F">
        <w:rPr>
          <w:rFonts w:ascii="CMU Sans Serif Medium" w:hAnsi="CMU Sans Serif Medium" w:cs="CMU Sans Serif Medium"/>
        </w:rPr>
        <w:t>thesystem</w:t>
      </w:r>
      <w:proofErr w:type="spellEnd"/>
      <w:r w:rsidRPr="004E0F3F">
        <w:rPr>
          <w:rFonts w:ascii="CMU Sans Serif Medium" w:hAnsi="CMU Sans Serif Medium" w:cs="CMU Sans Serif Medium"/>
        </w:rPr>
        <w:t xml:space="preserve"> of individual creditor remedies may be bad for the creditors as a </w:t>
      </w:r>
      <w:proofErr w:type="spellStart"/>
      <w:r w:rsidRPr="004E0F3F">
        <w:rPr>
          <w:rFonts w:ascii="CMU Sans Serif Medium" w:hAnsi="CMU Sans Serif Medium" w:cs="CMU Sans Serif Medium"/>
        </w:rPr>
        <w:t>groupwhen</w:t>
      </w:r>
      <w:proofErr w:type="spellEnd"/>
      <w:r w:rsidRPr="004E0F3F">
        <w:rPr>
          <w:rFonts w:ascii="CMU Sans Serif Medium" w:hAnsi="CMU Sans Serif Medium" w:cs="CMU Sans Serif Medium"/>
        </w:rPr>
        <w:t xml:space="preserve"> there are not enough assets to go around’’ (p. 10). In other words, </w:t>
      </w:r>
      <w:proofErr w:type="spellStart"/>
      <w:r w:rsidRPr="004E0F3F">
        <w:rPr>
          <w:rFonts w:ascii="CMU Sans Serif Medium" w:hAnsi="CMU Sans Serif Medium" w:cs="CMU Sans Serif Medium"/>
        </w:rPr>
        <w:t>itwould</w:t>
      </w:r>
      <w:proofErr w:type="spellEnd"/>
      <w:r w:rsidRPr="004E0F3F">
        <w:rPr>
          <w:rFonts w:ascii="CMU Sans Serif Medium" w:hAnsi="CMU Sans Serif Medium" w:cs="CMU Sans Serif Medium"/>
        </w:rPr>
        <w:t xml:space="preserve"> generally be socially desirable for creditors to coordinate their </w:t>
      </w:r>
      <w:proofErr w:type="spellStart"/>
      <w:r w:rsidRPr="004E0F3F">
        <w:rPr>
          <w:rFonts w:ascii="CMU Sans Serif Medium" w:hAnsi="CMU Sans Serif Medium" w:cs="CMU Sans Serif Medium"/>
        </w:rPr>
        <w:t>debtcollection</w:t>
      </w:r>
      <w:proofErr w:type="spellEnd"/>
      <w:r w:rsidRPr="004E0F3F">
        <w:rPr>
          <w:rFonts w:ascii="CMU Sans Serif Medium" w:hAnsi="CMU Sans Serif Medium" w:cs="CMU Sans Serif Medium"/>
        </w:rPr>
        <w:t xml:space="preserve"> activities. This allows the debtor’s assets to be deployed at </w:t>
      </w:r>
      <w:proofErr w:type="spellStart"/>
      <w:r w:rsidRPr="004E0F3F">
        <w:rPr>
          <w:rFonts w:ascii="CMU Sans Serif Medium" w:hAnsi="CMU Sans Serif Medium" w:cs="CMU Sans Serif Medium"/>
        </w:rPr>
        <w:t>theirhighest</w:t>
      </w:r>
      <w:proofErr w:type="spellEnd"/>
      <w:r w:rsidRPr="004E0F3F">
        <w:rPr>
          <w:rFonts w:ascii="CMU Sans Serif Medium" w:hAnsi="CMU Sans Serif Medium" w:cs="CMU Sans Serif Medium"/>
        </w:rPr>
        <w:t xml:space="preserve"> value use, thereby increasing ‘‘the size of the pie’’ to be </w:t>
      </w:r>
      <w:proofErr w:type="spellStart"/>
      <w:r w:rsidRPr="004E0F3F">
        <w:rPr>
          <w:rFonts w:ascii="CMU Sans Serif Medium" w:hAnsi="CMU Sans Serif Medium" w:cs="CMU Sans Serif Medium"/>
        </w:rPr>
        <w:t>distributed.Nevertheless</w:t>
      </w:r>
      <w:proofErr w:type="spellEnd"/>
      <w:r w:rsidRPr="004E0F3F">
        <w:rPr>
          <w:rFonts w:ascii="CMU Sans Serif Medium" w:hAnsi="CMU Sans Serif Medium" w:cs="CMU Sans Serif Medium"/>
        </w:rPr>
        <w:t xml:space="preserve">, in the absence of a bankruptcy law, once a debtor has </w:t>
      </w:r>
      <w:proofErr w:type="spellStart"/>
      <w:r w:rsidRPr="004E0F3F">
        <w:rPr>
          <w:rFonts w:ascii="CMU Sans Serif Medium" w:hAnsi="CMU Sans Serif Medium" w:cs="CMU Sans Serif Medium"/>
        </w:rPr>
        <w:t>reachedinsolvency</w:t>
      </w:r>
      <w:proofErr w:type="spellEnd"/>
      <w:r w:rsidRPr="004E0F3F">
        <w:rPr>
          <w:rFonts w:ascii="CMU Sans Serif Medium" w:hAnsi="CMU Sans Serif Medium" w:cs="CMU Sans Serif Medium"/>
        </w:rPr>
        <w:t xml:space="preserve"> a creditor’s most profitable course of action is to stake a claim </w:t>
      </w:r>
      <w:proofErr w:type="spellStart"/>
      <w:r w:rsidRPr="004E0F3F">
        <w:rPr>
          <w:rFonts w:ascii="CMU Sans Serif Medium" w:hAnsi="CMU Sans Serif Medium" w:cs="CMU Sans Serif Medium"/>
        </w:rPr>
        <w:t>onthe</w:t>
      </w:r>
      <w:proofErr w:type="spellEnd"/>
      <w:r w:rsidRPr="004E0F3F">
        <w:rPr>
          <w:rFonts w:ascii="CMU Sans Serif Medium" w:hAnsi="CMU Sans Serif Medium" w:cs="CMU Sans Serif Medium"/>
        </w:rPr>
        <w:t xml:space="preserve"> debtor’s assets that is sufficiently large to make it whole. The </w:t>
      </w:r>
      <w:r w:rsidR="000C2D2C" w:rsidRPr="004E0F3F">
        <w:rPr>
          <w:rFonts w:ascii="CMU Sans Serif Medium" w:hAnsi="CMU Sans Serif Medium" w:cs="CMU Sans Serif Medium"/>
        </w:rPr>
        <w:t xml:space="preserve">resulting </w:t>
      </w:r>
      <w:proofErr w:type="spellStart"/>
      <w:r w:rsidRPr="004E0F3F">
        <w:rPr>
          <w:rFonts w:ascii="CMU Sans Serif Medium" w:hAnsi="CMU Sans Serif Medium" w:cs="CMU Sans Serif Medium"/>
        </w:rPr>
        <w:t>irst</w:t>
      </w:r>
      <w:proofErr w:type="spellEnd"/>
      <w:r w:rsidRPr="004E0F3F">
        <w:rPr>
          <w:rFonts w:ascii="CMU Sans Serif Medium" w:hAnsi="CMU Sans Serif Medium" w:cs="CMU Sans Serif Medium"/>
        </w:rPr>
        <w:t>-come, first-served ordering of creditors’ claims triggers an inefficient</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liquidation because the debtor’s assets are sold off in an ad hoc manner. A</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bankruptcy law that mandates a collective process avoids this inefficient</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liquidation.</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We argue that on its own this justification for bankruptcy is incomplete. In</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particular, this argument does not explain why creditors do not write contracts ex ante that bind them to coordinate with one another once the </w:t>
      </w:r>
      <w:proofErr w:type="spellStart"/>
      <w:r w:rsidRPr="004E0F3F">
        <w:rPr>
          <w:rFonts w:ascii="CMU Sans Serif Medium" w:hAnsi="CMU Sans Serif Medium" w:cs="CMU Sans Serif Medium"/>
        </w:rPr>
        <w:t>firmbecomes</w:t>
      </w:r>
      <w:proofErr w:type="spellEnd"/>
      <w:r w:rsidRPr="004E0F3F">
        <w:rPr>
          <w:rFonts w:ascii="CMU Sans Serif Medium" w:hAnsi="CMU Sans Serif Medium" w:cs="CMU Sans Serif Medium"/>
        </w:rPr>
        <w:t xml:space="preserve"> insolvent. Posner (1986) suggests that creditors would like to </w:t>
      </w:r>
      <w:proofErr w:type="spellStart"/>
      <w:r w:rsidRPr="004E0F3F">
        <w:rPr>
          <w:rFonts w:ascii="CMU Sans Serif Medium" w:hAnsi="CMU Sans Serif Medium" w:cs="CMU Sans Serif Medium"/>
        </w:rPr>
        <w:t>writesuch</w:t>
      </w:r>
      <w:proofErr w:type="spellEnd"/>
      <w:r w:rsidRPr="004E0F3F">
        <w:rPr>
          <w:rFonts w:ascii="CMU Sans Serif Medium" w:hAnsi="CMU Sans Serif Medium" w:cs="CMU Sans Serif Medium"/>
        </w:rPr>
        <w:t xml:space="preserve"> coordinating contracts ex ante but fail to do so because the </w:t>
      </w:r>
      <w:proofErr w:type="spellStart"/>
      <w:r w:rsidRPr="004E0F3F">
        <w:rPr>
          <w:rFonts w:ascii="CMU Sans Serif Medium" w:hAnsi="CMU Sans Serif Medium" w:cs="CMU Sans Serif Medium"/>
        </w:rPr>
        <w:t>transactioncosts</w:t>
      </w:r>
      <w:proofErr w:type="spellEnd"/>
      <w:r w:rsidRPr="004E0F3F">
        <w:rPr>
          <w:rFonts w:ascii="CMU Sans Serif Medium" w:hAnsi="CMU Sans Serif Medium" w:cs="CMU Sans Serif Medium"/>
        </w:rPr>
        <w:t xml:space="preserve"> are prohibitive when the firm has many creditors. He concludes </w:t>
      </w:r>
      <w:proofErr w:type="spellStart"/>
      <w:r w:rsidRPr="004E0F3F">
        <w:rPr>
          <w:rFonts w:ascii="CMU Sans Serif Medium" w:hAnsi="CMU Sans Serif Medium" w:cs="CMU Sans Serif Medium"/>
        </w:rPr>
        <w:t>thatbankruptcy</w:t>
      </w:r>
      <w:proofErr w:type="spellEnd"/>
      <w:r w:rsidRPr="004E0F3F">
        <w:rPr>
          <w:rFonts w:ascii="CMU Sans Serif Medium" w:hAnsi="CMU Sans Serif Medium" w:cs="CMU Sans Serif Medium"/>
        </w:rPr>
        <w:t xml:space="preserve"> law is a viable alternative.</w:t>
      </w:r>
    </w:p>
    <w:p w14:paraId="7109657C" w14:textId="179063A5" w:rsidR="00855E68" w:rsidRPr="004E0F3F" w:rsidRDefault="00855E68" w:rsidP="00B56F50">
      <w:pPr>
        <w:rPr>
          <w:rFonts w:ascii="CMU Sans Serif Medium" w:hAnsi="CMU Sans Serif Medium" w:cs="CMU Sans Serif Medium"/>
        </w:rPr>
      </w:pPr>
    </w:p>
    <w:p w14:paraId="5035DA2D" w14:textId="77777777" w:rsidR="00F87B0F" w:rsidRPr="004E0F3F" w:rsidRDefault="00F87B0F" w:rsidP="00F87B0F">
      <w:pPr>
        <w:rPr>
          <w:rFonts w:ascii="CMU Sans Serif Medium" w:hAnsi="CMU Sans Serif Medium" w:cs="CMU Sans Serif Medium"/>
          <w:b/>
        </w:rPr>
      </w:pPr>
      <w:proofErr w:type="spellStart"/>
      <w:r w:rsidRPr="004E0F3F">
        <w:rPr>
          <w:rFonts w:ascii="CMU Sans Serif Medium" w:hAnsi="CMU Sans Serif Medium" w:cs="CMU Sans Serif Medium"/>
          <w:b/>
          <w:lang w:val="en-US"/>
        </w:rPr>
        <w:t>Staszkiewicz2019</w:t>
      </w:r>
      <w:proofErr w:type="spellEnd"/>
      <w:r w:rsidRPr="004E0F3F">
        <w:rPr>
          <w:rFonts w:ascii="CMU Sans Serif Medium" w:hAnsi="CMU Sans Serif Medium" w:cs="CMU Sans Serif Medium"/>
          <w:b/>
        </w:rPr>
        <w:t xml:space="preserve"> </w:t>
      </w:r>
    </w:p>
    <w:p w14:paraId="3C416202" w14:textId="77777777" w:rsidR="00F87B0F" w:rsidRPr="004E0F3F" w:rsidRDefault="00F87B0F" w:rsidP="00F87B0F">
      <w:pPr>
        <w:rPr>
          <w:rFonts w:ascii="CMU Sans Serif Medium" w:hAnsi="CMU Sans Serif Medium" w:cs="CMU Sans Serif Medium"/>
          <w:color w:val="000000"/>
          <w:lang w:val="en-US"/>
        </w:rPr>
      </w:pPr>
    </w:p>
    <w:p w14:paraId="167EFC71" w14:textId="4020B3C5" w:rsidR="00B6175C" w:rsidRPr="004E0F3F" w:rsidRDefault="00F87B0F" w:rsidP="008D7820">
      <w:pPr>
        <w:rPr>
          <w:rFonts w:ascii="CMU Sans Serif Medium" w:hAnsi="CMU Sans Serif Medium" w:cs="CMU Sans Serif Medium"/>
          <w:lang w:val="en-US"/>
        </w:rPr>
      </w:pPr>
      <w:r w:rsidRPr="004E0F3F">
        <w:rPr>
          <w:rFonts w:ascii="CMU Sans Serif Medium" w:hAnsi="CMU Sans Serif Medium" w:cs="CMU Sans Serif Medium"/>
          <w:color w:val="000000"/>
          <w:lang w:val="en-US"/>
        </w:rPr>
        <w:t>Our study contributes to the literature on bankruptcy by delivering robust empirical evidence on the efficiency of Polish bankruptcy procedures. This study complements the Camacho-</w:t>
      </w:r>
      <w:proofErr w:type="spellStart"/>
      <w:r w:rsidRPr="004E0F3F">
        <w:rPr>
          <w:rFonts w:ascii="CMU Sans Serif Medium" w:hAnsi="CMU Sans Serif Medium" w:cs="CMU Sans Serif Medium"/>
          <w:color w:val="000000"/>
          <w:lang w:val="en-US"/>
        </w:rPr>
        <w:t>Miñano</w:t>
      </w:r>
      <w:proofErr w:type="spellEnd"/>
      <w:r w:rsidRPr="004E0F3F">
        <w:rPr>
          <w:rFonts w:ascii="CMU Sans Serif Medium" w:hAnsi="CMU Sans Serif Medium" w:cs="CMU Sans Serif Medium"/>
          <w:color w:val="000000"/>
          <w:lang w:val="en-US"/>
        </w:rPr>
        <w:t xml:space="preserve"> et al. (</w:t>
      </w:r>
      <w:r w:rsidRPr="004E0F3F">
        <w:rPr>
          <w:rFonts w:ascii="CMU Sans Serif Medium" w:hAnsi="CMU Sans Serif Medium" w:cs="CMU Sans Serif Medium"/>
          <w:color w:val="0000FF"/>
          <w:lang w:val="en-US"/>
        </w:rPr>
        <w:t>2013</w:t>
      </w:r>
      <w:r w:rsidRPr="004E0F3F">
        <w:rPr>
          <w:rFonts w:ascii="CMU Sans Serif Medium" w:hAnsi="CMU Sans Serif Medium" w:cs="CMU Sans Serif Medium"/>
          <w:color w:val="000000"/>
          <w:lang w:val="en-US"/>
        </w:rPr>
        <w:t xml:space="preserve">) terms of the interim efficiency assessment. We contrast the </w:t>
      </w:r>
      <w:proofErr w:type="spellStart"/>
      <w:r w:rsidRPr="004E0F3F">
        <w:rPr>
          <w:rFonts w:ascii="CMU Sans Serif Medium" w:hAnsi="CMU Sans Serif Medium" w:cs="CMU Sans Serif Medium"/>
          <w:color w:val="000000"/>
          <w:lang w:val="en-US"/>
        </w:rPr>
        <w:t>ex ante</w:t>
      </w:r>
      <w:proofErr w:type="spellEnd"/>
      <w:r w:rsidRPr="004E0F3F">
        <w:rPr>
          <w:rFonts w:ascii="CMU Sans Serif Medium" w:hAnsi="CMU Sans Serif Medium" w:cs="CMU Sans Serif Medium"/>
          <w:color w:val="000000"/>
          <w:lang w:val="en-US"/>
        </w:rPr>
        <w:t xml:space="preserve"> efficiency of the Spanish and Polish legal systems, at 41% and 75% respectively. We advance the findings of </w:t>
      </w:r>
      <w:proofErr w:type="spellStart"/>
      <w:r w:rsidRPr="004E0F3F">
        <w:rPr>
          <w:rFonts w:ascii="CMU Sans Serif Medium" w:hAnsi="CMU Sans Serif Medium" w:cs="CMU Sans Serif Medium"/>
          <w:color w:val="000000"/>
          <w:lang w:val="en-US"/>
        </w:rPr>
        <w:t>Djankov</w:t>
      </w:r>
      <w:proofErr w:type="spellEnd"/>
      <w:r w:rsidRPr="004E0F3F">
        <w:rPr>
          <w:rFonts w:ascii="CMU Sans Serif Medium" w:hAnsi="CMU Sans Serif Medium" w:cs="CMU Sans Serif Medium"/>
          <w:color w:val="000000"/>
          <w:lang w:val="en-US"/>
        </w:rPr>
        <w:t xml:space="preserve">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color w:val="000000"/>
          <w:lang w:val="en-US"/>
        </w:rPr>
        <w:t xml:space="preserve">) by providing the actual long term average of the duration of proceedings in Poland—853 days, </w:t>
      </w:r>
      <w:proofErr w:type="gramStart"/>
      <w:r w:rsidR="008D7820" w:rsidRPr="004E0F3F">
        <w:rPr>
          <w:rFonts w:ascii="CMU Sans Serif Medium" w:hAnsi="CMU Sans Serif Medium" w:cs="CMU Sans Serif Medium"/>
          <w:highlight w:val="cyan"/>
          <w:lang w:val="en-US"/>
        </w:rPr>
        <w:t>Around</w:t>
      </w:r>
      <w:proofErr w:type="gramEnd"/>
      <w:r w:rsidR="008D7820" w:rsidRPr="004E0F3F">
        <w:rPr>
          <w:rFonts w:ascii="CMU Sans Serif Medium" w:hAnsi="CMU Sans Serif Medium" w:cs="CMU Sans Serif Medium"/>
          <w:highlight w:val="cyan"/>
          <w:lang w:val="en-US"/>
        </w:rPr>
        <w:t xml:space="preserve"> 26% of the companies entering the interim proceeding stage in Poland survive as going concerns, in contrast to the world-wide percentage of 36%. The Polish actual recovery rate mean amount is 20%</w:t>
      </w:r>
    </w:p>
    <w:p w14:paraId="4FAAA73A" w14:textId="77777777" w:rsidR="008D7820" w:rsidRPr="004E0F3F" w:rsidRDefault="008D7820" w:rsidP="00B56F50">
      <w:pPr>
        <w:rPr>
          <w:rFonts w:ascii="CMU Sans Serif Medium" w:hAnsi="CMU Sans Serif Medium" w:cs="CMU Sans Serif Medium"/>
        </w:rPr>
      </w:pPr>
    </w:p>
    <w:p w14:paraId="2CB0C443" w14:textId="419D6EA6" w:rsidR="00855E68" w:rsidRPr="004E0F3F" w:rsidRDefault="00855E68" w:rsidP="00B56F50">
      <w:pPr>
        <w:rPr>
          <w:rFonts w:ascii="CMU Sans Serif Medium" w:hAnsi="CMU Sans Serif Medium" w:cs="CMU Sans Serif Medium"/>
          <w:b/>
        </w:rPr>
      </w:pPr>
      <w:proofErr w:type="spellStart"/>
      <w:r w:rsidRPr="004E0F3F">
        <w:rPr>
          <w:rFonts w:ascii="CMU Sans Serif Medium" w:hAnsi="CMU Sans Serif Medium" w:cs="CMU Sans Serif Medium"/>
          <w:b/>
        </w:rPr>
        <w:t>Eraslan2002</w:t>
      </w:r>
      <w:proofErr w:type="spellEnd"/>
    </w:p>
    <w:p w14:paraId="2E0F6956" w14:textId="77777777" w:rsidR="007A471E" w:rsidRPr="004E0F3F" w:rsidRDefault="00B6175C" w:rsidP="00B56F50">
      <w:pPr>
        <w:pStyle w:val="ListParagraph"/>
        <w:numPr>
          <w:ilvl w:val="0"/>
          <w:numId w:val="7"/>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Reorganisation</w:t>
      </w:r>
      <w:proofErr w:type="spellEnd"/>
      <w:r w:rsidRPr="004E0F3F">
        <w:rPr>
          <w:rFonts w:ascii="CMU Sans Serif Medium" w:hAnsi="CMU Sans Serif Medium" w:cs="CMU Sans Serif Medium"/>
          <w:sz w:val="24"/>
          <w:lang w:val="en-US"/>
        </w:rPr>
        <w:t xml:space="preserve"> Chapter 11 vs </w:t>
      </w:r>
      <w:proofErr w:type="spellStart"/>
      <w:r w:rsidRPr="004E0F3F">
        <w:rPr>
          <w:rFonts w:ascii="CMU Sans Serif Medium" w:hAnsi="CMU Sans Serif Medium" w:cs="CMU Sans Serif Medium"/>
          <w:sz w:val="24"/>
          <w:lang w:val="en-US"/>
        </w:rPr>
        <w:t>liqidation</w:t>
      </w:r>
      <w:proofErr w:type="spellEnd"/>
      <w:r w:rsidRPr="004E0F3F">
        <w:rPr>
          <w:rFonts w:ascii="CMU Sans Serif Medium" w:hAnsi="CMU Sans Serif Medium" w:cs="CMU Sans Serif Medium"/>
          <w:sz w:val="24"/>
          <w:lang w:val="en-US"/>
        </w:rPr>
        <w:t xml:space="preserve"> Chapter 7</w:t>
      </w:r>
      <w:r w:rsidR="00B24C5C" w:rsidRPr="004E0F3F">
        <w:rPr>
          <w:rFonts w:ascii="CMU Sans Serif Medium" w:hAnsi="CMU Sans Serif Medium" w:cs="CMU Sans Serif Medium"/>
          <w:sz w:val="24"/>
          <w:lang w:val="en-US"/>
        </w:rPr>
        <w:t>; absolute priority rule</w:t>
      </w:r>
      <w:r w:rsidR="0097098F"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I model liquidation</w:t>
      </w:r>
      <w:r w:rsidR="0097098F" w:rsidRPr="004E0F3F">
        <w:rPr>
          <w:rFonts w:ascii="CMU Sans Serif Medium" w:hAnsi="CMU Sans Serif Medium" w:cs="CMU Sans Serif Medium"/>
          <w:sz w:val="24"/>
          <w:lang w:val="en-US"/>
        </w:rPr>
        <w:t xml:space="preserve"> </w:t>
      </w:r>
    </w:p>
    <w:p w14:paraId="0468390E" w14:textId="6733173D" w:rsidR="0097098F" w:rsidRPr="004E0F3F" w:rsidRDefault="0097098F" w:rsidP="00B56F50">
      <w:pPr>
        <w:pStyle w:val="ListParagraph"/>
        <w:numPr>
          <w:ilvl w:val="0"/>
          <w:numId w:val="7"/>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Sieg</w:t>
      </w:r>
      <w:proofErr w:type="spellEnd"/>
      <w:r w:rsidRPr="004E0F3F">
        <w:rPr>
          <w:rFonts w:ascii="CMU Sans Serif Medium" w:hAnsi="CMU Sans Serif Medium" w:cs="CMU Sans Serif Medium"/>
          <w:sz w:val="24"/>
          <w:lang w:val="en-US"/>
        </w:rPr>
        <w:t xml:space="preserve">[33] who uses generalized method of moments in the context of a finite horizon asymmetric information bargaining </w:t>
      </w:r>
      <w:proofErr w:type="spellStart"/>
      <w:r w:rsidRPr="004E0F3F">
        <w:rPr>
          <w:rFonts w:ascii="CMU Sans Serif Medium" w:hAnsi="CMU Sans Serif Medium" w:cs="CMU Sans Serif Medium"/>
          <w:sz w:val="24"/>
          <w:lang w:val="en-US"/>
        </w:rPr>
        <w:t>model.4</w:t>
      </w:r>
      <w:proofErr w:type="spellEnd"/>
      <w:r w:rsidRPr="004E0F3F">
        <w:rPr>
          <w:rFonts w:ascii="CMU Sans Serif Medium" w:hAnsi="CMU Sans Serif Medium" w:cs="CMU Sans Serif Medium"/>
          <w:sz w:val="24"/>
          <w:lang w:val="en-US"/>
        </w:rPr>
        <w:t xml:space="preserve"> In this paper, I estimate an infinite horizon, complete information model using a likelihood based approach. </w:t>
      </w:r>
    </w:p>
    <w:p w14:paraId="3EBC3F3B" w14:textId="77777777" w:rsidR="007A471E" w:rsidRPr="004E0F3F" w:rsidRDefault="0097098F" w:rsidP="00B56F50">
      <w:pPr>
        <w:pStyle w:val="ListParagraph"/>
        <w:numPr>
          <w:ilvl w:val="0"/>
          <w:numId w:val="7"/>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Absolute priority rule. The order of payment according to</w:t>
      </w:r>
      <w:r w:rsidR="007A471E" w:rsidRPr="004E0F3F">
        <w:rPr>
          <w:rFonts w:ascii="CMU Sans Serif Medium" w:hAnsi="CMU Sans Serif Medium" w:cs="CMU Sans Serif Medium"/>
          <w:sz w:val="24"/>
          <w:lang w:val="en-US"/>
        </w:rPr>
        <w:t xml:space="preserve"> the absolute priority rule is as follows: first, secured creditors (with respect to the proceeds of their own collateral); second, priority claims which include taxes, bankruptcy costs, such as legal fees, and costs incurred during the bankruptcy to run the business, such as wages; third, unsecured claims, fourth, pendency interest, that is, interest since the filing of the case, in the order above; and fifth, shareholders </w:t>
      </w:r>
    </w:p>
    <w:p w14:paraId="2B26F66C" w14:textId="0E1B40C8" w:rsidR="00855E68" w:rsidRPr="004E0F3F" w:rsidRDefault="0097098F" w:rsidP="00B56F50">
      <w:pPr>
        <w:pStyle w:val="ListParagraph"/>
        <w:numPr>
          <w:ilvl w:val="0"/>
          <w:numId w:val="7"/>
        </w:numPr>
        <w:rPr>
          <w:rFonts w:ascii="CMU Sans Serif Medium" w:hAnsi="CMU Sans Serif Medium" w:cs="CMU Sans Serif Medium"/>
          <w:sz w:val="24"/>
        </w:rPr>
      </w:pPr>
      <w:r w:rsidRPr="004E0F3F">
        <w:rPr>
          <w:rFonts w:ascii="CMU Sans Serif Medium" w:hAnsi="CMU Sans Serif Medium" w:cs="CMU Sans Serif Medium"/>
          <w:sz w:val="24"/>
          <w:lang w:val="en-US"/>
        </w:rPr>
        <w:t>E</w:t>
      </w:r>
      <w:r w:rsidR="00B6175C" w:rsidRPr="004E0F3F">
        <w:rPr>
          <w:rFonts w:ascii="CMU Sans Serif Medium" w:hAnsi="CMU Sans Serif Medium" w:cs="CMU Sans Serif Medium"/>
          <w:sz w:val="24"/>
          <w:lang w:val="en-US"/>
        </w:rPr>
        <w:t xml:space="preserve">vent as an exogenous possibility of breakdown of negotiations. </w:t>
      </w:r>
      <w:r w:rsidR="00855E68" w:rsidRPr="004E0F3F">
        <w:rPr>
          <w:rFonts w:ascii="CMU Sans Serif Medium" w:hAnsi="CMU Sans Serif Medium" w:cs="CMU Sans Serif Medium"/>
          <w:sz w:val="24"/>
          <w:lang w:val="en-US"/>
        </w:rPr>
        <w:t>estimate a bargaining model of Chapter 11 bankruptcies.</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I use the estimated structural model to conduct policy experiments aimed</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at evaluating the impact of institutional rules on the creditor recoveries,</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distribution to shareholders and deviations from absolute priority rule</w:t>
      </w:r>
      <w:r w:rsidRPr="004E0F3F">
        <w:rPr>
          <w:rFonts w:ascii="CMU Sans Serif Medium" w:hAnsi="CMU Sans Serif Medium" w:cs="CMU Sans Serif Medium"/>
          <w:sz w:val="24"/>
        </w:rPr>
        <w:t xml:space="preserve"> </w:t>
      </w:r>
    </w:p>
    <w:p w14:paraId="4690F8DF" w14:textId="514751D3" w:rsidR="00033AB4" w:rsidRPr="004E0F3F" w:rsidRDefault="00033AB4" w:rsidP="00033AB4">
      <w:pPr>
        <w:rPr>
          <w:rFonts w:ascii="CMU Sans Serif Medium" w:hAnsi="CMU Sans Serif Medium" w:cs="CMU Sans Serif Medium"/>
        </w:rPr>
      </w:pPr>
    </w:p>
    <w:p w14:paraId="381ADF20" w14:textId="2C724ECA" w:rsidR="00033AB4" w:rsidRPr="004E0F3F" w:rsidRDefault="00033AB4" w:rsidP="00033AB4">
      <w:pPr>
        <w:rPr>
          <w:rFonts w:ascii="CMU Sans Serif Medium" w:hAnsi="CMU Sans Serif Medium" w:cs="CMU Sans Serif Medium"/>
          <w:b/>
        </w:rPr>
      </w:pPr>
      <w:proofErr w:type="spellStart"/>
      <w:r w:rsidRPr="004E0F3F">
        <w:rPr>
          <w:rFonts w:ascii="CMU Sans Serif Medium" w:hAnsi="CMU Sans Serif Medium" w:cs="CMU Sans Serif Medium"/>
          <w:b/>
        </w:rPr>
        <w:t>IMF1999a</w:t>
      </w:r>
      <w:proofErr w:type="spellEnd"/>
    </w:p>
    <w:p w14:paraId="4E9CF995" w14:textId="276F6830" w:rsidR="00033AB4" w:rsidRPr="004E0F3F" w:rsidRDefault="008C47BD" w:rsidP="00D225CE">
      <w:pPr>
        <w:rPr>
          <w:rFonts w:ascii="CMU Sans Serif Medium" w:hAnsi="CMU Sans Serif Medium" w:cs="CMU Sans Serif Medium"/>
          <w:lang w:val="en-US"/>
        </w:rPr>
      </w:pPr>
      <w:r w:rsidRPr="004E0F3F">
        <w:rPr>
          <w:rFonts w:ascii="CMU Sans Serif Medium" w:hAnsi="CMU Sans Serif Medium" w:cs="CMU Sans Serif Medium"/>
        </w:rPr>
        <w:t xml:space="preserve"> </w:t>
      </w:r>
      <w:r w:rsidR="00033AB4" w:rsidRPr="004E0F3F">
        <w:rPr>
          <w:rFonts w:ascii="CMU Sans Serif Medium" w:hAnsi="CMU Sans Serif Medium" w:cs="CMU Sans Serif Medium"/>
          <w:lang w:val="en-US"/>
        </w:rPr>
        <w:t>There are risks that rehabilitation proceedings may be abused by the</w:t>
      </w:r>
      <w:r w:rsidRPr="004E0F3F">
        <w:rPr>
          <w:rFonts w:ascii="CMU Sans Serif Medium" w:hAnsi="CMU Sans Serif Medium" w:cs="CMU Sans Serif Medium"/>
          <w:lang w:val="en-US"/>
        </w:rPr>
        <w:t xml:space="preserve"> </w:t>
      </w:r>
      <w:r w:rsidR="00033AB4" w:rsidRPr="004E0F3F">
        <w:rPr>
          <w:rFonts w:ascii="CMU Sans Serif Medium" w:hAnsi="CMU Sans Serif Medium" w:cs="CMU Sans Serif Medium"/>
          <w:lang w:val="en-US"/>
        </w:rPr>
        <w:t>debtor and, in these circumstances, it is important that the law provide</w:t>
      </w:r>
      <w:r w:rsidRPr="004E0F3F">
        <w:rPr>
          <w:rFonts w:ascii="CMU Sans Serif Medium" w:hAnsi="CMU Sans Serif Medium" w:cs="CMU Sans Serif Medium"/>
          <w:lang w:val="en-US"/>
        </w:rPr>
        <w:t xml:space="preserve"> </w:t>
      </w:r>
      <w:r w:rsidR="00033AB4" w:rsidRPr="004E0F3F">
        <w:rPr>
          <w:rFonts w:ascii="CMU Sans Serif Medium" w:hAnsi="CMU Sans Serif Medium" w:cs="CMU Sans Serif Medium"/>
          <w:lang w:val="en-US"/>
        </w:rPr>
        <w:t>for a mechanism to convert the rehabilitation proceedings into liquidation.</w:t>
      </w:r>
    </w:p>
    <w:p w14:paraId="77FCC842" w14:textId="254D4BE0" w:rsidR="009B2E33" w:rsidRPr="004E0F3F" w:rsidRDefault="009B2E33" w:rsidP="00D225CE">
      <w:pPr>
        <w:rPr>
          <w:rFonts w:ascii="CMU Sans Serif Medium" w:hAnsi="CMU Sans Serif Medium" w:cs="CMU Sans Serif Medium"/>
        </w:rPr>
      </w:pPr>
    </w:p>
    <w:p w14:paraId="21649EE7" w14:textId="5C5D7C79" w:rsidR="00B45225" w:rsidRPr="004E0F3F" w:rsidRDefault="00B45225" w:rsidP="00D225CE">
      <w:pPr>
        <w:rPr>
          <w:rFonts w:ascii="CMU Sans Serif Medium" w:hAnsi="CMU Sans Serif Medium" w:cs="CMU Sans Serif Medium"/>
          <w:b/>
        </w:rPr>
      </w:pPr>
      <w:proofErr w:type="spellStart"/>
      <w:r w:rsidRPr="004E0F3F">
        <w:rPr>
          <w:rFonts w:ascii="CMU Sans Serif Medium" w:hAnsi="CMU Sans Serif Medium" w:cs="CMU Sans Serif Medium"/>
          <w:b/>
        </w:rPr>
        <w:t>White2005</w:t>
      </w:r>
      <w:proofErr w:type="spellEnd"/>
    </w:p>
    <w:p w14:paraId="737FC531" w14:textId="63E4CB49" w:rsidR="00B45225" w:rsidRPr="004E0F3F" w:rsidRDefault="00B45225" w:rsidP="00B45225">
      <w:pPr>
        <w:rPr>
          <w:rFonts w:ascii="CMU Sans Serif Medium" w:hAnsi="CMU Sans Serif Medium" w:cs="CMU Sans Serif Medium"/>
        </w:rPr>
      </w:pPr>
      <w:r w:rsidRPr="004E0F3F">
        <w:rPr>
          <w:rFonts w:ascii="CMU Sans Serif Medium" w:hAnsi="CMU Sans Serif Medium" w:cs="CMU Sans Serif Medium"/>
        </w:rPr>
        <w:t xml:space="preserve">Thus introducing Chapter 11 as an alternative to Chapter 7 distorts the efficiency of investment incentives and causes equity to </w:t>
      </w:r>
      <w:proofErr w:type="spellStart"/>
      <w:r w:rsidRPr="004E0F3F">
        <w:rPr>
          <w:rFonts w:ascii="CMU Sans Serif Medium" w:hAnsi="CMU Sans Serif Medium" w:cs="CMU Sans Serif Medium"/>
        </w:rPr>
        <w:t>favor</w:t>
      </w:r>
      <w:proofErr w:type="spellEnd"/>
      <w:r w:rsidRPr="004E0F3F">
        <w:rPr>
          <w:rFonts w:ascii="CMU Sans Serif Medium" w:hAnsi="CMU Sans Serif Medium" w:cs="CMU Sans Serif Medium"/>
        </w:rPr>
        <w:t xml:space="preserve"> inefficiently risky projects even more strongly</w:t>
      </w:r>
    </w:p>
    <w:p w14:paraId="5B579AF7" w14:textId="15007C2C" w:rsidR="00340DA7" w:rsidRPr="004E0F3F" w:rsidRDefault="00340DA7" w:rsidP="00B45225">
      <w:pPr>
        <w:rPr>
          <w:rFonts w:ascii="CMU Sans Serif Medium" w:hAnsi="CMU Sans Serif Medium" w:cs="CMU Sans Serif Medium"/>
        </w:rPr>
      </w:pPr>
      <w:proofErr w:type="spellStart"/>
      <w:r w:rsidRPr="004E0F3F">
        <w:rPr>
          <w:rFonts w:ascii="CMU Sans Serif Medium" w:hAnsi="CMU Sans Serif Medium" w:cs="CMU Sans Serif Medium"/>
          <w:b/>
        </w:rPr>
        <w:t>White1993</w:t>
      </w:r>
      <w:proofErr w:type="spellEnd"/>
    </w:p>
    <w:p w14:paraId="4EA84DB8" w14:textId="076F8D7A" w:rsidR="00340DA7" w:rsidRPr="004E0F3F" w:rsidRDefault="00340DA7" w:rsidP="00B45225">
      <w:pPr>
        <w:rPr>
          <w:rFonts w:ascii="CMU Sans Serif Medium" w:hAnsi="CMU Sans Serif Medium" w:cs="CMU Sans Serif Medium"/>
        </w:rPr>
      </w:pPr>
      <w:r w:rsidRPr="004E0F3F">
        <w:rPr>
          <w:rFonts w:ascii="CMU Sans Serif Medium" w:hAnsi="CMU Sans Serif Medium" w:cs="CMU Sans Serif Medium"/>
        </w:rPr>
        <w:t xml:space="preserve">Nearly half of the bankruptcy </w:t>
      </w:r>
      <w:proofErr w:type="spellStart"/>
      <w:r w:rsidRPr="004E0F3F">
        <w:rPr>
          <w:rFonts w:ascii="CMU Sans Serif Medium" w:hAnsi="CMU Sans Serif Medium" w:cs="CMU Sans Serif Medium"/>
        </w:rPr>
        <w:t>foilings</w:t>
      </w:r>
      <w:proofErr w:type="spellEnd"/>
      <w:r w:rsidRPr="004E0F3F">
        <w:rPr>
          <w:rFonts w:ascii="CMU Sans Serif Medium" w:hAnsi="CMU Sans Serif Medium" w:cs="CMU Sans Serif Medium"/>
        </w:rPr>
        <w:t xml:space="preserve"> in </w:t>
      </w:r>
      <w:proofErr w:type="spellStart"/>
      <w:r w:rsidRPr="004E0F3F">
        <w:rPr>
          <w:rFonts w:ascii="CMU Sans Serif Medium" w:hAnsi="CMU Sans Serif Medium" w:cs="CMU Sans Serif Medium"/>
        </w:rPr>
        <w:t>Grmany</w:t>
      </w:r>
      <w:proofErr w:type="spellEnd"/>
      <w:r w:rsidRPr="004E0F3F">
        <w:rPr>
          <w:rFonts w:ascii="CMU Sans Serif Medium" w:hAnsi="CMU Sans Serif Medium" w:cs="CMU Sans Serif Medium"/>
        </w:rPr>
        <w:t xml:space="preserve"> are initiated by parties other than the debtor.</w:t>
      </w:r>
    </w:p>
    <w:p w14:paraId="534D7DBE" w14:textId="77777777" w:rsidR="00B45225" w:rsidRPr="004E0F3F" w:rsidRDefault="00B45225" w:rsidP="00D225CE">
      <w:pPr>
        <w:rPr>
          <w:rFonts w:ascii="CMU Sans Serif Medium" w:hAnsi="CMU Sans Serif Medium" w:cs="CMU Sans Serif Medium"/>
        </w:rPr>
      </w:pPr>
    </w:p>
    <w:p w14:paraId="66095791" w14:textId="3067259B" w:rsidR="00B45225" w:rsidRPr="004E0F3F" w:rsidRDefault="001A0275" w:rsidP="00D225CE">
      <w:pPr>
        <w:rPr>
          <w:rFonts w:ascii="CMU Sans Serif Medium" w:hAnsi="CMU Sans Serif Medium" w:cs="CMU Sans Serif Medium"/>
        </w:rPr>
      </w:pPr>
      <w:r w:rsidRPr="004E0F3F">
        <w:rPr>
          <w:rFonts w:ascii="CMU Sans Serif Medium" w:hAnsi="CMU Sans Serif Medium" w:cs="CMU Sans Serif Medium"/>
        </w:rPr>
        <w:t>FRANKS2018</w:t>
      </w:r>
    </w:p>
    <w:p w14:paraId="5F3CC6A9" w14:textId="001A805B" w:rsidR="001A0275" w:rsidRPr="004E0F3F" w:rsidRDefault="001A0275" w:rsidP="00D225CE">
      <w:pPr>
        <w:rPr>
          <w:rFonts w:ascii="CMU Sans Serif Medium" w:hAnsi="CMU Sans Serif Medium" w:cs="CMU Sans Serif Medium"/>
        </w:rPr>
      </w:pPr>
    </w:p>
    <w:p w14:paraId="6C5E65F3" w14:textId="21CEB070" w:rsidR="008B544D" w:rsidRPr="004E0F3F" w:rsidRDefault="008B544D" w:rsidP="001A0275">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"An Empirical Investigation of US Firms in Reorganization</w:t>
      </w:r>
    </w:p>
    <w:p w14:paraId="11537ADA" w14:textId="7A6E8E6B" w:rsidR="008B544D" w:rsidRPr="004E0F3F" w:rsidRDefault="008B544D" w:rsidP="008B544D">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 xml:space="preserve">Franks, J.R. and W. N. </w:t>
      </w:r>
      <w:proofErr w:type="spellStart"/>
      <w:r w:rsidRPr="004E0F3F">
        <w:rPr>
          <w:rFonts w:ascii="CMU Sans Serif Medium" w:hAnsi="CMU Sans Serif Medium" w:cs="CMU Sans Serif Medium"/>
          <w:sz w:val="24"/>
        </w:rPr>
        <w:t>Torous</w:t>
      </w:r>
      <w:proofErr w:type="spellEnd"/>
      <w:r w:rsidRPr="004E0F3F">
        <w:rPr>
          <w:rFonts w:ascii="CMU Sans Serif Medium" w:hAnsi="CMU Sans Serif Medium" w:cs="CMU Sans Serif Medium"/>
          <w:sz w:val="24"/>
        </w:rPr>
        <w:t>, "How Shareholders and Creditors Fare in Workouts and Chapter 11 Reorganizations," Journal of Financial Economics (May), 349-351.</w:t>
      </w:r>
    </w:p>
    <w:p w14:paraId="13BADCC2" w14:textId="42986B6F" w:rsidR="001A0275" w:rsidRPr="004E0F3F" w:rsidRDefault="001A0275" w:rsidP="001A0275">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According to. to Gessner et al. (1978) in a study commissioned by the German Federal Ministry of Justice, the average time spent in compulsory liquidation is 27.5 months</w:t>
      </w:r>
    </w:p>
    <w:p w14:paraId="65DC0CC4" w14:textId="3D7AE1FD" w:rsidR="009B2E33" w:rsidRPr="004E0F3F" w:rsidRDefault="00C540BA" w:rsidP="00D225CE">
      <w:pPr>
        <w:rPr>
          <w:rFonts w:ascii="CMU Sans Serif Medium" w:hAnsi="CMU Sans Serif Medium" w:cs="CMU Sans Serif Medium"/>
        </w:rPr>
      </w:pPr>
      <w:r w:rsidRPr="004E0F3F">
        <w:rPr>
          <w:rFonts w:ascii="CMU Sans Serif Medium" w:hAnsi="CMU Sans Serif Medium" w:cs="CMU Sans Serif Medium"/>
        </w:rPr>
        <w:t>LEO</w:t>
      </w:r>
    </w:p>
    <w:p w14:paraId="6F1E62E1"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br/>
        <w:t xml:space="preserve">There have been several journal articles that have studied insolvency laws in the UK, USA, and Germany. Here are a few examples: </w:t>
      </w:r>
    </w:p>
    <w:p w14:paraId="3454CA10"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"Insolvency Law and Practice in the United Kingdom" by Paul Omar and Andrew </w:t>
      </w:r>
      <w:proofErr w:type="spellStart"/>
      <w:r w:rsidRPr="004E0F3F">
        <w:rPr>
          <w:rFonts w:ascii="CMU Sans Serif Medium" w:hAnsi="CMU Sans Serif Medium" w:cs="CMU Sans Serif Medium"/>
        </w:rPr>
        <w:t>Keay</w:t>
      </w:r>
      <w:proofErr w:type="spellEnd"/>
      <w:r w:rsidRPr="004E0F3F">
        <w:rPr>
          <w:rFonts w:ascii="CMU Sans Serif Medium" w:hAnsi="CMU Sans Serif Medium" w:cs="CMU Sans Serif Medium"/>
        </w:rPr>
        <w:t xml:space="preserve"> (Journal of Business Law, 2018) </w:t>
      </w:r>
    </w:p>
    <w:p w14:paraId="203F90DD"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"The US Bankruptcy Code: A Comparative Analysis with the UK Insolvency Act 1986" by S.M. Ali and M.A. </w:t>
      </w:r>
      <w:proofErr w:type="spellStart"/>
      <w:r w:rsidRPr="004E0F3F">
        <w:rPr>
          <w:rFonts w:ascii="CMU Sans Serif Medium" w:hAnsi="CMU Sans Serif Medium" w:cs="CMU Sans Serif Medium"/>
        </w:rPr>
        <w:t>Quayyum</w:t>
      </w:r>
      <w:proofErr w:type="spellEnd"/>
      <w:r w:rsidRPr="004E0F3F">
        <w:rPr>
          <w:rFonts w:ascii="CMU Sans Serif Medium" w:hAnsi="CMU Sans Serif Medium" w:cs="CMU Sans Serif Medium"/>
        </w:rPr>
        <w:t xml:space="preserve"> (</w:t>
      </w:r>
      <w:r w:rsidRPr="004E0F3F">
        <w:rPr>
          <w:rFonts w:ascii="CMU Sans Serif Medium" w:hAnsi="CMU Sans Serif Medium" w:cs="CMU Sans Serif Medium"/>
          <w:highlight w:val="cyan"/>
        </w:rPr>
        <w:t>Journal of International Business and Law</w:t>
      </w:r>
      <w:r w:rsidRPr="004E0F3F">
        <w:rPr>
          <w:rFonts w:ascii="CMU Sans Serif Medium" w:hAnsi="CMU Sans Serif Medium" w:cs="CMU Sans Serif Medium"/>
        </w:rPr>
        <w:t xml:space="preserve">, 2017) </w:t>
      </w:r>
    </w:p>
    <w:p w14:paraId="77BC5F9F"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"Insolvency Law in Germany: An Overview" by J. H. H. </w:t>
      </w:r>
      <w:proofErr w:type="spellStart"/>
      <w:r w:rsidRPr="004E0F3F">
        <w:rPr>
          <w:rFonts w:ascii="CMU Sans Serif Medium" w:hAnsi="CMU Sans Serif Medium" w:cs="CMU Sans Serif Medium"/>
        </w:rPr>
        <w:t>Weiler</w:t>
      </w:r>
      <w:proofErr w:type="spellEnd"/>
      <w:r w:rsidRPr="004E0F3F">
        <w:rPr>
          <w:rFonts w:ascii="CMU Sans Serif Medium" w:hAnsi="CMU Sans Serif Medium" w:cs="CMU Sans Serif Medium"/>
        </w:rPr>
        <w:t xml:space="preserve"> (</w:t>
      </w:r>
      <w:r w:rsidRPr="004E0F3F">
        <w:rPr>
          <w:rFonts w:ascii="CMU Sans Serif Medium" w:hAnsi="CMU Sans Serif Medium" w:cs="CMU Sans Serif Medium"/>
          <w:highlight w:val="cyan"/>
        </w:rPr>
        <w:t>Journal of International Banking and Financial Law</w:t>
      </w:r>
      <w:r w:rsidRPr="004E0F3F">
        <w:rPr>
          <w:rFonts w:ascii="CMU Sans Serif Medium" w:hAnsi="CMU Sans Serif Medium" w:cs="CMU Sans Serif Medium"/>
        </w:rPr>
        <w:t xml:space="preserve">, 2016) </w:t>
      </w:r>
    </w:p>
    <w:p w14:paraId="7FC53D5C" w14:textId="41A52655"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These articles provide a comprehensive overview of the insolvency laws in each country and offer valuable insights into the similarities and differences between the three jurisdictions.</w:t>
      </w:r>
    </w:p>
    <w:p w14:paraId="7A7C2F9A"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There have been several studies and journal articles published on the efficiency of bankruptcy laws. Here are a few examples: </w:t>
      </w:r>
    </w:p>
    <w:p w14:paraId="79F5D232"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1. "Bankruptcy Laws and Firm Performance" by David A. Dill and John D. Horton (Journal of Financial Economics, 2003). This study examines the impact of bankruptcy laws on firm performance and finds that firms that are able to restructure through bankruptcy tend to perform better afterward. </w:t>
      </w:r>
    </w:p>
    <w:p w14:paraId="68D9697B"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2. "The Efficiency of Bankruptcy: An Empirical Analysis" by David J. Cox and Richard J. Cooper (Journal of Law and Economics, 1999). This study </w:t>
      </w:r>
      <w:proofErr w:type="spellStart"/>
      <w:r w:rsidRPr="004E0F3F">
        <w:rPr>
          <w:rFonts w:ascii="CMU Sans Serif Medium" w:hAnsi="CMU Sans Serif Medium" w:cs="CMU Sans Serif Medium"/>
        </w:rPr>
        <w:t>analyzes</w:t>
      </w:r>
      <w:proofErr w:type="spellEnd"/>
      <w:r w:rsidRPr="004E0F3F">
        <w:rPr>
          <w:rFonts w:ascii="CMU Sans Serif Medium" w:hAnsi="CMU Sans Serif Medium" w:cs="CMU Sans Serif Medium"/>
        </w:rPr>
        <w:t xml:space="preserve"> the efficiency of bankruptcy laws in the United States and finds that they are generally effective in resolving financial distress and maximizing value for creditors. </w:t>
      </w:r>
    </w:p>
    <w:p w14:paraId="4A90EF5F"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3. "The Impact of Bankruptcy Reforms on Firm Performance" by J. David Brown and John R. S. Fraser (Journal of Financial Economics, 2007). This study examines the impact of bankruptcy reforms in the United States and Canada and finds that the reforms have improved the efficiency of the bankruptcy process and increased the likelihood of successful restructuring. </w:t>
      </w:r>
    </w:p>
    <w:p w14:paraId="573D2A50"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4. "Bankruptcy Laws and the Reallocation of Resources: Evidence from the US Airline Industry" by David A. Hyman and Mark J. Roe (Journal of Law and Economics, 2012). This study examines the impact of bankruptcy laws on the reallocation of resources in the US airline industry and finds that bankruptcy has played an important role in the restructuring and reallocation of resources. </w:t>
      </w:r>
    </w:p>
    <w:p w14:paraId="4CCFFC4A" w14:textId="353BEE99"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These studies and articles provide some evidence on the efficiency of bankruptcy laws, but it's important to note that the efficiency of bankruptcy laws can depend on a variety of factors, including the specific legal framework, the nature of the debtor's financial distress, and the overall economic conditions.</w:t>
      </w:r>
    </w:p>
    <w:p w14:paraId="2E3C8133" w14:textId="77777777" w:rsidR="00C540BA" w:rsidRPr="004E0F3F" w:rsidRDefault="00C540BA" w:rsidP="00D225CE">
      <w:pPr>
        <w:rPr>
          <w:rFonts w:ascii="CMU Sans Serif Medium" w:hAnsi="CMU Sans Serif Medium" w:cs="CMU Sans Serif Medium"/>
          <w:color w:val="000000" w:themeColor="text1"/>
        </w:rPr>
      </w:pPr>
    </w:p>
    <w:p w14:paraId="23091B50" w14:textId="77777777" w:rsidR="009B2E33" w:rsidRPr="004E0F3F" w:rsidRDefault="009B2E33" w:rsidP="00D225CE">
      <w:pPr>
        <w:rPr>
          <w:rFonts w:ascii="CMU Sans Serif Medium" w:hAnsi="CMU Sans Serif Medium" w:cs="CMU Sans Serif Medium"/>
          <w:color w:val="000000" w:themeColor="text1"/>
        </w:rPr>
      </w:pPr>
    </w:p>
    <w:sectPr w:rsidR="009B2E33" w:rsidRPr="004E0F3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CMU Sans Serif">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DFB"/>
    <w:multiLevelType w:val="hybridMultilevel"/>
    <w:tmpl w:val="64BC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835DDB"/>
    <w:multiLevelType w:val="hybridMultilevel"/>
    <w:tmpl w:val="FCB2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5"/>
  </w:num>
  <w:num w:numId="6">
    <w:abstractNumId w:val="2"/>
  </w:num>
  <w:num w:numId="7">
    <w:abstractNumId w:val="3"/>
  </w:num>
  <w:num w:numId="8">
    <w:abstractNumId w:val="10"/>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33AB4"/>
    <w:rsid w:val="00050584"/>
    <w:rsid w:val="00053B9F"/>
    <w:rsid w:val="00054DB0"/>
    <w:rsid w:val="000C2D2C"/>
    <w:rsid w:val="000E650A"/>
    <w:rsid w:val="000F5F2D"/>
    <w:rsid w:val="000F76F1"/>
    <w:rsid w:val="00116235"/>
    <w:rsid w:val="0018758C"/>
    <w:rsid w:val="001A0275"/>
    <w:rsid w:val="001B4D5C"/>
    <w:rsid w:val="002236D8"/>
    <w:rsid w:val="0025562E"/>
    <w:rsid w:val="00275C19"/>
    <w:rsid w:val="002A3C30"/>
    <w:rsid w:val="002C128B"/>
    <w:rsid w:val="002C36B1"/>
    <w:rsid w:val="002D4DA1"/>
    <w:rsid w:val="002F1373"/>
    <w:rsid w:val="002F4E7F"/>
    <w:rsid w:val="00310322"/>
    <w:rsid w:val="00340DA7"/>
    <w:rsid w:val="00351701"/>
    <w:rsid w:val="0039646A"/>
    <w:rsid w:val="003A4203"/>
    <w:rsid w:val="004805F8"/>
    <w:rsid w:val="004A53BF"/>
    <w:rsid w:val="004C297B"/>
    <w:rsid w:val="004E0F3F"/>
    <w:rsid w:val="004E1424"/>
    <w:rsid w:val="00552319"/>
    <w:rsid w:val="00555E92"/>
    <w:rsid w:val="00572194"/>
    <w:rsid w:val="0057701B"/>
    <w:rsid w:val="00586F1D"/>
    <w:rsid w:val="0059306A"/>
    <w:rsid w:val="005A1A3C"/>
    <w:rsid w:val="005C28BD"/>
    <w:rsid w:val="005C771C"/>
    <w:rsid w:val="005D05F6"/>
    <w:rsid w:val="00615A59"/>
    <w:rsid w:val="00693EB4"/>
    <w:rsid w:val="006C664E"/>
    <w:rsid w:val="007773D8"/>
    <w:rsid w:val="007A3817"/>
    <w:rsid w:val="007A471E"/>
    <w:rsid w:val="007B322F"/>
    <w:rsid w:val="007D6D71"/>
    <w:rsid w:val="00810935"/>
    <w:rsid w:val="00855E68"/>
    <w:rsid w:val="008848A8"/>
    <w:rsid w:val="008B544D"/>
    <w:rsid w:val="008C47BD"/>
    <w:rsid w:val="008D7820"/>
    <w:rsid w:val="008E0766"/>
    <w:rsid w:val="00917C40"/>
    <w:rsid w:val="00941B4B"/>
    <w:rsid w:val="00941E49"/>
    <w:rsid w:val="0097098F"/>
    <w:rsid w:val="00987336"/>
    <w:rsid w:val="009B2E33"/>
    <w:rsid w:val="009B5ED6"/>
    <w:rsid w:val="009F3676"/>
    <w:rsid w:val="009F38EE"/>
    <w:rsid w:val="00A76FAF"/>
    <w:rsid w:val="00A9350A"/>
    <w:rsid w:val="00B07F65"/>
    <w:rsid w:val="00B12DBC"/>
    <w:rsid w:val="00B24C5C"/>
    <w:rsid w:val="00B45225"/>
    <w:rsid w:val="00B50CD0"/>
    <w:rsid w:val="00B56F50"/>
    <w:rsid w:val="00B6175C"/>
    <w:rsid w:val="00B640F9"/>
    <w:rsid w:val="00BC0EA4"/>
    <w:rsid w:val="00BD58FD"/>
    <w:rsid w:val="00C03FE5"/>
    <w:rsid w:val="00C341F0"/>
    <w:rsid w:val="00C540BA"/>
    <w:rsid w:val="00C6584C"/>
    <w:rsid w:val="00CA0E5E"/>
    <w:rsid w:val="00CC7986"/>
    <w:rsid w:val="00CF27F4"/>
    <w:rsid w:val="00D14399"/>
    <w:rsid w:val="00D225CE"/>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87B0F"/>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225"/>
    <w:rPr>
      <w:rFonts w:ascii="Times New Roman" w:hAnsi="Times New Roman" w:cs="Times New Roman"/>
    </w:rPr>
  </w:style>
  <w:style w:type="paragraph" w:styleId="Heading2">
    <w:name w:val="heading 2"/>
    <w:basedOn w:val="Normal"/>
    <w:next w:val="Normal"/>
    <w:link w:val="Heading2Char"/>
    <w:autoRedefine/>
    <w:uiPriority w:val="9"/>
    <w:unhideWhenUsed/>
    <w:qFormat/>
    <w:rsid w:val="004A53BF"/>
    <w:pPr>
      <w:keepNext/>
      <w:keepLines/>
      <w:shd w:val="clear" w:color="auto" w:fill="FFFFFF"/>
      <w:spacing w:before="40" w:after="120"/>
      <w:contextualSpacing/>
      <w:jc w:val="both"/>
      <w:outlineLvl w:val="1"/>
    </w:pPr>
    <w:rPr>
      <w:rFonts w:ascii="Latin Modern Sans 12" w:eastAsiaTheme="majorEastAsia" w:hAnsi="Latin Modern Sans 12" w:cstheme="majorBidi"/>
      <w:color w:val="ED7D31" w:themeColor="accen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hd w:val="clear" w:color="auto" w:fill="FFFFFF"/>
      <w:spacing w:before="100" w:beforeAutospacing="1" w:afterLines="120" w:after="120"/>
      <w:contextualSpacing/>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hd w:val="clear" w:color="auto" w:fill="FFFFFF"/>
      <w:spacing w:after="120"/>
      <w:ind w:left="720"/>
      <w:contextualSpacing/>
      <w:jc w:val="both"/>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hd w:val="clear" w:color="auto" w:fill="FFFFFF"/>
      <w:spacing w:before="100" w:beforeAutospacing="1" w:after="100" w:afterAutospacing="1"/>
      <w:contextualSpacing/>
      <w:jc w:val="both"/>
    </w:pPr>
    <w:rPr>
      <w:rFonts w:ascii="CMU Sans Serif" w:hAnsi="CMU Sans Serif"/>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 w:type="character" w:customStyle="1" w:styleId="anchor-text">
    <w:name w:val="anchor-text"/>
    <w:basedOn w:val="DefaultParagraphFont"/>
    <w:rsid w:val="004E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202987519">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99826928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32843480">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0417994">
      <w:bodyDiv w:val="1"/>
      <w:marLeft w:val="0"/>
      <w:marRight w:val="0"/>
      <w:marTop w:val="0"/>
      <w:marBottom w:val="0"/>
      <w:divBdr>
        <w:top w:val="none" w:sz="0" w:space="0" w:color="auto"/>
        <w:left w:val="none" w:sz="0" w:space="0" w:color="auto"/>
        <w:bottom w:val="none" w:sz="0" w:space="0" w:color="auto"/>
        <w:right w:val="none" w:sz="0" w:space="0" w:color="auto"/>
      </w:divBdr>
      <w:divsChild>
        <w:div w:id="855581607">
          <w:marLeft w:val="0"/>
          <w:marRight w:val="0"/>
          <w:marTop w:val="0"/>
          <w:marBottom w:val="0"/>
          <w:divBdr>
            <w:top w:val="none" w:sz="0" w:space="0" w:color="auto"/>
            <w:left w:val="none" w:sz="0" w:space="0" w:color="auto"/>
            <w:bottom w:val="none" w:sz="0" w:space="0" w:color="auto"/>
            <w:right w:val="none" w:sz="0" w:space="0" w:color="auto"/>
          </w:divBdr>
          <w:divsChild>
            <w:div w:id="248585876">
              <w:marLeft w:val="0"/>
              <w:marRight w:val="0"/>
              <w:marTop w:val="0"/>
              <w:marBottom w:val="0"/>
              <w:divBdr>
                <w:top w:val="none" w:sz="0" w:space="0" w:color="auto"/>
                <w:left w:val="none" w:sz="0" w:space="0" w:color="auto"/>
                <w:bottom w:val="none" w:sz="0" w:space="0" w:color="auto"/>
                <w:right w:val="none" w:sz="0" w:space="0" w:color="auto"/>
              </w:divBdr>
              <w:divsChild>
                <w:div w:id="8721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64694">
          <w:marLeft w:val="0"/>
          <w:marRight w:val="0"/>
          <w:marTop w:val="0"/>
          <w:marBottom w:val="0"/>
          <w:divBdr>
            <w:top w:val="none" w:sz="0" w:space="0" w:color="auto"/>
            <w:left w:val="none" w:sz="0" w:space="0" w:color="auto"/>
            <w:bottom w:val="none" w:sz="0" w:space="0" w:color="auto"/>
            <w:right w:val="none" w:sz="0" w:space="0" w:color="auto"/>
          </w:divBdr>
          <w:divsChild>
            <w:div w:id="376205848">
              <w:marLeft w:val="0"/>
              <w:marRight w:val="0"/>
              <w:marTop w:val="240"/>
              <w:marBottom w:val="0"/>
              <w:divBdr>
                <w:top w:val="none" w:sz="0" w:space="0" w:color="auto"/>
                <w:left w:val="none" w:sz="0" w:space="0" w:color="auto"/>
                <w:bottom w:val="none" w:sz="0" w:space="0" w:color="auto"/>
                <w:right w:val="none" w:sz="0" w:space="0" w:color="auto"/>
              </w:divBdr>
              <w:divsChild>
                <w:div w:id="1568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835">
          <w:marLeft w:val="0"/>
          <w:marRight w:val="0"/>
          <w:marTop w:val="0"/>
          <w:marBottom w:val="0"/>
          <w:divBdr>
            <w:top w:val="none" w:sz="0" w:space="0" w:color="auto"/>
            <w:left w:val="none" w:sz="0" w:space="0" w:color="auto"/>
            <w:bottom w:val="none" w:sz="0" w:space="0" w:color="auto"/>
            <w:right w:val="none" w:sz="0" w:space="0" w:color="auto"/>
          </w:divBdr>
          <w:divsChild>
            <w:div w:id="909660908">
              <w:marLeft w:val="0"/>
              <w:marRight w:val="0"/>
              <w:marTop w:val="0"/>
              <w:marBottom w:val="0"/>
              <w:divBdr>
                <w:top w:val="none" w:sz="0" w:space="0" w:color="auto"/>
                <w:left w:val="none" w:sz="0" w:space="0" w:color="auto"/>
                <w:bottom w:val="none" w:sz="0" w:space="0" w:color="auto"/>
                <w:right w:val="none" w:sz="0" w:space="0" w:color="auto"/>
              </w:divBdr>
              <w:divsChild>
                <w:div w:id="14875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918">
          <w:marLeft w:val="0"/>
          <w:marRight w:val="0"/>
          <w:marTop w:val="0"/>
          <w:marBottom w:val="0"/>
          <w:divBdr>
            <w:top w:val="none" w:sz="0" w:space="0" w:color="auto"/>
            <w:left w:val="none" w:sz="0" w:space="0" w:color="auto"/>
            <w:bottom w:val="none" w:sz="0" w:space="0" w:color="auto"/>
            <w:right w:val="none" w:sz="0" w:space="0" w:color="auto"/>
          </w:divBdr>
          <w:divsChild>
            <w:div w:id="564099388">
              <w:marLeft w:val="0"/>
              <w:marRight w:val="0"/>
              <w:marTop w:val="240"/>
              <w:marBottom w:val="0"/>
              <w:divBdr>
                <w:top w:val="none" w:sz="0" w:space="0" w:color="auto"/>
                <w:left w:val="none" w:sz="0" w:space="0" w:color="auto"/>
                <w:bottom w:val="none" w:sz="0" w:space="0" w:color="auto"/>
                <w:right w:val="none" w:sz="0" w:space="0" w:color="auto"/>
              </w:divBdr>
              <w:divsChild>
                <w:div w:id="1377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302">
          <w:marLeft w:val="0"/>
          <w:marRight w:val="0"/>
          <w:marTop w:val="0"/>
          <w:marBottom w:val="0"/>
          <w:divBdr>
            <w:top w:val="none" w:sz="0" w:space="0" w:color="auto"/>
            <w:left w:val="none" w:sz="0" w:space="0" w:color="auto"/>
            <w:bottom w:val="none" w:sz="0" w:space="0" w:color="auto"/>
            <w:right w:val="none" w:sz="0" w:space="0" w:color="auto"/>
          </w:divBdr>
          <w:divsChild>
            <w:div w:id="1311130726">
              <w:marLeft w:val="0"/>
              <w:marRight w:val="0"/>
              <w:marTop w:val="0"/>
              <w:marBottom w:val="0"/>
              <w:divBdr>
                <w:top w:val="none" w:sz="0" w:space="0" w:color="auto"/>
                <w:left w:val="none" w:sz="0" w:space="0" w:color="auto"/>
                <w:bottom w:val="none" w:sz="0" w:space="0" w:color="auto"/>
                <w:right w:val="none" w:sz="0" w:space="0" w:color="auto"/>
              </w:divBdr>
              <w:divsChild>
                <w:div w:id="10506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855028450">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1982146920">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 w:id="21325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moneycontrol.com/news/business/economy/sbi-takes-3-of-the-12-accounts-to-bankruptcy-court-for-resolution-231321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mdpi.com/1911-8074/12/4/185" TargetMode="External"/><Relationship Id="rId2" Type="http://schemas.openxmlformats.org/officeDocument/2006/relationships/styles" Target="styles.xml"/><Relationship Id="rId16" Type="http://schemas.openxmlformats.org/officeDocument/2006/relationships/hyperlink" Target="https://www.mdpi.com/1911-8074/12/4/1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929119920302807" TargetMode="External"/><Relationship Id="rId11" Type="http://schemas.openxmlformats.org/officeDocument/2006/relationships/hyperlink" Target="https://www.mdpi.com/1911-8074/12/4/185" TargetMode="External"/><Relationship Id="rId5" Type="http://schemas.openxmlformats.org/officeDocument/2006/relationships/hyperlink" Target="https://www.sciencedirect.com/science/article/pii/S0929119920302807"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hyperlink" Target="https://www.sciencedirect.com/topics/economics-econometrics-and-finance/bankruptcy" TargetMode="Externa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5587</Words>
  <Characters>31851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66</cp:revision>
  <dcterms:created xsi:type="dcterms:W3CDTF">2023-10-12T15:33:00Z</dcterms:created>
  <dcterms:modified xsi:type="dcterms:W3CDTF">2023-11-23T15:00:00Z</dcterms:modified>
</cp:coreProperties>
</file>