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C0EA4">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C0EA4">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C0EA4">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0F76F1">
      <w:pPr>
        <w:pStyle w:val="ListParagraph"/>
        <w:numPr>
          <w:ilvl w:val="0"/>
          <w:numId w:val="5"/>
        </w:numPr>
        <w:rPr>
          <w:sz w:val="38"/>
          <w:szCs w:val="38"/>
          <w:lang w:val="en-US"/>
        </w:rPr>
      </w:pPr>
      <w:r w:rsidRPr="002C128B">
        <w:rPr>
          <w:sz w:val="38"/>
          <w:szCs w:val="38"/>
          <w:lang w:val="en-US"/>
        </w:rPr>
        <w:t>A fundamental problem in economics is determining how agreements are reached in situations where the parties</w:t>
      </w:r>
      <w:r w:rsidR="007D6D71" w:rsidRPr="002C128B">
        <w:rPr>
          <w:sz w:val="38"/>
          <w:szCs w:val="38"/>
          <w:lang w:val="en-US"/>
        </w:rPr>
        <w:t xml:space="preserve"> </w:t>
      </w:r>
      <w:r w:rsidRPr="002C128B">
        <w:rPr>
          <w:sz w:val="38"/>
          <w:szCs w:val="38"/>
          <w:lang w:val="en-US"/>
        </w:rPr>
        <w:t xml:space="preserve">have some market power. I explore these questions in the context of </w:t>
      </w:r>
      <w:r w:rsidRPr="002C128B">
        <w:rPr>
          <w:sz w:val="38"/>
          <w:szCs w:val="38"/>
          <w:highlight w:val="yellow"/>
          <w:lang w:val="en-US"/>
        </w:rPr>
        <w:t>bilateral monopoly</w:t>
      </w:r>
      <w:r w:rsidRPr="002C128B">
        <w:rPr>
          <w:sz w:val="38"/>
          <w:szCs w:val="38"/>
          <w:lang w:val="en-US"/>
        </w:rPr>
        <w:t>, in which a buyer and a seller are bargaining</w:t>
      </w:r>
      <w:r w:rsidR="007D6D71" w:rsidRPr="002C128B">
        <w:rPr>
          <w:sz w:val="38"/>
          <w:szCs w:val="38"/>
          <w:lang w:val="en-US"/>
        </w:rPr>
        <w:t xml:space="preserve"> </w:t>
      </w:r>
      <w:r w:rsidRPr="002C128B">
        <w:rPr>
          <w:sz w:val="38"/>
          <w:szCs w:val="38"/>
          <w:lang w:val="en-US"/>
        </w:rPr>
        <w:t>over the price of an object.</w:t>
      </w:r>
      <w:r w:rsidR="007D6D71" w:rsidRPr="002C128B">
        <w:rPr>
          <w:sz w:val="38"/>
          <w:szCs w:val="38"/>
          <w:lang w:val="en-US"/>
        </w:rPr>
        <w:t xml:space="preserve"> </w:t>
      </w:r>
      <w:r w:rsidRPr="002C128B">
        <w:rPr>
          <w:sz w:val="38"/>
          <w:szCs w:val="38"/>
          <w:lang w:val="en-US"/>
        </w:rPr>
        <w:t>Two features of my analysis, which are important in any bargaining setting, are information and impatience.</w:t>
      </w:r>
      <w:r w:rsidR="007D6D71" w:rsidRPr="002C128B">
        <w:rPr>
          <w:sz w:val="38"/>
          <w:szCs w:val="38"/>
          <w:lang w:val="en-US"/>
        </w:rPr>
        <w:t xml:space="preserve"> </w:t>
      </w:r>
      <w:r w:rsidRPr="002C128B">
        <w:rPr>
          <w:sz w:val="38"/>
          <w:szCs w:val="38"/>
          <w:lang w:val="en-US"/>
        </w:rPr>
        <w:t>The bargainers typically have private information about their preferences and will suffer some delay costs if</w:t>
      </w:r>
      <w:r w:rsidR="007D6D71" w:rsidRPr="002C128B">
        <w:rPr>
          <w:sz w:val="38"/>
          <w:szCs w:val="38"/>
          <w:lang w:val="en-US"/>
        </w:rPr>
        <w:t xml:space="preserve"> </w:t>
      </w:r>
      <w:r w:rsidRPr="002C128B">
        <w:rPr>
          <w:sz w:val="38"/>
          <w:szCs w:val="38"/>
          <w:lang w:val="en-US"/>
        </w:rPr>
        <w:t>agreement is postponed. Information asymmetries between bargainers will often lead to inefficiencies</w:t>
      </w:r>
      <w:r w:rsidR="007D6D71" w:rsidRPr="002C128B">
        <w:rPr>
          <w:sz w:val="38"/>
          <w:szCs w:val="38"/>
          <w:lang w:val="en-US"/>
        </w:rPr>
        <w:t xml:space="preserve"> </w:t>
      </w:r>
    </w:p>
    <w:p w14:paraId="702DB00A" w14:textId="77777777" w:rsidR="007D6D71" w:rsidRPr="002C128B" w:rsidRDefault="007D6D71" w:rsidP="000F76F1">
      <w:pPr>
        <w:pStyle w:val="ListParagraph"/>
        <w:numPr>
          <w:ilvl w:val="0"/>
          <w:numId w:val="5"/>
        </w:numPr>
        <w:rPr>
          <w:sz w:val="38"/>
          <w:szCs w:val="38"/>
          <w:lang w:val="en-US"/>
        </w:rPr>
      </w:pPr>
      <w:r w:rsidRPr="002C128B">
        <w:rPr>
          <w:sz w:val="38"/>
          <w:szCs w:val="38"/>
          <w:lang w:val="en-US"/>
        </w:rPr>
        <w:t>General bargaining mechanisms. Not bankruptcy</w:t>
      </w:r>
    </w:p>
    <w:p w14:paraId="23C75E4E" w14:textId="77777777" w:rsidR="007D6D71" w:rsidRPr="002C128B" w:rsidRDefault="00586F1D" w:rsidP="000F76F1">
      <w:pPr>
        <w:pStyle w:val="ListParagraph"/>
        <w:numPr>
          <w:ilvl w:val="0"/>
          <w:numId w:val="5"/>
        </w:numPr>
        <w:rPr>
          <w:sz w:val="38"/>
          <w:szCs w:val="38"/>
          <w:lang w:val="en-US"/>
        </w:rPr>
      </w:pPr>
      <w:r w:rsidRPr="002C128B">
        <w:rPr>
          <w:sz w:val="38"/>
          <w:szCs w:val="38"/>
          <w:lang w:val="en-US"/>
        </w:rPr>
        <w:t xml:space="preserve">Some authors have examined the bargaining problem in a static context, focusing solely on the role of incomplete information and ignoring the sequential aspects of bargaining. Myerson and Satterthwaite (1983) </w:t>
      </w:r>
      <w:r w:rsidRPr="002C128B">
        <w:rPr>
          <w:sz w:val="38"/>
          <w:szCs w:val="38"/>
          <w:highlight w:val="yellow"/>
          <w:lang w:val="en-US"/>
        </w:rPr>
        <w:t>analyze bargaining as a direct revelation game.</w:t>
      </w:r>
      <w:r w:rsidRPr="002C128B">
        <w:rPr>
          <w:sz w:val="38"/>
          <w:szCs w:val="38"/>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0F76F1">
      <w:pPr>
        <w:pStyle w:val="ListParagraph"/>
        <w:numPr>
          <w:ilvl w:val="0"/>
          <w:numId w:val="5"/>
        </w:numPr>
        <w:rPr>
          <w:sz w:val="38"/>
          <w:szCs w:val="38"/>
          <w:lang w:val="en-US"/>
        </w:rPr>
      </w:pPr>
      <w:r w:rsidRPr="002C128B">
        <w:rPr>
          <w:sz w:val="38"/>
          <w:szCs w:val="38"/>
          <w:lang w:val="en-US"/>
        </w:rPr>
        <w:t>Chatterjee and Samuelson (1983) analyze a strategic game in which both players make offers simultaneously,</w:t>
      </w:r>
      <w:r w:rsidR="00941E49" w:rsidRPr="002C128B">
        <w:rPr>
          <w:sz w:val="38"/>
          <w:szCs w:val="38"/>
          <w:lang w:val="en-US"/>
        </w:rPr>
        <w:t xml:space="preserve"> </w:t>
      </w:r>
      <w:r w:rsidRPr="002C128B">
        <w:rPr>
          <w:sz w:val="38"/>
          <w:szCs w:val="38"/>
          <w:lang w:val="en-US"/>
        </w:rPr>
        <w:t>and trade occurs at a price between the two offers if the seller’s offer is less than the buyer’s offer</w:t>
      </w:r>
    </w:p>
    <w:p w14:paraId="7858B538" w14:textId="77777777" w:rsidR="00B07F65" w:rsidRPr="002C128B" w:rsidRDefault="00B07F65" w:rsidP="000F76F1">
      <w:pPr>
        <w:pStyle w:val="ListParagraph"/>
        <w:numPr>
          <w:ilvl w:val="0"/>
          <w:numId w:val="5"/>
        </w:numPr>
        <w:rPr>
          <w:sz w:val="38"/>
          <w:szCs w:val="38"/>
          <w:lang w:val="en-US"/>
        </w:rPr>
      </w:pPr>
      <w:r w:rsidRPr="002C128B">
        <w:rPr>
          <w:sz w:val="38"/>
          <w:szCs w:val="38"/>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sz w:val="38"/>
          <w:szCs w:val="38"/>
          <w:lang w:val="en-US"/>
        </w:rPr>
        <w:t>Selten</w:t>
      </w:r>
      <w:proofErr w:type="spellEnd"/>
      <w:r w:rsidRPr="002C128B">
        <w:rPr>
          <w:sz w:val="38"/>
          <w:szCs w:val="38"/>
          <w:lang w:val="en-US"/>
        </w:rPr>
        <w:t xml:space="preserve"> (1976) (in terms of subgame perfection), and later by Kreps and Wilson (1982),</w:t>
      </w:r>
    </w:p>
    <w:p w14:paraId="7E2D2A57" w14:textId="77777777" w:rsidR="00B07F65" w:rsidRPr="002C128B" w:rsidRDefault="00B07F65" w:rsidP="000F76F1">
      <w:pPr>
        <w:pStyle w:val="ListParagraph"/>
        <w:numPr>
          <w:ilvl w:val="0"/>
          <w:numId w:val="5"/>
        </w:numPr>
        <w:rPr>
          <w:sz w:val="38"/>
          <w:szCs w:val="38"/>
          <w:highlight w:val="lightGray"/>
          <w:lang w:val="en-US"/>
        </w:rPr>
      </w:pPr>
      <w:r w:rsidRPr="002C128B">
        <w:rPr>
          <w:sz w:val="38"/>
          <w:szCs w:val="38"/>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0F76F1">
      <w:pPr>
        <w:pStyle w:val="ListParagraph"/>
        <w:numPr>
          <w:ilvl w:val="0"/>
          <w:numId w:val="5"/>
        </w:numPr>
        <w:rPr>
          <w:sz w:val="38"/>
          <w:szCs w:val="38"/>
          <w:lang w:val="en-US"/>
        </w:rPr>
      </w:pPr>
      <w:r w:rsidRPr="002C128B">
        <w:rPr>
          <w:sz w:val="38"/>
          <w:szCs w:val="38"/>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sz w:val="38"/>
          <w:szCs w:val="38"/>
          <w:highlight w:val="lightGray"/>
          <w:lang w:val="en-US"/>
        </w:rPr>
        <w:t>high-cost sellers and low-valuation buyers will prefer to wait for better terms of trade</w:t>
      </w:r>
    </w:p>
    <w:p w14:paraId="0D10BCBF" w14:textId="77777777" w:rsidR="00572194" w:rsidRPr="008848A8" w:rsidRDefault="00572194" w:rsidP="00BC0EA4">
      <w:pPr>
        <w:rPr>
          <w:lang w:val="en-US"/>
        </w:rPr>
      </w:pPr>
    </w:p>
    <w:p w14:paraId="7E93DBB3" w14:textId="129DA7E4" w:rsidR="006C664E" w:rsidRPr="008848A8" w:rsidRDefault="00572194" w:rsidP="00BC0EA4">
      <w:pPr>
        <w:rPr>
          <w:lang w:val="en-US"/>
        </w:rPr>
      </w:pPr>
      <w:r w:rsidRPr="008848A8">
        <w:rPr>
          <w:lang w:val="en-US"/>
        </w:rPr>
        <w:t>Baird &amp; Picker 1991</w:t>
      </w:r>
    </w:p>
    <w:p w14:paraId="09606934" w14:textId="77777777" w:rsidR="006C664E" w:rsidRPr="00FE63B3" w:rsidRDefault="006C664E" w:rsidP="00FE63B3">
      <w:pPr>
        <w:pStyle w:val="ListParagraph"/>
        <w:numPr>
          <w:ilvl w:val="0"/>
          <w:numId w:val="4"/>
        </w:numPr>
        <w:rPr>
          <w:sz w:val="38"/>
          <w:highlight w:val="lightGray"/>
          <w:lang w:val="en-US"/>
        </w:rPr>
      </w:pPr>
      <w:r w:rsidRPr="00FE63B3">
        <w:rPr>
          <w:sz w:val="38"/>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sz w:val="38"/>
          <w:highlight w:val="lightGray"/>
        </w:rPr>
        <w:t>the first instance to allow them to act collectively</w:t>
      </w:r>
    </w:p>
    <w:p w14:paraId="5BA0B407" w14:textId="62DD2B7A" w:rsidR="004E1424" w:rsidRPr="00FE63B3" w:rsidRDefault="006C664E" w:rsidP="00FE63B3">
      <w:pPr>
        <w:pStyle w:val="ListParagraph"/>
        <w:numPr>
          <w:ilvl w:val="0"/>
          <w:numId w:val="4"/>
        </w:numPr>
        <w:rPr>
          <w:sz w:val="38"/>
          <w:lang w:val="en-US"/>
        </w:rPr>
      </w:pPr>
      <w:r w:rsidRPr="00FE63B3">
        <w:rPr>
          <w:sz w:val="38"/>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sz w:val="38"/>
          <w:lang w:val="en-US"/>
        </w:rPr>
        <w:t xml:space="preserve"> </w:t>
      </w:r>
    </w:p>
    <w:p w14:paraId="125771FC" w14:textId="4E2B5C5F" w:rsidR="00615A59" w:rsidRPr="00FE63B3" w:rsidRDefault="004E1424" w:rsidP="00FE63B3">
      <w:pPr>
        <w:pStyle w:val="ListParagraph"/>
        <w:numPr>
          <w:ilvl w:val="0"/>
          <w:numId w:val="4"/>
        </w:numPr>
        <w:rPr>
          <w:sz w:val="38"/>
          <w:lang w:val="en-US"/>
        </w:rPr>
      </w:pPr>
      <w:r w:rsidRPr="00FE63B3">
        <w:rPr>
          <w:sz w:val="38"/>
        </w:rPr>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sz w:val="38"/>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rPr>
          <w:sz w:val="38"/>
        </w:rPr>
        <w:t xml:space="preserve"> </w:t>
      </w:r>
    </w:p>
    <w:p w14:paraId="232C1154" w14:textId="77777777" w:rsidR="002C128B" w:rsidRDefault="002C128B" w:rsidP="002C128B">
      <w:pPr>
        <w:rPr>
          <w:sz w:val="38"/>
          <w:lang w:val="en-US"/>
        </w:rPr>
      </w:pPr>
    </w:p>
    <w:p w14:paraId="37BAABDA" w14:textId="1C988B7E" w:rsidR="00615A59" w:rsidRPr="002C128B" w:rsidRDefault="00615A59" w:rsidP="002C128B">
      <w:pPr>
        <w:rPr>
          <w:lang w:val="en-US"/>
        </w:rPr>
      </w:pPr>
      <w:proofErr w:type="spellStart"/>
      <w:r w:rsidRPr="002C128B">
        <w:rPr>
          <w:sz w:val="38"/>
          <w:lang w:val="en-US"/>
        </w:rPr>
        <w:t>Wh</w:t>
      </w:r>
      <w:r w:rsidRPr="002C128B">
        <w:rPr>
          <w:lang w:val="en-US"/>
        </w:rPr>
        <w:t>ite2007</w:t>
      </w:r>
      <w:proofErr w:type="spellEnd"/>
      <w:r w:rsidRPr="002C128B">
        <w:rPr>
          <w:lang w:val="en-US"/>
        </w:rPr>
        <w:t xml:space="preserve"> </w:t>
      </w:r>
    </w:p>
    <w:p w14:paraId="332C81A9" w14:textId="34A613F7" w:rsidR="00615A59" w:rsidRPr="008848A8" w:rsidRDefault="00615A59" w:rsidP="00050584">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050584">
      <w:pPr>
        <w:rPr>
          <w:lang w:val="en-US"/>
        </w:rPr>
      </w:pPr>
    </w:p>
    <w:p w14:paraId="343353FA" w14:textId="07071328" w:rsidR="005D05F6" w:rsidRPr="008848A8" w:rsidRDefault="005D05F6" w:rsidP="00BC0EA4">
      <w:pPr>
        <w:rPr>
          <w:lang w:val="en-US"/>
        </w:rPr>
      </w:pPr>
      <w:proofErr w:type="spellStart"/>
      <w:r w:rsidRPr="002C128B">
        <w:rPr>
          <w:highlight w:val="yellow"/>
          <w:lang w:val="en-US"/>
        </w:rPr>
        <w:t>Corneli1997</w:t>
      </w:r>
      <w:proofErr w:type="spellEnd"/>
    </w:p>
    <w:p w14:paraId="66C03802" w14:textId="04072898" w:rsidR="00275C19" w:rsidRPr="005C771C" w:rsidRDefault="005D05F6" w:rsidP="00BC0EA4">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426F3FBA" w14:textId="194927F3" w:rsidR="00275C19" w:rsidRPr="008848A8" w:rsidRDefault="00275C19" w:rsidP="00BC0EA4">
      <w:pPr>
        <w:rPr>
          <w:lang w:val="en-US"/>
        </w:rPr>
      </w:pPr>
      <w:proofErr w:type="spellStart"/>
      <w:r w:rsidRPr="008848A8">
        <w:rPr>
          <w:lang w:val="en-US"/>
        </w:rPr>
        <w:t>Korol2019</w:t>
      </w:r>
      <w:proofErr w:type="spellEnd"/>
    </w:p>
    <w:p w14:paraId="7513EBC4" w14:textId="77777777" w:rsidR="00275C19" w:rsidRPr="009F3676" w:rsidRDefault="00275C19" w:rsidP="00BC0EA4">
      <w:pPr>
        <w:pStyle w:val="ListParagraph"/>
        <w:numPr>
          <w:ilvl w:val="0"/>
          <w:numId w:val="1"/>
        </w:numPr>
        <w:rPr>
          <w:rFonts w:ascii="Georgia" w:hAnsi="Georgia"/>
          <w:sz w:val="48"/>
        </w:rPr>
      </w:pPr>
      <w:r w:rsidRPr="009F3676">
        <w:rPr>
          <w:rFonts w:ascii="Georgia" w:hAnsi="Georgia"/>
          <w:sz w:val="48"/>
        </w:rPr>
        <w:t xml:space="preserve">Though the first law on bankruptcy was already written in 1542 in England during the reign of King Henry VIII, the first studies on forecasting bankruptcies took place in the </w:t>
      </w:r>
      <w:proofErr w:type="spellStart"/>
      <w:r w:rsidRPr="009F3676">
        <w:rPr>
          <w:rFonts w:ascii="Georgia" w:hAnsi="Georgia"/>
          <w:sz w:val="48"/>
        </w:rPr>
        <w:t>1960s</w:t>
      </w:r>
      <w:proofErr w:type="spellEnd"/>
      <w:r w:rsidRPr="009F3676">
        <w:rPr>
          <w:rFonts w:ascii="Georgia" w:hAnsi="Georgia"/>
          <w:sz w:val="48"/>
        </w:rPr>
        <w:t>, started by </w:t>
      </w:r>
      <w:hyperlink r:id="rId5" w:anchor="B13-jrfm-12-00185" w:history="1">
        <w:r w:rsidRPr="009F3676">
          <w:rPr>
            <w:rFonts w:ascii="Georgia" w:hAnsi="Georgia"/>
            <w:sz w:val="48"/>
          </w:rPr>
          <w:t>Beaver</w:t>
        </w:r>
      </w:hyperlink>
      <w:r w:rsidRPr="009F3676">
        <w:rPr>
          <w:rFonts w:ascii="Georgia" w:hAnsi="Georgia"/>
          <w:sz w:val="48"/>
        </w:rPr>
        <w:t> (</w:t>
      </w:r>
      <w:hyperlink r:id="rId6" w:anchor="B13-jrfm-12-00185" w:history="1">
        <w:r w:rsidRPr="009F3676">
          <w:rPr>
            <w:rFonts w:ascii="Georgia" w:hAnsi="Georgia"/>
            <w:sz w:val="48"/>
          </w:rPr>
          <w:t>1966</w:t>
        </w:r>
      </w:hyperlink>
      <w:r w:rsidRPr="009F3676">
        <w:rPr>
          <w:rFonts w:ascii="Georgia" w:hAnsi="Georgia"/>
          <w:sz w:val="48"/>
        </w:rPr>
        <w:t>) and </w:t>
      </w:r>
      <w:hyperlink r:id="rId7" w:anchor="B5-jrfm-12-00185" w:history="1">
        <w:r w:rsidRPr="009F3676">
          <w:rPr>
            <w:rFonts w:ascii="Georgia" w:hAnsi="Georgia"/>
            <w:sz w:val="48"/>
          </w:rPr>
          <w:t>Altman</w:t>
        </w:r>
      </w:hyperlink>
      <w:r w:rsidRPr="009F3676">
        <w:rPr>
          <w:rFonts w:ascii="Georgia" w:hAnsi="Georgia"/>
          <w:sz w:val="48"/>
        </w:rPr>
        <w:t> (</w:t>
      </w:r>
      <w:hyperlink r:id="rId8" w:anchor="B5-jrfm-12-00185" w:history="1">
        <w:r w:rsidRPr="009F3676">
          <w:rPr>
            <w:rFonts w:ascii="Georgia" w:hAnsi="Georgia"/>
            <w:sz w:val="48"/>
          </w:rPr>
          <w:t>1968</w:t>
        </w:r>
      </w:hyperlink>
      <w:r w:rsidRPr="009F3676">
        <w:rPr>
          <w:rFonts w:ascii="Georgia" w:hAnsi="Georgia"/>
          <w:sz w:val="48"/>
        </w:rPr>
        <w:t>). There are two main distinct strands of models that have been used to predict bankruptcy—statistical and artificial intelligence models.</w:t>
      </w:r>
    </w:p>
    <w:p w14:paraId="2C3AE557" w14:textId="525ABD5D" w:rsidR="00EB5F3F" w:rsidRPr="009F3676" w:rsidRDefault="00275C19" w:rsidP="00BC0EA4">
      <w:pPr>
        <w:pStyle w:val="ListParagraph"/>
        <w:numPr>
          <w:ilvl w:val="0"/>
          <w:numId w:val="1"/>
        </w:numPr>
        <w:rPr>
          <w:rFonts w:ascii="Georgia" w:hAnsi="Georgia"/>
          <w:sz w:val="48"/>
        </w:rPr>
      </w:pPr>
      <w:r w:rsidRPr="009F3676">
        <w:rPr>
          <w:rFonts w:ascii="Georgia" w:hAnsi="Georgia"/>
          <w:sz w:val="48"/>
        </w:rPr>
        <w:t>Since the estimation of the pioneering model of multivariate discriminant analysis by Altman, numerous research studies have been carried out with the use of a wide variety of statistical methods (e.g.,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"B4-jrfm-12-00185" \o "" </w:instrText>
      </w:r>
      <w:r w:rsidRPr="009F3676">
        <w:rPr>
          <w:rFonts w:ascii="Georgia" w:hAnsi="Georgia"/>
          <w:sz w:val="48"/>
        </w:rPr>
        <w:fldChar w:fldCharType="separate"/>
      </w:r>
      <w:r w:rsidRPr="009F3676">
        <w:rPr>
          <w:rFonts w:ascii="Georgia" w:hAnsi="Georgia"/>
          <w:sz w:val="48"/>
        </w:rPr>
        <w:t>Alaka</w:t>
      </w:r>
      <w:proofErr w:type="spellEnd"/>
      <w:r w:rsidRPr="009F3676">
        <w:rPr>
          <w:rFonts w:ascii="Georgia" w:hAnsi="Georgia"/>
          <w:sz w:val="48"/>
        </w:rPr>
        <w:t xml:space="preserve"> et al. 2018</w:t>
      </w:r>
      <w:r w:rsidRPr="009F3676">
        <w:rPr>
          <w:rFonts w:ascii="Georgia" w:hAnsi="Georgia"/>
          <w:sz w:val="48"/>
        </w:rPr>
        <w:fldChar w:fldCharType="end"/>
      </w:r>
      <w:r w:rsidRPr="009F3676">
        <w:rPr>
          <w:rFonts w:ascii="Georgia" w:hAnsi="Georgia"/>
          <w:sz w:val="48"/>
        </w:rPr>
        <w:t>; </w:t>
      </w:r>
      <w:hyperlink r:id="rId9" w:anchor="B11-jrfm-12-00185" w:history="1">
        <w:r w:rsidRPr="009F3676">
          <w:rPr>
            <w:rFonts w:ascii="Georgia" w:hAnsi="Georgia"/>
            <w:sz w:val="48"/>
          </w:rPr>
          <w:t>Bandyopadhyay 2006</w:t>
        </w:r>
      </w:hyperlink>
      <w:r w:rsidRPr="009F3676">
        <w:rPr>
          <w:rFonts w:ascii="Georgia" w:hAnsi="Georgia"/>
          <w:sz w:val="48"/>
        </w:rPr>
        <w:t>; </w:t>
      </w:r>
      <w:hyperlink r:id="rId10" w:anchor="B12-jrfm-12-00185" w:history="1">
        <w:r w:rsidRPr="009F3676">
          <w:rPr>
            <w:rFonts w:ascii="Georgia" w:hAnsi="Georgia"/>
            <w:sz w:val="48"/>
          </w:rPr>
          <w:t>Barboza et al. 2017</w:t>
        </w:r>
      </w:hyperlink>
      <w:r w:rsidRPr="009F3676">
        <w:rPr>
          <w:rFonts w:ascii="Georgia" w:hAnsi="Georgia"/>
          <w:sz w:val="48"/>
        </w:rPr>
        <w:t>; </w:t>
      </w:r>
      <w:proofErr w:type="spellStart"/>
      <w:r w:rsidR="00555E92" w:rsidRPr="009F3676">
        <w:rPr>
          <w:rFonts w:ascii="Georgia" w:hAnsi="Georgia"/>
          <w:sz w:val="48"/>
        </w:rPr>
        <w:fldChar w:fldCharType="begin"/>
      </w:r>
      <w:r w:rsidR="00555E92" w:rsidRPr="009F3676">
        <w:rPr>
          <w:rFonts w:ascii="Georgia" w:hAnsi="Georgia"/>
          <w:sz w:val="48"/>
        </w:rPr>
        <w:instrText xml:space="preserve"> HYPERLINK "https://www.mdpi.com/1911-8074/12/4/185" \l "B23-jrfm-12-00185" </w:instrText>
      </w:r>
      <w:r w:rsidR="00555E92" w:rsidRPr="009F3676">
        <w:rPr>
          <w:rFonts w:ascii="Georgia" w:hAnsi="Georgia"/>
          <w:sz w:val="48"/>
        </w:rPr>
        <w:fldChar w:fldCharType="separate"/>
      </w:r>
      <w:r w:rsidRPr="009F3676">
        <w:rPr>
          <w:rFonts w:ascii="Georgia" w:hAnsi="Georgia"/>
          <w:sz w:val="48"/>
        </w:rPr>
        <w:t>Delen</w:t>
      </w:r>
      <w:proofErr w:type="spellEnd"/>
      <w:r w:rsidRPr="009F3676">
        <w:rPr>
          <w:rFonts w:ascii="Georgia" w:hAnsi="Georgia"/>
          <w:sz w:val="48"/>
        </w:rPr>
        <w:t xml:space="preserve"> et al. 2013</w:t>
      </w:r>
      <w:r w:rsidR="00555E92" w:rsidRPr="009F3676">
        <w:rPr>
          <w:rFonts w:ascii="Georgia" w:hAnsi="Georgia"/>
          <w:sz w:val="48"/>
        </w:rPr>
        <w:fldChar w:fldCharType="end"/>
      </w:r>
      <w:r w:rsidRPr="009F3676">
        <w:rPr>
          <w:rFonts w:ascii="Georgia" w:hAnsi="Georgia"/>
          <w:sz w:val="48"/>
        </w:rPr>
        <w:t>; </w:t>
      </w:r>
      <w:hyperlink r:id="rId11" w:anchor="B30-jrfm-12-00185" w:history="1">
        <w:r w:rsidRPr="009F3676">
          <w:rPr>
            <w:rFonts w:ascii="Georgia" w:hAnsi="Georgia"/>
            <w:sz w:val="48"/>
          </w:rPr>
          <w:t xml:space="preserve">Giannopoulos and </w:t>
        </w:r>
        <w:proofErr w:type="spellStart"/>
        <w:r w:rsidRPr="009F3676">
          <w:rPr>
            <w:rFonts w:ascii="Georgia" w:hAnsi="Georgia"/>
            <w:sz w:val="48"/>
          </w:rPr>
          <w:t>Sigbjornsen</w:t>
        </w:r>
        <w:proofErr w:type="spellEnd"/>
        <w:r w:rsidRPr="009F3676">
          <w:rPr>
            <w:rFonts w:ascii="Georgia" w:hAnsi="Georgia"/>
            <w:sz w:val="48"/>
          </w:rPr>
          <w:t xml:space="preserve"> 2019</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"B32-jrfm-12-00185" \o "" </w:instrText>
      </w:r>
      <w:r w:rsidRPr="009F3676">
        <w:rPr>
          <w:rFonts w:ascii="Georgia" w:hAnsi="Georgia"/>
          <w:sz w:val="48"/>
        </w:rPr>
        <w:fldChar w:fldCharType="separate"/>
      </w:r>
      <w:r w:rsidRPr="009F3676">
        <w:rPr>
          <w:rFonts w:ascii="Georgia" w:hAnsi="Georgia"/>
          <w:sz w:val="48"/>
        </w:rPr>
        <w:t>Ho</w:t>
      </w:r>
      <w:proofErr w:type="spellEnd"/>
      <w:r w:rsidRPr="009F3676">
        <w:rPr>
          <w:rFonts w:ascii="Georgia" w:hAnsi="Georgia"/>
          <w:sz w:val="48"/>
        </w:rPr>
        <w:t xml:space="preserve"> et al. 2013</w:t>
      </w:r>
      <w:r w:rsidRPr="009F3676">
        <w:rPr>
          <w:rFonts w:ascii="Georgia" w:hAnsi="Georgia"/>
          <w:sz w:val="48"/>
        </w:rPr>
        <w:fldChar w:fldCharType="end"/>
      </w:r>
      <w:r w:rsidRPr="009F3676">
        <w:rPr>
          <w:rFonts w:ascii="Georgia" w:hAnsi="Georgia"/>
          <w:sz w:val="48"/>
        </w:rPr>
        <w:t>; </w:t>
      </w:r>
      <w:hyperlink r:id="rId12" w:anchor="B34-jrfm-12-00185" w:history="1">
        <w:r w:rsidRPr="009F3676">
          <w:rPr>
            <w:rFonts w:ascii="Georgia" w:hAnsi="Georgia"/>
            <w:sz w:val="48"/>
          </w:rPr>
          <w:t>Hosmer et al. 2013</w:t>
        </w:r>
      </w:hyperlink>
      <w:r w:rsidRPr="009F3676">
        <w:rPr>
          <w:rFonts w:ascii="Georgia" w:hAnsi="Georgia"/>
          <w:sz w:val="48"/>
        </w:rPr>
        <w:t>; </w:t>
      </w:r>
      <w:hyperlink r:id="rId13" w:anchor="B35-jrfm-12-00185" w:history="1">
        <w:r w:rsidRPr="009F3676">
          <w:rPr>
            <w:rFonts w:ascii="Georgia" w:hAnsi="Georgia"/>
            <w:sz w:val="48"/>
          </w:rPr>
          <w:t>Jackson and Wood 2013</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"B43-jrfm-12-00185" \o "" </w:instrText>
      </w:r>
      <w:r w:rsidRPr="009F3676">
        <w:rPr>
          <w:rFonts w:ascii="Georgia" w:hAnsi="Georgia"/>
          <w:sz w:val="48"/>
        </w:rPr>
        <w:fldChar w:fldCharType="separate"/>
      </w:r>
      <w:r w:rsidRPr="009F3676">
        <w:rPr>
          <w:rFonts w:ascii="Georgia" w:hAnsi="Georgia"/>
          <w:sz w:val="48"/>
        </w:rPr>
        <w:t>Kieschnick</w:t>
      </w:r>
      <w:proofErr w:type="spellEnd"/>
      <w:r w:rsidRPr="009F3676">
        <w:rPr>
          <w:rFonts w:ascii="Georgia" w:hAnsi="Georgia"/>
          <w:sz w:val="48"/>
        </w:rPr>
        <w:t xml:space="preserve"> et al. 2013</w:t>
      </w:r>
      <w:r w:rsidRPr="009F3676">
        <w:rPr>
          <w:rFonts w:ascii="Georgia" w:hAnsi="Georgia"/>
          <w:sz w:val="48"/>
        </w:rPr>
        <w:fldChar w:fldCharType="end"/>
      </w:r>
      <w:r w:rsidRPr="009F3676">
        <w:rPr>
          <w:rFonts w:ascii="Georgia" w:hAnsi="Georgia"/>
          <w:sz w:val="48"/>
        </w:rPr>
        <w:t>; </w:t>
      </w:r>
      <w:hyperlink r:id="rId14" w:anchor="B45-jrfm-12-00185" w:history="1">
        <w:r w:rsidRPr="009F3676">
          <w:rPr>
            <w:rFonts w:ascii="Georgia" w:hAnsi="Georgia"/>
            <w:sz w:val="48"/>
          </w:rPr>
          <w:t>Kumar and Ravi 2007</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"B46-jrfm-12-00185" \o "" </w:instrText>
      </w:r>
      <w:r w:rsidRPr="009F3676">
        <w:rPr>
          <w:rFonts w:ascii="Georgia" w:hAnsi="Georgia"/>
          <w:sz w:val="48"/>
        </w:rPr>
        <w:fldChar w:fldCharType="separate"/>
      </w:r>
      <w:r w:rsidRPr="009F3676">
        <w:rPr>
          <w:rFonts w:ascii="Georgia" w:hAnsi="Georgia"/>
          <w:sz w:val="48"/>
        </w:rPr>
        <w:t>Laitinen</w:t>
      </w:r>
      <w:proofErr w:type="spellEnd"/>
      <w:r w:rsidRPr="009F3676">
        <w:rPr>
          <w:rFonts w:ascii="Georgia" w:hAnsi="Georgia"/>
          <w:sz w:val="48"/>
        </w:rPr>
        <w:t xml:space="preserve"> 2007</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"B51-jrfm-12-00185" \o "" </w:instrText>
      </w:r>
      <w:r w:rsidRPr="009F3676">
        <w:rPr>
          <w:rFonts w:ascii="Georgia" w:hAnsi="Georgia"/>
          <w:sz w:val="48"/>
        </w:rPr>
        <w:fldChar w:fldCharType="separate"/>
      </w:r>
      <w:r w:rsidRPr="009F3676">
        <w:rPr>
          <w:rFonts w:ascii="Georgia" w:hAnsi="Georgia"/>
          <w:sz w:val="48"/>
        </w:rPr>
        <w:t>Lukason</w:t>
      </w:r>
      <w:proofErr w:type="spellEnd"/>
      <w:r w:rsidRPr="009F3676">
        <w:rPr>
          <w:rFonts w:ascii="Georgia" w:hAnsi="Georgia"/>
          <w:sz w:val="48"/>
        </w:rPr>
        <w:t xml:space="preserve"> and Hoffman 2014</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"B52-jrfm-12-00185" \o "" </w:instrText>
      </w:r>
      <w:r w:rsidRPr="009F3676">
        <w:rPr>
          <w:rFonts w:ascii="Georgia" w:hAnsi="Georgia"/>
          <w:sz w:val="48"/>
        </w:rPr>
        <w:fldChar w:fldCharType="separate"/>
      </w:r>
      <w:r w:rsidRPr="009F3676">
        <w:rPr>
          <w:rFonts w:ascii="Georgia" w:hAnsi="Georgia"/>
          <w:sz w:val="48"/>
        </w:rPr>
        <w:t>Lyandres</w:t>
      </w:r>
      <w:proofErr w:type="spellEnd"/>
      <w:r w:rsidRPr="009F3676">
        <w:rPr>
          <w:rFonts w:ascii="Georgia" w:hAnsi="Georgia"/>
          <w:sz w:val="48"/>
        </w:rPr>
        <w:t xml:space="preserve"> and Zhdanov 2013</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"B55-jrfm-12-00185" \o "" </w:instrText>
      </w:r>
      <w:r w:rsidRPr="009F3676">
        <w:rPr>
          <w:rFonts w:ascii="Georgia" w:hAnsi="Georgia"/>
          <w:sz w:val="48"/>
        </w:rPr>
        <w:fldChar w:fldCharType="separate"/>
      </w:r>
      <w:r w:rsidRPr="009F3676">
        <w:rPr>
          <w:rFonts w:ascii="Georgia" w:hAnsi="Georgia"/>
          <w:sz w:val="48"/>
        </w:rPr>
        <w:t>Mihalovic</w:t>
      </w:r>
      <w:proofErr w:type="spellEnd"/>
      <w:r w:rsidRPr="009F3676">
        <w:rPr>
          <w:rFonts w:ascii="Georgia" w:hAnsi="Georgia"/>
          <w:sz w:val="48"/>
        </w:rPr>
        <w:t xml:space="preserve"> 2016</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"B58-jrfm-12-00185" \o "" </w:instrText>
      </w:r>
      <w:r w:rsidRPr="009F3676">
        <w:rPr>
          <w:rFonts w:ascii="Georgia" w:hAnsi="Georgia"/>
          <w:sz w:val="48"/>
        </w:rPr>
        <w:fldChar w:fldCharType="separate"/>
      </w:r>
      <w:r w:rsidRPr="009F3676">
        <w:rPr>
          <w:rFonts w:ascii="Georgia" w:hAnsi="Georgia"/>
          <w:sz w:val="48"/>
        </w:rPr>
        <w:t>Orsenigo</w:t>
      </w:r>
      <w:proofErr w:type="spellEnd"/>
      <w:r w:rsidRPr="009F3676">
        <w:rPr>
          <w:rFonts w:ascii="Georgia" w:hAnsi="Georgia"/>
          <w:sz w:val="48"/>
        </w:rPr>
        <w:t xml:space="preserve"> and </w:t>
      </w:r>
      <w:proofErr w:type="spellStart"/>
      <w:r w:rsidRPr="009F3676">
        <w:rPr>
          <w:rFonts w:ascii="Georgia" w:hAnsi="Georgia"/>
          <w:sz w:val="48"/>
        </w:rPr>
        <w:t>Vercellis</w:t>
      </w:r>
      <w:proofErr w:type="spellEnd"/>
      <w:r w:rsidRPr="009F3676">
        <w:rPr>
          <w:rFonts w:ascii="Georgia" w:hAnsi="Georgia"/>
          <w:sz w:val="48"/>
        </w:rPr>
        <w:t xml:space="preserve"> 2013</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"B60-jrfm-12-00185" \o "" </w:instrText>
      </w:r>
      <w:r w:rsidRPr="009F3676">
        <w:rPr>
          <w:rFonts w:ascii="Georgia" w:hAnsi="Georgia"/>
          <w:sz w:val="48"/>
        </w:rPr>
        <w:fldChar w:fldCharType="separate"/>
      </w:r>
      <w:r w:rsidRPr="009F3676">
        <w:rPr>
          <w:rFonts w:ascii="Georgia" w:hAnsi="Georgia"/>
          <w:sz w:val="48"/>
        </w:rPr>
        <w:t>Psillaki</w:t>
      </w:r>
      <w:proofErr w:type="spellEnd"/>
      <w:r w:rsidRPr="009F3676">
        <w:rPr>
          <w:rFonts w:ascii="Georgia" w:hAnsi="Georgia"/>
          <w:sz w:val="48"/>
        </w:rPr>
        <w:t xml:space="preserve"> et al. 2010</w:t>
      </w:r>
      <w:r w:rsidRPr="009F3676">
        <w:rPr>
          <w:rFonts w:ascii="Georgia" w:hAnsi="Georgia"/>
          <w:sz w:val="48"/>
        </w:rPr>
        <w:fldChar w:fldCharType="end"/>
      </w:r>
      <w:r w:rsidRPr="009F3676">
        <w:rPr>
          <w:rFonts w:ascii="Georgia" w:hAnsi="Georgia"/>
          <w:sz w:val="48"/>
        </w:rPr>
        <w:t>). The most popular statistical techniques as noted by </w:t>
      </w:r>
      <w:proofErr w:type="spellStart"/>
      <w:r w:rsidR="00555E92" w:rsidRPr="009F3676">
        <w:rPr>
          <w:rFonts w:ascii="Georgia" w:hAnsi="Georgia"/>
          <w:sz w:val="48"/>
        </w:rPr>
        <w:fldChar w:fldCharType="begin"/>
      </w:r>
      <w:r w:rsidR="00555E92" w:rsidRPr="009F3676">
        <w:rPr>
          <w:rFonts w:ascii="Georgia" w:hAnsi="Georgia"/>
          <w:sz w:val="48"/>
        </w:rPr>
        <w:instrText xml:space="preserve"> HYPERLINK "https://www.mdpi.com/1911-8074/12/4/185" \l "B10-jrfm-12-00185" </w:instrText>
      </w:r>
      <w:r w:rsidR="00555E92" w:rsidRPr="009F3676">
        <w:rPr>
          <w:rFonts w:ascii="Georgia" w:hAnsi="Georgia"/>
          <w:sz w:val="48"/>
        </w:rPr>
        <w:fldChar w:fldCharType="separate"/>
      </w:r>
      <w:r w:rsidRPr="009F3676">
        <w:rPr>
          <w:rFonts w:ascii="Georgia" w:hAnsi="Georgia"/>
          <w:sz w:val="48"/>
        </w:rPr>
        <w:t>Balcaen</w:t>
      </w:r>
      <w:proofErr w:type="spellEnd"/>
      <w:r w:rsidRPr="009F3676">
        <w:rPr>
          <w:rFonts w:ascii="Georgia" w:hAnsi="Georgia"/>
          <w:sz w:val="48"/>
        </w:rPr>
        <w:t xml:space="preserve"> and </w:t>
      </w:r>
      <w:proofErr w:type="spellStart"/>
      <w:r w:rsidRPr="009F3676">
        <w:rPr>
          <w:rFonts w:ascii="Georgia" w:hAnsi="Georgia"/>
          <w:sz w:val="48"/>
        </w:rPr>
        <w:t>Ooghe</w:t>
      </w:r>
      <w:proofErr w:type="spellEnd"/>
      <w:r w:rsidR="00555E92" w:rsidRPr="009F3676">
        <w:rPr>
          <w:rFonts w:ascii="Georgia" w:hAnsi="Georgia"/>
          <w:sz w:val="48"/>
        </w:rPr>
        <w:fldChar w:fldCharType="end"/>
      </w:r>
      <w:r w:rsidRPr="009F3676">
        <w:rPr>
          <w:rFonts w:ascii="Georgia" w:hAnsi="Georgia"/>
          <w:sz w:val="48"/>
        </w:rPr>
        <w:t> (</w:t>
      </w:r>
      <w:hyperlink r:id="rId15" w:anchor="B10-jrfm-12-00185" w:history="1">
        <w:r w:rsidRPr="009F3676">
          <w:rPr>
            <w:rFonts w:ascii="Georgia" w:hAnsi="Georgia"/>
            <w:sz w:val="48"/>
          </w:rPr>
          <w:t>2006</w:t>
        </w:r>
      </w:hyperlink>
      <w:r w:rsidRPr="009F3676">
        <w:rPr>
          <w:rFonts w:ascii="Georgia" w:hAnsi="Georgia"/>
          <w:sz w:val="48"/>
        </w:rPr>
        <w:t>) are multivariate discriminant analysis and logistic regression models.</w:t>
      </w:r>
    </w:p>
    <w:p w14:paraId="215D1276" w14:textId="6CA191F7" w:rsidR="00EB5F3F" w:rsidRPr="008848A8" w:rsidRDefault="00EB5F3F" w:rsidP="00BC0EA4">
      <w:proofErr w:type="spellStart"/>
      <w:r w:rsidRPr="008848A8">
        <w:t>Cressy2006</w:t>
      </w:r>
      <w:proofErr w:type="spellEnd"/>
    </w:p>
    <w:p w14:paraId="559EDC8A" w14:textId="77777777" w:rsidR="00EB5F3F" w:rsidRPr="008848A8" w:rsidRDefault="00EB5F3F" w:rsidP="00BC0EA4">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C0EA4">
      <w:r>
        <w:t>IBC Code 2016</w:t>
      </w:r>
    </w:p>
    <w:p w14:paraId="7C69D499" w14:textId="77777777" w:rsidR="00810935" w:rsidRPr="00EE59D4" w:rsidRDefault="00810935" w:rsidP="00BC0EA4">
      <w:r w:rsidRPr="00EE59D4">
        <w:t>Preamble: An Act to consolidate and amend the laws relating to reorganisation and insolvency</w:t>
      </w:r>
    </w:p>
    <w:p w14:paraId="030DDD68" w14:textId="77777777" w:rsidR="00810935" w:rsidRPr="00EE59D4" w:rsidRDefault="00810935" w:rsidP="00BC0EA4">
      <w:r w:rsidRPr="00EE59D4">
        <w:t>resolution of corporate persons, partnership firms and individuals in a time</w:t>
      </w:r>
    </w:p>
    <w:p w14:paraId="5B190248" w14:textId="45F3A0F1" w:rsidR="00810935" w:rsidRPr="00EE59D4" w:rsidRDefault="00810935" w:rsidP="00BC0EA4">
      <w:r w:rsidRPr="00EE59D4">
        <w:t>bound manner for maximisation of value of assets of such persons</w:t>
      </w:r>
    </w:p>
    <w:p w14:paraId="06A6DCF2" w14:textId="77777777" w:rsidR="00F26E5E" w:rsidRPr="00EE59D4" w:rsidRDefault="00F26E5E" w:rsidP="00BC0EA4">
      <w:r w:rsidRPr="00EE59D4">
        <w:t>4. (1) This Part shall apply to matters relating to the insolvency and liquidation of</w:t>
      </w:r>
    </w:p>
    <w:p w14:paraId="6A64FD17" w14:textId="4A76ED94" w:rsidR="00FF1294" w:rsidRPr="00EE59D4" w:rsidRDefault="00F26E5E" w:rsidP="00BC0EA4">
      <w:r w:rsidRPr="00EE59D4">
        <w:t>corporate debtors where the minimum amount of the default is one lakh rupees:</w:t>
      </w:r>
    </w:p>
    <w:p w14:paraId="47EDB414" w14:textId="77777777" w:rsidR="00FF1294" w:rsidRPr="008848A8" w:rsidRDefault="00FF1294" w:rsidP="009F3676">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F618A7" w:rsidP="00BC0EA4">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C0EA4">
      <w:proofErr w:type="spellStart"/>
      <w:r w:rsidRPr="0039646A">
        <w:t>Mokal2005</w:t>
      </w:r>
      <w:proofErr w:type="spellEnd"/>
    </w:p>
    <w:p w14:paraId="61DE7520" w14:textId="0308EA57" w:rsidR="002A3C30" w:rsidRPr="0039646A" w:rsidRDefault="002A3C30" w:rsidP="009F3676">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C0EA4">
      <w:r w:rsidRPr="0039646A">
        <w:t>IMF</w:t>
      </w:r>
      <w:r w:rsidR="00555E92" w:rsidRPr="0039646A">
        <w:t>1999</w:t>
      </w:r>
    </w:p>
    <w:p w14:paraId="5E2F869A" w14:textId="6D281410" w:rsidR="00F618A7" w:rsidRPr="00F618A7" w:rsidRDefault="00F618A7" w:rsidP="00F618A7">
      <w:pPr>
        <w:rPr>
          <w:highlight w:val="lightGray"/>
        </w:rPr>
      </w:pPr>
      <w:r>
        <w:rPr>
          <w:shd w:val="clear" w:color="auto" w:fill="auto"/>
          <w:lang w:val="en-US"/>
        </w:rPr>
        <w:t>The first overall objective is the allocation of risk among participants in</w:t>
      </w:r>
      <w:r>
        <w:rPr>
          <w:shd w:val="clear" w:color="auto" w:fill="auto"/>
          <w:lang w:val="en-US"/>
        </w:rPr>
        <w:t xml:space="preserve"> </w:t>
      </w:r>
      <w:r>
        <w:rPr>
          <w:shd w:val="clear" w:color="auto" w:fill="auto"/>
          <w:lang w:val="en-US"/>
        </w:rPr>
        <w:t xml:space="preserve">a market economy in a predictable, equitable, and transparent manner. </w:t>
      </w:r>
      <w:bookmarkStart w:id="0" w:name="_GoBack"/>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bookmarkEnd w:id="0"/>
    <w:p w14:paraId="3E6D630C" w14:textId="54806F02" w:rsidR="00F55C36" w:rsidRPr="009F3676" w:rsidRDefault="00F55C36" w:rsidP="00BC0EA4">
      <w:pPr>
        <w:pStyle w:val="NormalWeb"/>
        <w:rPr>
          <w:sz w:val="48"/>
        </w:rPr>
      </w:pPr>
      <w:r w:rsidRPr="002C128B">
        <w:rPr>
          <w:sz w:val="48"/>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2C128B">
        <w:rPr>
          <w:sz w:val="48"/>
          <w:highlight w:val="lightGray"/>
        </w:rPr>
        <w:t>fulfillment</w:t>
      </w:r>
      <w:proofErr w:type="spellEnd"/>
      <w:r w:rsidRPr="002C128B">
        <w:rPr>
          <w:sz w:val="48"/>
          <w:highlight w:val="lightGray"/>
        </w:rPr>
        <w:t xml:space="preserve"> of the objective of equitable risk allocation.</w:t>
      </w:r>
      <w:r w:rsidRPr="009F3676">
        <w:rPr>
          <w:sz w:val="48"/>
        </w:rPr>
        <w:t xml:space="preserve"> For example, the nullification of fraudulent transactions that occurred before an insolvency proceeding ensures that creditors are treated equitably and also enhances the value of the debtor’s assets. However, there can also be tension between these objectives. For example, the nullification of prior transactions also extends to nonfraudulent transactions, which can undermine the objective of predictability. 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C0EA4">
      <w:pPr>
        <w:pStyle w:val="NormalWeb"/>
        <w:rPr>
          <w:sz w:val="48"/>
        </w:rPr>
      </w:pPr>
      <w:r w:rsidRPr="0039646A">
        <w:rPr>
          <w:sz w:val="48"/>
        </w:rPr>
        <w:t xml:space="preserve">Some of the key policy choices to be made when </w:t>
      </w:r>
      <w:r w:rsidRPr="009F3676">
        <w:rPr>
          <w:sz w:val="48"/>
        </w:rPr>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rPr>
          <w:sz w:val="48"/>
        </w:rPr>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rPr>
          <w:sz w:val="48"/>
        </w:rPr>
        <w:t>favored</w:t>
      </w:r>
      <w:proofErr w:type="spellEnd"/>
      <w:r w:rsidRPr="0039646A">
        <w:rPr>
          <w:sz w:val="48"/>
        </w:rPr>
        <w:t xml:space="preserve"> competitors.</w:t>
      </w:r>
    </w:p>
    <w:p w14:paraId="55E18395" w14:textId="0D029CAD" w:rsidR="00F55C36" w:rsidRDefault="00F55C36" w:rsidP="00BC0EA4"/>
    <w:p w14:paraId="3841479B" w14:textId="6B837A91" w:rsidR="00BC0EA4" w:rsidRDefault="00BC0EA4" w:rsidP="00BC0EA4">
      <w:proofErr w:type="spellStart"/>
      <w:r>
        <w:t>Porta1998</w:t>
      </w:r>
      <w:proofErr w:type="spellEnd"/>
    </w:p>
    <w:p w14:paraId="7945A709" w14:textId="604F8DC6" w:rsidR="00BC0EA4" w:rsidRDefault="00BC0EA4" w:rsidP="00BC0EA4">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A9350A">
      <w:pPr>
        <w:rPr>
          <w:shd w:val="clear" w:color="auto" w:fill="auto"/>
        </w:rPr>
      </w:pPr>
      <w:r w:rsidRPr="00941B4B">
        <w:rPr>
          <w:shd w:val="clear" w:color="auto" w:fill="auto"/>
        </w:rPr>
        <w:t>Law and the quality of its enforcement are potentially important determinants of what rights security holders have and how</w:t>
      </w:r>
      <w:r w:rsidR="00A9350A">
        <w:rPr>
          <w:shd w:val="clear" w:color="auto" w:fill="auto"/>
        </w:rPr>
        <w:t xml:space="preserve"> </w:t>
      </w:r>
      <w:r w:rsidR="00A9350A" w:rsidRPr="00A9350A">
        <w:rPr>
          <w:shd w:val="clear" w:color="auto" w:fill="auto"/>
        </w:rPr>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A9350A">
      <w:pPr>
        <w:rPr>
          <w:shd w:val="clear" w:color="auto" w:fill="auto"/>
        </w:rPr>
      </w:pPr>
    </w:p>
    <w:p w14:paraId="3B45A64E" w14:textId="513715B9" w:rsidR="00941B4B" w:rsidRDefault="00F52627" w:rsidP="00BC0EA4">
      <w:proofErr w:type="spellStart"/>
      <w:r>
        <w:t>Claessens2002</w:t>
      </w:r>
      <w:proofErr w:type="spellEnd"/>
    </w:p>
    <w:p w14:paraId="49492DC0" w14:textId="04C44714" w:rsidR="00F52627" w:rsidRPr="00BC0EA4" w:rsidRDefault="00F52627" w:rsidP="00F52627">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FA3180F" w14:textId="1E0A9F9E" w:rsidR="002D4DA1" w:rsidRPr="002D4DA1" w:rsidRDefault="002D4DA1" w:rsidP="002D4DA1">
      <w:pPr>
        <w:rPr>
          <w:rFonts w:ascii="Times New Roman" w:hAnsi="Times New Roman"/>
          <w:color w:val="auto"/>
          <w:shd w:val="clear" w:color="auto" w:fill="auto"/>
        </w:rPr>
      </w:pPr>
      <w:r w:rsidRPr="002D4DA1">
        <w:rPr>
          <w:shd w:val="clear" w:color="auto" w:fill="auto"/>
        </w:rPr>
        <w:t>Donald M. </w:t>
      </w:r>
      <w:proofErr w:type="spellStart"/>
      <w:r w:rsidRPr="002D4DA1">
        <w:rPr>
          <w:shd w:val="clear" w:color="auto" w:fill="auto"/>
        </w:rPr>
        <w:t>DePamphilis</w:t>
      </w:r>
      <w:proofErr w:type="spellEnd"/>
      <w:r>
        <w:rPr>
          <w:shd w:val="clear" w:color="auto" w:fill="auto"/>
        </w:rPr>
        <w:t xml:space="preserve"> 2010</w:t>
      </w:r>
    </w:p>
    <w:p w14:paraId="2E01F13B" w14:textId="2A33742D" w:rsidR="00BC0EA4" w:rsidRDefault="00BC0EA4" w:rsidP="00BC0EA4"/>
    <w:p w14:paraId="62320F47" w14:textId="77777777" w:rsidR="0018758C" w:rsidRDefault="0018758C" w:rsidP="0018758C">
      <w:pPr>
        <w:shd w:val="clear" w:color="auto" w:fill="auto"/>
        <w:spacing w:after="0"/>
        <w:rPr>
          <w:rFonts w:ascii="Times New Roman" w:hAnsi="Times New Roman"/>
          <w:color w:val="auto"/>
          <w:sz w:val="24"/>
          <w:szCs w:val="24"/>
          <w:shd w:val="clear" w:color="auto" w:fill="auto"/>
        </w:rPr>
      </w:pPr>
      <w:r>
        <w:rPr>
          <w:color w:val="1F1F1F"/>
        </w:rPr>
        <w:t xml:space="preserve">Reforms in creditor rights tend to increase the availability and reduce the cost of credit in countries, where court enforcement is quick and fair. </w:t>
      </w:r>
      <w:proofErr w:type="spellStart"/>
      <w:r>
        <w:rPr>
          <w:color w:val="1F1F1F"/>
        </w:rPr>
        <w:t>Haselmann</w:t>
      </w:r>
      <w:proofErr w:type="spellEnd"/>
      <w:r>
        <w:rPr>
          <w:color w:val="1F1F1F"/>
        </w:rPr>
        <w:t xml:space="preserve">, </w:t>
      </w:r>
      <w:proofErr w:type="spellStart"/>
      <w:r>
        <w:rPr>
          <w:color w:val="1F1F1F"/>
        </w:rPr>
        <w:t>Pistor</w:t>
      </w:r>
      <w:proofErr w:type="spellEnd"/>
      <w:r>
        <w:rPr>
          <w:color w:val="1F1F1F"/>
        </w:rPr>
        <w:t xml:space="preserve">, and </w:t>
      </w:r>
      <w:proofErr w:type="spellStart"/>
      <w:r>
        <w:rPr>
          <w:color w:val="1F1F1F"/>
        </w:rPr>
        <w:t>Vig</w:t>
      </w:r>
      <w:proofErr w:type="spellEnd"/>
      <w:r>
        <w:rPr>
          <w:color w:val="1F1F1F"/>
        </w:rP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rPr>
          <w:color w:val="1F1F1F"/>
        </w:rP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rPr>
          <w:color w:val="1F1F1F"/>
        </w:rP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C0EA4"/>
    <w:p w14:paraId="398BEC1C" w14:textId="76A4BFD5" w:rsidR="00FF1294" w:rsidRDefault="002F4E7F" w:rsidP="00BC0EA4">
      <w:proofErr w:type="spellStart"/>
      <w:r>
        <w:t>Smith2004</w:t>
      </w:r>
      <w:proofErr w:type="spellEnd"/>
    </w:p>
    <w:p w14:paraId="4DFE8BCB" w14:textId="77777777" w:rsidR="002F4E7F" w:rsidRPr="002F4E7F" w:rsidRDefault="002F4E7F" w:rsidP="002F4E7F">
      <w:pPr>
        <w:rPr>
          <w:shd w:val="clear" w:color="auto" w:fill="auto"/>
        </w:rPr>
      </w:pPr>
      <w:r w:rsidRPr="002F4E7F">
        <w:rPr>
          <w:shd w:val="clear" w:color="auto" w:fill="auto"/>
        </w:rPr>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7A3817">
      <w:proofErr w:type="spellStart"/>
      <w:r>
        <w:t>Longhofer2004</w:t>
      </w:r>
      <w:proofErr w:type="spellEnd"/>
    </w:p>
    <w:p w14:paraId="11A27D74" w14:textId="40A7B592" w:rsidR="007A3817" w:rsidRDefault="007A3817" w:rsidP="007A3817">
      <w:r>
        <w:t>it is common for</w:t>
      </w:r>
      <w:r>
        <w:t xml:space="preserve"> </w:t>
      </w:r>
      <w:r>
        <w:t>creditors (and debtors) to seek legal recourse in civil courts. Bankruptcy</w:t>
      </w:r>
      <w:r>
        <w:t xml:space="preserve"> </w:t>
      </w:r>
      <w:r>
        <w:t>law is redundant in this respect, because creditors have alternative venues for</w:t>
      </w:r>
      <w:r>
        <w:t xml:space="preserve"> </w:t>
      </w:r>
      <w:r>
        <w:t>resolving defaults and other contractual disputes. The unique aspect of bankruptcy law that supersedes the minutia ultimately determining a resolution is</w:t>
      </w:r>
      <w:r>
        <w:t xml:space="preserve"> </w:t>
      </w:r>
      <w:r>
        <w:t>the mandate that requires a coordinated resolution involving all creditors.</w:t>
      </w:r>
      <w:r>
        <w:t xml:space="preserve"> </w:t>
      </w:r>
      <w:r>
        <w:t>This prevents individual debt collection remedies that tend to destroy asset</w:t>
      </w:r>
      <w:r>
        <w:t xml:space="preserve"> </w:t>
      </w:r>
      <w:r>
        <w:t>value. The message in this article is that no matter what type of resolution one</w:t>
      </w:r>
      <w:r>
        <w:t xml:space="preserve"> </w:t>
      </w:r>
      <w:r>
        <w:t>envisions — market-based solutions such as auctions, strict adherence to</w:t>
      </w:r>
      <w:r>
        <w:t xml:space="preserve"> </w:t>
      </w:r>
      <w:r>
        <w:t>contract terms, or central planning allocations — there must exist a mandate</w:t>
      </w:r>
      <w:r>
        <w:t xml:space="preserve"> </w:t>
      </w:r>
      <w:r>
        <w:t>that all creditors participate, because they will generally prefer private debt</w:t>
      </w:r>
      <w:r>
        <w:t xml:space="preserve"> </w:t>
      </w:r>
      <w:r>
        <w:t>collection remedies.</w:t>
      </w:r>
      <w:r>
        <w:t xml:space="preserve"> </w:t>
      </w:r>
      <w:r>
        <w:t>We propose that bankruptcy exists to resolve the conflict that arises</w:t>
      </w:r>
      <w:r>
        <w:t xml:space="preserve"> </w:t>
      </w:r>
      <w:r>
        <w:t>among creditors when a debtor becomes insolvent. In the absence of a bankruptcy system, creditors generally find individual debt collection remedies</w:t>
      </w:r>
      <w:r>
        <w:t xml:space="preserve"> </w:t>
      </w:r>
      <w:r>
        <w:t>privately optimal, even though a coordinated liquidation would maximize</w:t>
      </w:r>
      <w:r>
        <w:t xml:space="preserve"> </w:t>
      </w:r>
      <w:r>
        <w:t xml:space="preserve">the value of the assets to be distributed to the creditors as a </w:t>
      </w:r>
      <w:proofErr w:type="spellStart"/>
      <w:r>
        <w:t>group.1</w:t>
      </w:r>
      <w:proofErr w:type="spellEnd"/>
      <w:r>
        <w:t xml:space="preserve"> We further</w:t>
      </w:r>
      <w:r>
        <w:t xml:space="preserve"> </w:t>
      </w:r>
      <w:r>
        <w:t>this idea by showing that creditors lack the incentive to write contracts ex</w:t>
      </w:r>
      <w:r>
        <w:t xml:space="preserve"> </w:t>
      </w:r>
      <w:r>
        <w:t>ante that would bind them to coordinate their ex post liquidation activities.</w:t>
      </w:r>
      <w:r>
        <w:t xml:space="preserve"> </w:t>
      </w:r>
      <w:r>
        <w:t>This incentive problem arises even though coordination is Pareto efficient</w:t>
      </w:r>
      <w:r>
        <w:t xml:space="preserve">  </w:t>
      </w:r>
      <w:r>
        <w:t>1. We do not distinguish between liquidation and reorganization. This lack of distinction simply reflects the interpretation of reorganization as a special case of liquidation</w:t>
      </w:r>
      <w:r>
        <w:t xml:space="preserve"> </w:t>
      </w:r>
      <w:r>
        <w:t>in which the debtor’s assets are ‘‘sold’’ intact.</w:t>
      </w:r>
    </w:p>
    <w:p w14:paraId="7C94B602" w14:textId="5452A85B" w:rsidR="007A3817" w:rsidRPr="008848A8" w:rsidRDefault="00E413F9" w:rsidP="007A3817">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proofErr w:type="spellStart"/>
      <w:r>
        <w:t>resultingfirst</w:t>
      </w:r>
      <w:proofErr w:type="spellEnd"/>
      <w:r>
        <w:t xml:space="preserve">-come, first-served ordering of creditors’ claims triggers an </w:t>
      </w:r>
      <w:proofErr w:type="spellStart"/>
      <w:r>
        <w:t>inefficientliquidation</w:t>
      </w:r>
      <w:proofErr w:type="spellEnd"/>
      <w:r>
        <w:t xml:space="preserve"> because the debtor’s assets are sold off in an ad hoc manner. </w:t>
      </w:r>
      <w:proofErr w:type="spellStart"/>
      <w:r>
        <w:t>Abankruptcy</w:t>
      </w:r>
      <w:proofErr w:type="spellEnd"/>
      <w:r>
        <w:t xml:space="preserve"> law that mandates a collective process avoids this </w:t>
      </w:r>
      <w:proofErr w:type="spellStart"/>
      <w:r>
        <w:t>inefficientliquidation.We</w:t>
      </w:r>
      <w:proofErr w:type="spellEnd"/>
      <w:r>
        <w:t xml:space="preserve"> argue that on its own this justification for bankruptcy is incomplete. </w:t>
      </w:r>
      <w:proofErr w:type="spellStart"/>
      <w:r>
        <w:t>Inparticular</w:t>
      </w:r>
      <w:proofErr w:type="spellEnd"/>
      <w:r>
        <w:t xml:space="preserve">, this argument does not explain why creditors do not write 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sectPr w:rsidR="007A3817"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73D83"/>
    <w:multiLevelType w:val="hybridMultilevel"/>
    <w:tmpl w:val="718A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50584"/>
    <w:rsid w:val="00053B9F"/>
    <w:rsid w:val="000E650A"/>
    <w:rsid w:val="000F76F1"/>
    <w:rsid w:val="0018758C"/>
    <w:rsid w:val="002236D8"/>
    <w:rsid w:val="00275C19"/>
    <w:rsid w:val="002A3C30"/>
    <w:rsid w:val="002C128B"/>
    <w:rsid w:val="002D4DA1"/>
    <w:rsid w:val="002F4E7F"/>
    <w:rsid w:val="00351701"/>
    <w:rsid w:val="0039646A"/>
    <w:rsid w:val="003A4203"/>
    <w:rsid w:val="004A53BF"/>
    <w:rsid w:val="004C297B"/>
    <w:rsid w:val="004E1424"/>
    <w:rsid w:val="00552319"/>
    <w:rsid w:val="00555E92"/>
    <w:rsid w:val="00572194"/>
    <w:rsid w:val="00586F1D"/>
    <w:rsid w:val="0059306A"/>
    <w:rsid w:val="005A1A3C"/>
    <w:rsid w:val="005C771C"/>
    <w:rsid w:val="005D05F6"/>
    <w:rsid w:val="00615A59"/>
    <w:rsid w:val="00693EB4"/>
    <w:rsid w:val="006C664E"/>
    <w:rsid w:val="007773D8"/>
    <w:rsid w:val="007A3817"/>
    <w:rsid w:val="007D6D71"/>
    <w:rsid w:val="00810935"/>
    <w:rsid w:val="008848A8"/>
    <w:rsid w:val="00917C40"/>
    <w:rsid w:val="00941B4B"/>
    <w:rsid w:val="00941E49"/>
    <w:rsid w:val="009F3676"/>
    <w:rsid w:val="009F38EE"/>
    <w:rsid w:val="00A76FAF"/>
    <w:rsid w:val="00A9350A"/>
    <w:rsid w:val="00B07F65"/>
    <w:rsid w:val="00B12DBC"/>
    <w:rsid w:val="00B640F9"/>
    <w:rsid w:val="00BC0EA4"/>
    <w:rsid w:val="00BD58FD"/>
    <w:rsid w:val="00C6584C"/>
    <w:rsid w:val="00D233C1"/>
    <w:rsid w:val="00D57C08"/>
    <w:rsid w:val="00D67C2B"/>
    <w:rsid w:val="00E413F9"/>
    <w:rsid w:val="00EB5F3F"/>
    <w:rsid w:val="00EE59D4"/>
    <w:rsid w:val="00F14817"/>
    <w:rsid w:val="00F26E5E"/>
    <w:rsid w:val="00F52627"/>
    <w:rsid w:val="00F55C36"/>
    <w:rsid w:val="00F5731C"/>
    <w:rsid w:val="00F618A7"/>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EA4"/>
    <w:pPr>
      <w:shd w:val="clear" w:color="auto" w:fill="FFFFFF"/>
      <w:spacing w:after="288"/>
    </w:pPr>
    <w:rPr>
      <w:rFonts w:ascii="Georgia" w:hAnsi="Georgia" w:cs="Times New Roman"/>
      <w:color w:val="333333"/>
      <w:sz w:val="48"/>
      <w:szCs w:val="28"/>
      <w:shd w:val="clear" w:color="auto" w:fill="FCFCFC"/>
    </w:rPr>
  </w:style>
  <w:style w:type="paragraph" w:styleId="Heading2">
    <w:name w:val="heading 2"/>
    <w:basedOn w:val="Normal"/>
    <w:next w:val="Normal"/>
    <w:link w:val="Heading2Char"/>
    <w:autoRedefine/>
    <w:uiPriority w:val="9"/>
    <w:unhideWhenUsed/>
    <w:qFormat/>
    <w:rsid w:val="004A53BF"/>
    <w:pPr>
      <w:keepNext/>
      <w:keepLines/>
      <w:spacing w:before="40" w:after="12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pacing w:after="120"/>
      <w:ind w:left="720"/>
      <w:contextualSpacing/>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39</cp:revision>
  <dcterms:created xsi:type="dcterms:W3CDTF">2023-10-12T15:33:00Z</dcterms:created>
  <dcterms:modified xsi:type="dcterms:W3CDTF">2023-11-09T00:50:00Z</dcterms:modified>
</cp:coreProperties>
</file>