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E2" w:rsidRDefault="00C9563D">
      <w:pPr>
        <w:pStyle w:val="Title"/>
      </w:pPr>
      <w:proofErr w:type="spellStart"/>
      <w:r>
        <w:t>EstSelCoeff</w:t>
      </w:r>
      <w:proofErr w:type="spellEnd"/>
      <w:r>
        <w:t xml:space="preserve"> predictors</w:t>
      </w:r>
    </w:p>
    <w:p w:rsidR="00BD50E2" w:rsidRDefault="00C9563D">
      <w:pPr>
        <w:pStyle w:val="Heading1"/>
      </w:pPr>
      <w:r>
        <w:t>Methods</w:t>
      </w:r>
    </w:p>
    <w:p w:rsidR="00BD50E2" w:rsidRDefault="00C9563D" w:rsidP="00C75EE3">
      <w:r>
        <w:t xml:space="preserve">Work described took the estimated selection coefficient for each position and tried to see the effects of several predictors on the coefficient for </w:t>
      </w:r>
      <w:proofErr w:type="spellStart"/>
      <w:r>
        <w:t>nonsyn</w:t>
      </w:r>
      <w:proofErr w:type="spellEnd"/>
      <w:r>
        <w:t xml:space="preserve"> mutations, in order to explain why several mutations tend to have lower values, while others tend to have higher values</w:t>
      </w:r>
      <w:r w:rsidR="00C75EE3">
        <w:t xml:space="preserve">. I used the tests on the LOG transformation of </w:t>
      </w:r>
      <w:proofErr w:type="spellStart"/>
      <w:r w:rsidR="00C75EE3">
        <w:t>estSelCoeff</w:t>
      </w:r>
      <w:proofErr w:type="spellEnd"/>
      <w:r w:rsidR="00C75EE3">
        <w:t xml:space="preserve">. I also ignored res, stop and </w:t>
      </w:r>
      <w:proofErr w:type="spellStart"/>
      <w:r w:rsidR="00C75EE3">
        <w:t>syn</w:t>
      </w:r>
      <w:proofErr w:type="spellEnd"/>
      <w:r w:rsidR="00C75EE3">
        <w:t xml:space="preserve"> mutations, as well as those </w:t>
      </w:r>
      <w:proofErr w:type="spellStart"/>
      <w:r w:rsidR="00C75EE3">
        <w:t>nonsyn</w:t>
      </w:r>
      <w:proofErr w:type="spellEnd"/>
      <w:r w:rsidR="00C75EE3">
        <w:t xml:space="preserve"> mutations who were absent. This makes sense as in our data absent mutations and STOP mutations get the same </w:t>
      </w:r>
      <w:proofErr w:type="spellStart"/>
      <w:r w:rsidR="00C75EE3">
        <w:t>estSelCoeff</w:t>
      </w:r>
      <w:proofErr w:type="spellEnd"/>
      <w:r w:rsidR="00C75EE3">
        <w:t>, while premature STOP codons obviously differ from rare mutations so they should have different coefficient which is not the current case.</w:t>
      </w:r>
    </w:p>
    <w:p w:rsidR="00C9563D" w:rsidRDefault="00C75EE3" w:rsidP="00C75EE3">
      <w:pPr>
        <w:pStyle w:val="Heading1"/>
      </w:pPr>
      <w:r>
        <w:t>Nucleotide Identity</w:t>
      </w:r>
    </w:p>
    <w:p w:rsidR="00C75EE3" w:rsidRDefault="00C75EE3" w:rsidP="00C75EE3">
      <w:r>
        <w:t xml:space="preserve">ANOVA shows that nucleotide identity affects the selection coefficient: for C and G nucleotides, the average </w:t>
      </w:r>
      <w:proofErr w:type="gramStart"/>
      <w:r>
        <w:t>log(</w:t>
      </w:r>
      <w:proofErr w:type="spellStart"/>
      <w:proofErr w:type="gramEnd"/>
      <w:r>
        <w:t>estSelCoeff</w:t>
      </w:r>
      <w:proofErr w:type="spellEnd"/>
      <w:r>
        <w:t xml:space="preserve">) is higher by 2.5-3 orders. Further regression found that this independent variable has the highest effect on predicting </w:t>
      </w:r>
      <w:proofErr w:type="spellStart"/>
      <w:r>
        <w:t>logEstSelCoeff</w:t>
      </w:r>
      <w:proofErr w:type="spellEnd"/>
      <w:r>
        <w:t xml:space="preserve"> value.</w:t>
      </w:r>
    </w:p>
    <w:p w:rsidR="00C75EE3" w:rsidRDefault="00C75EE3" w:rsidP="00C75EE3">
      <w:r>
        <w:rPr>
          <w:noProof/>
          <w:lang w:eastAsia="en-US" w:bidi="he-IL"/>
        </w:rPr>
        <w:drawing>
          <wp:inline distT="0" distB="0" distL="0" distR="0" wp14:anchorId="1058643D" wp14:editId="1B72EEFC">
            <wp:extent cx="55054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E3" w:rsidRDefault="00C75EE3" w:rsidP="0046754C">
      <w:r>
        <w:t xml:space="preserve">It makes sense, as A's tend to appear </w:t>
      </w:r>
      <w:r w:rsidR="0046754C">
        <w:t>outside of RNA structured elements (</w:t>
      </w:r>
      <w:hyperlink r:id="rId7" w:tgtFrame="_blank" w:history="1">
        <w:r w:rsidR="0046754C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http://www.tandfonline.com/doi/abs/10.4161/rna.22896</w:t>
        </w:r>
      </w:hyperlink>
      <w:r w:rsidR="0046754C">
        <w:t>), so it should be interpreted as "structural factor".</w:t>
      </w:r>
    </w:p>
    <w:p w:rsidR="00563E0D" w:rsidRDefault="00563E0D" w:rsidP="00563E0D">
      <w:pPr>
        <w:pStyle w:val="Heading1"/>
      </w:pPr>
      <w:r>
        <w:lastRenderedPageBreak/>
        <w:t>Shape Reactivity</w:t>
      </w:r>
    </w:p>
    <w:p w:rsidR="00563E0D" w:rsidRDefault="00563E0D" w:rsidP="00563E0D">
      <w:r>
        <w:t xml:space="preserve">Similar to nucleotide identity, SHAPE contains information about the RNA folding of the position: positions that has lower shape score (median=0.34) tend to create secondary RNA structures. There's a statistically significant </w:t>
      </w:r>
      <w:r>
        <w:t xml:space="preserve">linear connection between SHAPE scores and </w:t>
      </w:r>
      <w:proofErr w:type="gramStart"/>
      <w:r>
        <w:t>log(</w:t>
      </w:r>
      <w:proofErr w:type="spellStart"/>
      <w:proofErr w:type="gramEnd"/>
      <w:r>
        <w:t>EstSelCoeff</w:t>
      </w:r>
      <w:proofErr w:type="spellEnd"/>
      <w:r>
        <w:t>)</w:t>
      </w:r>
      <w:r>
        <w:t xml:space="preserve"> (P-value&lt;0.0001 for both intercept and SHAPE), and the equation is:</w:t>
      </w:r>
    </w:p>
    <w:p w:rsidR="00563E0D" w:rsidRDefault="00563E0D" w:rsidP="00563E0D">
      <w:proofErr w:type="spellStart"/>
      <w:proofErr w:type="gramStart"/>
      <w:r w:rsidRPr="00563E0D">
        <w:t>logEstSelCoeff</w:t>
      </w:r>
      <w:proofErr w:type="spellEnd"/>
      <w:proofErr w:type="gramEnd"/>
      <w:r w:rsidRPr="00563E0D">
        <w:t xml:space="preserve"> = -4.171505 - 1.8041432*SHAPE</w:t>
      </w:r>
    </w:p>
    <w:p w:rsidR="00563E0D" w:rsidRPr="00563E0D" w:rsidRDefault="00563E0D" w:rsidP="00563E0D">
      <w:r>
        <w:rPr>
          <w:noProof/>
          <w:lang w:eastAsia="en-US" w:bidi="he-IL"/>
        </w:rPr>
        <w:drawing>
          <wp:inline distT="0" distB="0" distL="0" distR="0" wp14:anchorId="16C61529" wp14:editId="0A6F1C21">
            <wp:extent cx="3057754" cy="2563572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167" cy="25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4C" w:rsidRDefault="0046754C" w:rsidP="0046754C">
      <w:pPr>
        <w:pStyle w:val="Heading1"/>
      </w:pPr>
      <w:r>
        <w:t>Same AA Group</w:t>
      </w:r>
    </w:p>
    <w:p w:rsidR="0046754C" w:rsidRDefault="0046754C" w:rsidP="002F7EB5">
      <w:r>
        <w:t xml:space="preserve">Amino acids were classified into 5 groups: Positively charged, negatively charged, uncharged, hydrophobic and special cases (Cysteine, Glycine and </w:t>
      </w:r>
      <w:proofErr w:type="spellStart"/>
      <w:r>
        <w:t>Proline</w:t>
      </w:r>
      <w:proofErr w:type="spellEnd"/>
      <w:r>
        <w:t xml:space="preserve">). </w:t>
      </w:r>
      <w:r w:rsidR="002F7EB5">
        <w:t xml:space="preserve">If the WT and </w:t>
      </w:r>
      <w:proofErr w:type="spellStart"/>
      <w:r w:rsidR="002F7EB5">
        <w:t>Mut</w:t>
      </w:r>
      <w:proofErr w:type="spellEnd"/>
      <w:r w:rsidR="002F7EB5">
        <w:t xml:space="preserve"> belonged to the same group, they received "1" otherwise "0". From the analysis it looks like the mean difference between the "1" and "0" groups is -1.1435. This difference is statistically significant (p-value&lt;0.0001); where the target mutation is amino acid from a different group, the selection cost is higher. </w:t>
      </w:r>
    </w:p>
    <w:p w:rsidR="002F7EB5" w:rsidRDefault="002F7EB5" w:rsidP="002F7EB5">
      <w:r>
        <w:rPr>
          <w:noProof/>
          <w:lang w:eastAsia="en-US" w:bidi="he-IL"/>
        </w:rPr>
        <w:lastRenderedPageBreak/>
        <w:drawing>
          <wp:inline distT="0" distB="0" distL="0" distR="0" wp14:anchorId="211FE143" wp14:editId="3F72F523">
            <wp:extent cx="48768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B5" w:rsidRDefault="00506F06" w:rsidP="00563E0D">
      <w:pPr>
        <w:pStyle w:val="Heading1"/>
      </w:pPr>
      <w:r>
        <w:t>AA Identity</w:t>
      </w:r>
    </w:p>
    <w:p w:rsidR="00506F06" w:rsidRDefault="00506F06" w:rsidP="00506F06">
      <w:r>
        <w:t xml:space="preserve">Both WT and Mutation AA identity showed statistical significances. There are some AAs that when are WT or Mutation show different selection penalty. This is not a balanced ANOVA design but ANOVA is robust to most assumptions violations. </w:t>
      </w:r>
    </w:p>
    <w:p w:rsidR="00506F06" w:rsidRDefault="00506F06" w:rsidP="00506F06">
      <w:r>
        <w:rPr>
          <w:noProof/>
          <w:lang w:eastAsia="en-US" w:bidi="he-IL"/>
        </w:rPr>
        <w:drawing>
          <wp:inline distT="0" distB="0" distL="0" distR="0" wp14:anchorId="61E18165" wp14:editId="7D2B9DA3">
            <wp:extent cx="564832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06" w:rsidRPr="00506F06" w:rsidRDefault="00506F06" w:rsidP="00506F06">
      <w:r>
        <w:rPr>
          <w:noProof/>
          <w:lang w:eastAsia="en-US" w:bidi="he-IL"/>
        </w:rPr>
        <w:lastRenderedPageBreak/>
        <w:drawing>
          <wp:inline distT="0" distB="0" distL="0" distR="0" wp14:anchorId="689C9959" wp14:editId="6E617B4C">
            <wp:extent cx="55911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4C" w:rsidRDefault="0046754C" w:rsidP="0046754C"/>
    <w:p w:rsidR="00506F06" w:rsidRDefault="00506F06" w:rsidP="00506F06">
      <w:pPr>
        <w:pStyle w:val="Heading1"/>
      </w:pPr>
      <w:r>
        <w:t>Catalytic Site</w:t>
      </w:r>
    </w:p>
    <w:p w:rsidR="00506F06" w:rsidRDefault="00506F06" w:rsidP="00E64FDD">
      <w:r>
        <w:t xml:space="preserve">There are a total of 6 catalytic sites in the data: 3 in PROT and 3 in RT. They sum to a total of 11 </w:t>
      </w:r>
      <w:proofErr w:type="spellStart"/>
      <w:r>
        <w:t>nonsyn</w:t>
      </w:r>
      <w:proofErr w:type="spellEnd"/>
      <w:r>
        <w:t xml:space="preserve"> mutations, and there's a statistical significance for having higher </w:t>
      </w:r>
      <w:proofErr w:type="spellStart"/>
      <w:r>
        <w:t>logEstSelCoeff</w:t>
      </w:r>
      <w:proofErr w:type="spellEnd"/>
      <w:r>
        <w:t xml:space="preserve"> for catalytic sites (p-value=0.</w:t>
      </w:r>
      <w:r w:rsidR="00E64FDD">
        <w:t>0116</w:t>
      </w:r>
      <w:r>
        <w:t xml:space="preserve"> when assuming equal variances between the groups).</w:t>
      </w:r>
      <w:r w:rsidR="00E64FDD">
        <w:t xml:space="preserve"> The difference itself is 1.07107. </w:t>
      </w:r>
    </w:p>
    <w:p w:rsidR="00E64FDD" w:rsidRDefault="00E64FDD" w:rsidP="00E64FDD">
      <w:r>
        <w:rPr>
          <w:noProof/>
          <w:lang w:eastAsia="en-US" w:bidi="he-IL"/>
        </w:rPr>
        <w:drawing>
          <wp:inline distT="0" distB="0" distL="0" distR="0" wp14:anchorId="0C00439B" wp14:editId="449A7161">
            <wp:extent cx="3174797" cy="3249738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58" cy="32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DD" w:rsidRDefault="00E64FDD" w:rsidP="00E64FDD">
      <w:pPr>
        <w:pStyle w:val="Heading1"/>
      </w:pPr>
      <w:r>
        <w:lastRenderedPageBreak/>
        <w:t>Codon Position</w:t>
      </w:r>
    </w:p>
    <w:p w:rsidR="00E64FDD" w:rsidRDefault="00E64FDD" w:rsidP="00E64FDD">
      <w:r>
        <w:t>Using codon positions (1, 2 and 3) to distinguish between higher and lower selection failed; looks like there's no statistical significance in this path.</w:t>
      </w:r>
    </w:p>
    <w:p w:rsidR="00E64FDD" w:rsidRDefault="00E64FDD" w:rsidP="00E64FDD">
      <w:r>
        <w:rPr>
          <w:noProof/>
          <w:lang w:eastAsia="en-US" w:bidi="he-IL"/>
        </w:rPr>
        <w:drawing>
          <wp:inline distT="0" distB="0" distL="0" distR="0" wp14:anchorId="4953ADC6" wp14:editId="36C9319A">
            <wp:extent cx="563880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DD" w:rsidRDefault="00E64FDD" w:rsidP="00E64FDD">
      <w:pPr>
        <w:pStyle w:val="Heading1"/>
      </w:pPr>
      <w:r>
        <w:t>Pairing Probabilities</w:t>
      </w:r>
    </w:p>
    <w:p w:rsidR="00E64FDD" w:rsidRDefault="00E64FDD" w:rsidP="00E64FDD">
      <w:r>
        <w:t xml:space="preserve">The SHAPE paper also introduces pairing probabilities. By themselves they don't show statistical significance to the </w:t>
      </w:r>
      <w:proofErr w:type="spellStart"/>
      <w:r>
        <w:t>logEstSelCoeff</w:t>
      </w:r>
      <w:proofErr w:type="spellEnd"/>
      <w:r>
        <w:t xml:space="preserve"> values.</w:t>
      </w:r>
    </w:p>
    <w:p w:rsidR="00E64FDD" w:rsidRDefault="00E64FDD" w:rsidP="00E64FDD">
      <w:r>
        <w:rPr>
          <w:noProof/>
          <w:lang w:eastAsia="en-US" w:bidi="he-IL"/>
        </w:rPr>
        <w:drawing>
          <wp:inline distT="0" distB="0" distL="0" distR="0" wp14:anchorId="298BE2F7" wp14:editId="7D606045">
            <wp:extent cx="370522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DD" w:rsidRDefault="00E64FDD" w:rsidP="00E64FDD"/>
    <w:p w:rsidR="00E64FDD" w:rsidRDefault="005920BF" w:rsidP="00E64FDD">
      <w:pPr>
        <w:pStyle w:val="Heading1"/>
      </w:pPr>
      <w:r>
        <w:t xml:space="preserve">Transformations on </w:t>
      </w:r>
      <w:proofErr w:type="spellStart"/>
      <w:r>
        <w:t>ExpMutRate</w:t>
      </w:r>
      <w:proofErr w:type="spellEnd"/>
      <w:r>
        <w:t xml:space="preserve"> and </w:t>
      </w:r>
      <w:proofErr w:type="spellStart"/>
      <w:r>
        <w:t>PairingProb</w:t>
      </w:r>
      <w:proofErr w:type="spellEnd"/>
    </w:p>
    <w:p w:rsidR="005920BF" w:rsidRDefault="005920BF" w:rsidP="005920BF">
      <w:r>
        <w:t xml:space="preserve">Doing transformations on expected mutation rate lost their significance when nucleotide identity or same AA group are introduced into the model. </w:t>
      </w:r>
    </w:p>
    <w:p w:rsidR="005920BF" w:rsidRDefault="005920BF" w:rsidP="005920BF">
      <w:pPr>
        <w:pStyle w:val="Heading1"/>
      </w:pPr>
      <w:r>
        <w:t xml:space="preserve">Regression for </w:t>
      </w:r>
      <w:proofErr w:type="spellStart"/>
      <w:r>
        <w:t>LogEstSelCoeff</w:t>
      </w:r>
      <w:proofErr w:type="spellEnd"/>
    </w:p>
    <w:p w:rsidR="005920BF" w:rsidRDefault="005920BF" w:rsidP="00C66C55">
      <w:r>
        <w:t xml:space="preserve">Doing linear regression of the </w:t>
      </w:r>
      <w:proofErr w:type="spellStart"/>
      <w:r>
        <w:t>logEstSelCoeff</w:t>
      </w:r>
      <w:proofErr w:type="spellEnd"/>
      <w:r>
        <w:t xml:space="preserve"> results with R</w:t>
      </w:r>
      <w:r>
        <w:rPr>
          <w:vertAlign w:val="superscript"/>
        </w:rPr>
        <w:t>2</w:t>
      </w:r>
      <w:r>
        <w:t xml:space="preserve">=0.43 with as little as 2 </w:t>
      </w:r>
      <w:r w:rsidR="00C66C55">
        <w:t xml:space="preserve">categorical </w:t>
      </w:r>
      <w:r>
        <w:t>variables: nucleotide identity and same AA group: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35"/>
        <w:gridCol w:w="210"/>
        <w:gridCol w:w="605"/>
        <w:gridCol w:w="355"/>
        <w:gridCol w:w="205"/>
        <w:gridCol w:w="745"/>
        <w:gridCol w:w="310"/>
        <w:gridCol w:w="90"/>
        <w:gridCol w:w="890"/>
        <w:gridCol w:w="60"/>
        <w:gridCol w:w="725"/>
        <w:gridCol w:w="225"/>
        <w:gridCol w:w="710"/>
        <w:gridCol w:w="455"/>
      </w:tblGrid>
      <w:tr w:rsidR="005920BF" w:rsidTr="005920BF">
        <w:tblPrEx>
          <w:tblCellMar>
            <w:top w:w="0" w:type="dxa"/>
            <w:bottom w:w="0" w:type="dxa"/>
          </w:tblCellMar>
        </w:tblPrEx>
        <w:trPr>
          <w:gridAfter w:val="8"/>
          <w:wAfter w:w="3465" w:type="dxa"/>
        </w:trPr>
        <w:tc>
          <w:tcPr>
            <w:tcW w:w="2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RSquare</w:t>
            </w:r>
            <w:proofErr w:type="spellEnd"/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0.429278</w:t>
            </w:r>
          </w:p>
        </w:tc>
      </w:tr>
      <w:tr w:rsidR="005920BF" w:rsidTr="005920BF">
        <w:tblPrEx>
          <w:tblCellMar>
            <w:top w:w="0" w:type="dxa"/>
            <w:bottom w:w="0" w:type="dxa"/>
          </w:tblCellMar>
        </w:tblPrEx>
        <w:trPr>
          <w:gridAfter w:val="8"/>
          <w:wAfter w:w="3465" w:type="dxa"/>
        </w:trPr>
        <w:tc>
          <w:tcPr>
            <w:tcW w:w="2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RSquare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Adj</w:t>
            </w:r>
            <w:proofErr w:type="spellEnd"/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0.42512</w:t>
            </w:r>
          </w:p>
        </w:tc>
      </w:tr>
      <w:tr w:rsidR="005920BF" w:rsidTr="005920BF">
        <w:tblPrEx>
          <w:tblCellMar>
            <w:top w:w="0" w:type="dxa"/>
            <w:bottom w:w="0" w:type="dxa"/>
          </w:tblCellMar>
        </w:tblPrEx>
        <w:trPr>
          <w:gridAfter w:val="8"/>
          <w:wAfter w:w="3465" w:type="dxa"/>
        </w:trPr>
        <w:tc>
          <w:tcPr>
            <w:tcW w:w="2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Root Mean Square Error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1.357862</w:t>
            </w:r>
          </w:p>
        </w:tc>
      </w:tr>
      <w:tr w:rsidR="005920BF" w:rsidTr="005920BF">
        <w:tblPrEx>
          <w:tblCellMar>
            <w:top w:w="0" w:type="dxa"/>
            <w:bottom w:w="0" w:type="dxa"/>
          </w:tblCellMar>
        </w:tblPrEx>
        <w:trPr>
          <w:gridAfter w:val="8"/>
          <w:wAfter w:w="3465" w:type="dxa"/>
        </w:trPr>
        <w:tc>
          <w:tcPr>
            <w:tcW w:w="2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Mean of Response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-4.89635</w:t>
            </w:r>
          </w:p>
        </w:tc>
      </w:tr>
      <w:tr w:rsidR="005920BF" w:rsidTr="005920BF">
        <w:tblPrEx>
          <w:tblCellMar>
            <w:top w:w="0" w:type="dxa"/>
            <w:bottom w:w="0" w:type="dxa"/>
          </w:tblCellMar>
        </w:tblPrEx>
        <w:trPr>
          <w:gridAfter w:val="8"/>
          <w:wAfter w:w="3465" w:type="dxa"/>
        </w:trPr>
        <w:tc>
          <w:tcPr>
            <w:tcW w:w="2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Observations (or Sum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Wgts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)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554</w:t>
            </w: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rPr>
          <w:gridAfter w:val="1"/>
          <w:wAfter w:w="455" w:type="dxa"/>
          <w:tblHeader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Term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Estimate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Std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 xml:space="preserve"> Error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t Ratio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Prob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&gt;|t|</w:t>
            </w: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rPr>
          <w:gridAfter w:val="1"/>
          <w:wAfter w:w="455" w:type="dxa"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Intercept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-4.763012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0.068581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-69.45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rPr>
          <w:gridAfter w:val="1"/>
          <w:wAfter w:w="455" w:type="dxa"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WTnt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[a]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-1.281535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0.09028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-14.20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rPr>
          <w:gridAfter w:val="1"/>
          <w:wAfter w:w="455" w:type="dxa"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WTnt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[c]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0.9949523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0.122275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8.14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rPr>
          <w:gridAfter w:val="1"/>
          <w:wAfter w:w="455" w:type="dxa"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WTnt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[g]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1.0701179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0.105629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10.13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rPr>
          <w:gridAfter w:val="1"/>
          <w:wAfter w:w="455" w:type="dxa"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isSameGroup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[0]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0.4113995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0.064447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6.38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Source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Nparm</w:t>
            </w:r>
            <w:proofErr w:type="spell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DF</w:t>
            </w:r>
          </w:p>
        </w:tc>
        <w:tc>
          <w:tcPr>
            <w:tcW w:w="1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Sum of Squares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F Ratio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Prob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 xml:space="preserve"> &gt; F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WTnt</w:t>
            </w:r>
            <w:proofErr w:type="spellEnd"/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  3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3</w:t>
            </w:r>
          </w:p>
        </w:tc>
        <w:tc>
          <w:tcPr>
            <w:tcW w:w="1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609.88035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110.2584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</w:tr>
      <w:tr w:rsidR="005920BF" w:rsidTr="009D0DA8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isSameGroup</w:t>
            </w:r>
            <w:proofErr w:type="spellEnd"/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  1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1</w:t>
            </w:r>
          </w:p>
        </w:tc>
        <w:tc>
          <w:tcPr>
            <w:tcW w:w="1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75.13266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40.7490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0BF" w:rsidRDefault="005920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</w:tr>
    </w:tbl>
    <w:p w:rsidR="000F363F" w:rsidRDefault="009D0DA8" w:rsidP="005920BF">
      <w:r>
        <w:rPr>
          <w:noProof/>
          <w:lang w:eastAsia="en-US" w:bidi="he-IL"/>
        </w:rPr>
        <w:drawing>
          <wp:inline distT="0" distB="0" distL="0" distR="0" wp14:anchorId="12DCB018" wp14:editId="465D276D">
            <wp:extent cx="3209925" cy="2714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0BF" w:rsidRDefault="000F363F" w:rsidP="005920BF">
      <w:r>
        <w:t>Adding the mutation AA improves prediction to R</w:t>
      </w:r>
      <w:r>
        <w:rPr>
          <w:vertAlign w:val="superscript"/>
        </w:rPr>
        <w:t>2</w:t>
      </w:r>
      <w:r>
        <w:t>=0.471: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35"/>
        <w:gridCol w:w="815"/>
        <w:gridCol w:w="355"/>
        <w:gridCol w:w="205"/>
        <w:gridCol w:w="745"/>
        <w:gridCol w:w="400"/>
        <w:gridCol w:w="950"/>
        <w:gridCol w:w="950"/>
        <w:gridCol w:w="1160"/>
      </w:tblGrid>
      <w:tr w:rsidR="000F363F" w:rsidRPr="000F363F" w:rsidTr="000F363F">
        <w:tblPrEx>
          <w:tblCellMar>
            <w:top w:w="0" w:type="dxa"/>
            <w:bottom w:w="0" w:type="dxa"/>
          </w:tblCellMar>
        </w:tblPrEx>
        <w:trPr>
          <w:gridAfter w:val="4"/>
          <w:wAfter w:w="3460" w:type="dxa"/>
        </w:trPr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RSquare</w:t>
            </w:r>
            <w:proofErr w:type="spellEnd"/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0.471909</w:t>
            </w:r>
          </w:p>
        </w:tc>
      </w:tr>
      <w:tr w:rsidR="000F363F" w:rsidRPr="000F363F" w:rsidTr="000F363F">
        <w:tblPrEx>
          <w:tblCellMar>
            <w:top w:w="0" w:type="dxa"/>
            <w:bottom w:w="0" w:type="dxa"/>
          </w:tblCellMar>
        </w:tblPrEx>
        <w:trPr>
          <w:gridAfter w:val="4"/>
          <w:wAfter w:w="3460" w:type="dxa"/>
        </w:trPr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RSquare</w:t>
            </w:r>
            <w:proofErr w:type="spellEnd"/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</w:t>
            </w:r>
            <w:proofErr w:type="spellStart"/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Adj</w:t>
            </w:r>
            <w:proofErr w:type="spellEnd"/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0.450029</w:t>
            </w:r>
          </w:p>
        </w:tc>
      </w:tr>
      <w:tr w:rsidR="000F363F" w:rsidRPr="000F363F" w:rsidTr="000F363F">
        <w:tblPrEx>
          <w:tblCellMar>
            <w:top w:w="0" w:type="dxa"/>
            <w:bottom w:w="0" w:type="dxa"/>
          </w:tblCellMar>
        </w:tblPrEx>
        <w:trPr>
          <w:gridAfter w:val="4"/>
          <w:wAfter w:w="3460" w:type="dxa"/>
        </w:trPr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Root Mean Square Error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1.328118</w:t>
            </w:r>
          </w:p>
        </w:tc>
      </w:tr>
      <w:tr w:rsidR="000F363F" w:rsidRPr="000F363F" w:rsidTr="000F363F">
        <w:tblPrEx>
          <w:tblCellMar>
            <w:top w:w="0" w:type="dxa"/>
            <w:bottom w:w="0" w:type="dxa"/>
          </w:tblCellMar>
        </w:tblPrEx>
        <w:trPr>
          <w:gridAfter w:val="4"/>
          <w:wAfter w:w="3460" w:type="dxa"/>
        </w:trPr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lastRenderedPageBreak/>
              <w:t>Mean of Response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-4.89635</w:t>
            </w:r>
          </w:p>
        </w:tc>
      </w:tr>
      <w:tr w:rsidR="000F363F" w:rsidRPr="000F363F" w:rsidTr="000F363F">
        <w:tblPrEx>
          <w:tblCellMar>
            <w:top w:w="0" w:type="dxa"/>
            <w:bottom w:w="0" w:type="dxa"/>
          </w:tblCellMar>
        </w:tblPrEx>
        <w:trPr>
          <w:gridAfter w:val="4"/>
          <w:wAfter w:w="3460" w:type="dxa"/>
        </w:trPr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Observations (or Sum </w:t>
            </w:r>
            <w:proofErr w:type="spellStart"/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Wgts</w:t>
            </w:r>
            <w:proofErr w:type="spellEnd"/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)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554</w:t>
            </w:r>
          </w:p>
        </w:tc>
      </w:tr>
      <w:tr w:rsidR="000F363F" w:rsidRPr="000F363F" w:rsidTr="000F36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Source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proofErr w:type="spellStart"/>
            <w:r w:rsidRPr="000F363F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Nparm</w:t>
            </w:r>
            <w:proofErr w:type="spell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DF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Sum of Squares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F Ratio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  <w:proofErr w:type="spellStart"/>
            <w:r w:rsidRPr="000F363F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>Prob</w:t>
            </w:r>
            <w:proofErr w:type="spellEnd"/>
            <w:r w:rsidRPr="000F363F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  <w:t xml:space="preserve"> &gt; 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bidi="he-IL"/>
              </w:rPr>
            </w:pPr>
          </w:p>
        </w:tc>
      </w:tr>
      <w:tr w:rsidR="000F363F" w:rsidRPr="000F363F" w:rsidTr="000F363F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WTnt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  3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3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358.61737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67.7698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</w:tr>
      <w:tr w:rsidR="000F363F" w:rsidRPr="000F363F" w:rsidTr="000F363F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proofErr w:type="spellStart"/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isSameGroup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  1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1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44.85561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25.4298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&lt;.0001*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</w:tr>
      <w:tr w:rsidR="000F363F" w:rsidRPr="000F363F" w:rsidTr="000F363F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MUTAA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 xml:space="preserve">  18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18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75.61082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  <w:t>2.3814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</w:pPr>
            <w:r w:rsidRPr="000F363F">
              <w:rPr>
                <w:rFonts w:ascii="Segoe UI" w:hAnsi="Segoe UI" w:cs="Segoe UI"/>
                <w:color w:val="E57406"/>
                <w:sz w:val="18"/>
                <w:szCs w:val="18"/>
                <w:lang w:bidi="he-IL"/>
              </w:rPr>
              <w:t>0.0012*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0F363F" w:rsidRPr="000F363F" w:rsidRDefault="000F363F" w:rsidP="000F36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  <w:lang w:bidi="he-IL"/>
              </w:rPr>
            </w:pPr>
          </w:p>
        </w:tc>
      </w:tr>
    </w:tbl>
    <w:p w:rsidR="000F363F" w:rsidRPr="000F363F" w:rsidRDefault="009D0DA8" w:rsidP="005920BF">
      <w:r>
        <w:rPr>
          <w:noProof/>
          <w:lang w:eastAsia="en-US" w:bidi="he-IL"/>
        </w:rPr>
        <w:drawing>
          <wp:inline distT="0" distB="0" distL="0" distR="0" wp14:anchorId="51D4A900" wp14:editId="2F416A7A">
            <wp:extent cx="33528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63F" w:rsidRPr="000F36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3D"/>
    <w:rsid w:val="000F363F"/>
    <w:rsid w:val="002F7EB5"/>
    <w:rsid w:val="0046754C"/>
    <w:rsid w:val="00506F06"/>
    <w:rsid w:val="00563E0D"/>
    <w:rsid w:val="005920BF"/>
    <w:rsid w:val="009D0DA8"/>
    <w:rsid w:val="00BD50E2"/>
    <w:rsid w:val="00C66C55"/>
    <w:rsid w:val="00C75EE3"/>
    <w:rsid w:val="00C9563D"/>
    <w:rsid w:val="00E6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F9B02-F934-4337-B9C7-022C009C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7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andfonline.com/doi/abs/10.4161/rna.22896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S5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360</TotalTime>
  <Pages>7</Pages>
  <Words>728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Maoz Gelbart</dc:creator>
  <cp:keywords/>
  <cp:lastModifiedBy>Maoz Gelbart</cp:lastModifiedBy>
  <cp:revision>1</cp:revision>
  <dcterms:created xsi:type="dcterms:W3CDTF">2016-03-22T07:57:00Z</dcterms:created>
  <dcterms:modified xsi:type="dcterms:W3CDTF">2016-03-22T13:57:00Z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