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2385F"/>
          <w:sz w:val="60"/>
        </w:rPr>
        <w:t>PAL Safety Hub</w:t>
      </w:r>
    </w:p>
    <w:p>
      <w:pPr>
        <w:spacing w:after="360"/>
        <w:jc w:val="center"/>
      </w:pPr>
      <w:r>
        <w:rPr>
          <w:color w:val="172033"/>
          <w:sz w:val="28"/>
        </w:rPr>
        <w:t>Digital Safety, Onboarding, Project Documentation, and Field Operations Proposal</w:t>
      </w:r>
    </w:p>
    <w:tbl>
      <w:tblPr>
        <w:tblW w:type="auto" w:w="0"/>
        <w:jc w:val="center"/>
        <w:tblLayout w:type="autofit"/>
        <w:tblLook w:firstColumn="1" w:firstRow="1" w:lastColumn="0" w:lastRow="0" w:noHBand="0" w:noVBand="1" w:val="04A0"/>
      </w:tblPr>
      <w:tblGrid>
        <w:gridCol w:w="5083"/>
        <w:gridCol w:w="5083"/>
      </w:tblGrid>
      <w:tr>
        <w:tc>
          <w:tcPr>
            <w:tcW w:type="dxa" w:w="5083"/>
            <w:shd w:fill="12385F"/>
            <w:vAlign w:val="center"/>
          </w:tcPr>
          <w:p>
            <w:pPr>
              <w:spacing w:after="0"/>
            </w:pPr>
            <w:r/>
            <w:r>
              <w:rPr>
                <w:b/>
                <w:color w:val="FFFFFF"/>
              </w:rPr>
              <w:t>Prepared for</w:t>
            </w:r>
          </w:p>
        </w:tc>
        <w:tc>
          <w:tcPr>
            <w:tcW w:type="dxa" w:w="5083"/>
            <w:shd w:fill="F5F7FA"/>
            <w:vAlign w:val="center"/>
          </w:tcPr>
          <w:p>
            <w:pPr>
              <w:spacing w:after="0"/>
            </w:pPr>
            <w:r/>
            <w:r>
              <w:rPr>
                <w:b/>
                <w:color w:val="172033"/>
              </w:rPr>
              <w:t>PAL Environmental Services</w:t>
            </w:r>
          </w:p>
        </w:tc>
      </w:tr>
      <w:tr>
        <w:tc>
          <w:tcPr>
            <w:tcW w:type="dxa" w:w="5083"/>
            <w:shd w:fill="12385F"/>
            <w:vAlign w:val="center"/>
          </w:tcPr>
          <w:p>
            <w:pPr>
              <w:spacing w:after="0"/>
            </w:pPr>
            <w:r/>
            <w:r>
              <w:rPr>
                <w:b/>
                <w:color w:val="FFFFFF"/>
              </w:rPr>
              <w:t>Prepared by</w:t>
            </w:r>
          </w:p>
        </w:tc>
        <w:tc>
          <w:tcPr>
            <w:tcW w:type="dxa" w:w="5083"/>
            <w:shd w:fill="F5F7FA"/>
            <w:vAlign w:val="center"/>
          </w:tcPr>
          <w:p>
            <w:pPr>
              <w:spacing w:after="0"/>
            </w:pPr>
            <w:r/>
            <w:r>
              <w:rPr>
                <w:b/>
                <w:color w:val="172033"/>
              </w:rPr>
              <w:t>John Panettiere</w:t>
            </w:r>
          </w:p>
        </w:tc>
      </w:tr>
      <w:tr>
        <w:tc>
          <w:tcPr>
            <w:tcW w:type="dxa" w:w="5083"/>
            <w:shd w:fill="12385F"/>
            <w:vAlign w:val="center"/>
          </w:tcPr>
          <w:p>
            <w:pPr>
              <w:spacing w:after="0"/>
            </w:pPr>
            <w:r/>
            <w:r>
              <w:rPr>
                <w:b/>
                <w:color w:val="FFFFFF"/>
              </w:rPr>
              <w:t>Proposal</w:t>
            </w:r>
          </w:p>
        </w:tc>
        <w:tc>
          <w:tcPr>
            <w:tcW w:type="dxa" w:w="5083"/>
            <w:shd w:fill="F5F7FA"/>
            <w:vAlign w:val="center"/>
          </w:tcPr>
          <w:p>
            <w:pPr>
              <w:spacing w:after="0"/>
            </w:pPr>
            <w:r/>
            <w:r>
              <w:rPr>
                <w:b/>
                <w:color w:val="172033"/>
              </w:rPr>
              <w:t>45-Day Pilot and App Support Agreement</w:t>
            </w:r>
          </w:p>
        </w:tc>
      </w:tr>
      <w:tr>
        <w:tc>
          <w:tcPr>
            <w:tcW w:type="dxa" w:w="5083"/>
            <w:shd w:fill="12385F"/>
            <w:vAlign w:val="center"/>
          </w:tcPr>
          <w:p>
            <w:pPr>
              <w:spacing w:after="0"/>
            </w:pPr>
            <w:r/>
            <w:r>
              <w:rPr>
                <w:b/>
                <w:color w:val="FFFFFF"/>
              </w:rPr>
              <w:t>Date</w:t>
            </w:r>
          </w:p>
        </w:tc>
        <w:tc>
          <w:tcPr>
            <w:tcW w:type="dxa" w:w="5083"/>
            <w:shd w:fill="F5F7FA"/>
            <w:vAlign w:val="center"/>
          </w:tcPr>
          <w:p>
            <w:pPr>
              <w:spacing w:after="0"/>
            </w:pPr>
            <w:r/>
            <w:r>
              <w:rPr>
                <w:b/>
                <w:color w:val="172033"/>
              </w:rPr>
              <w:t>July 2026</w:t>
            </w:r>
          </w:p>
        </w:tc>
      </w:tr>
    </w:tbl>
    <w:tbl>
      <w:tblPr>
        <w:tblW w:type="auto" w:w="0"/>
        <w:jc w:val="center"/>
        <w:tblLook w:firstColumn="1" w:firstRow="1" w:lastColumn="0" w:lastRow="0" w:noHBand="0" w:noVBand="1" w:val="04A0"/>
      </w:tblPr>
      <w:tblGrid>
        <w:gridCol w:w="10166"/>
      </w:tblGrid>
      <w:tr>
        <w:tc>
          <w:tcPr>
            <w:tcW w:type="dxa" w:w="9360"/>
            <w:shd w:fill="F5F7FA"/>
          </w:tcPr>
          <w:p>
            <w:pPr>
              <w:spacing w:after="80"/>
            </w:pPr>
            <w:r>
              <w:rPr>
                <w:b/>
                <w:color w:val="12385F"/>
                <w:sz w:val="22"/>
              </w:rPr>
              <w:t>Purpose</w:t>
            </w:r>
          </w:p>
          <w:p>
            <w:pPr>
              <w:spacing w:after="40"/>
            </w:pPr>
            <w:r>
              <w:t>This proposal outlines a controlled 45-day field trial, followed by the option for PAL to move forward with a one-time setup/onboarding fee and monthly app support/admin service.</w:t>
            </w:r>
          </w:p>
        </w:tc>
      </w:tr>
    </w:tbl>
    <w:p>
      <w:r>
        <w:br w:type="page"/>
      </w:r>
    </w:p>
    <w:p>
      <w:pPr>
        <w:pStyle w:val="Heading1"/>
      </w:pPr>
      <w:r>
        <w:rPr>
          <w:color w:val="12385F"/>
        </w:rPr>
        <w:t>Executive Summary</w:t>
      </w:r>
    </w:p>
    <w:p>
      <w:pPr>
        <w:spacing w:after="160" w:line="259" w:lineRule="auto"/>
      </w:pPr>
      <w:r>
        <w:t>PAL Safety Hub is a custom-built digital safety, onboarding, project documentation, and field operations application designed specifically around PAL Environmental Services' real office and field workflows.</w:t>
      </w:r>
    </w:p>
    <w:p>
      <w:pPr>
        <w:spacing w:after="160" w:line="259" w:lineRule="auto"/>
      </w:pPr>
      <w:r>
        <w:t>The goal of the app is to give PAL one organized system for employee onboarding, safety paperwork, certifications, project records, JHAs, tickets, photos, field forms, payroll-related documents, and long-term document access. Instead of important information being spread across paper binders, text messages, emails, phones, and separate folders, PAL Safety Hub keeps records connected to the correct employee, project, or safety document.</w:t>
      </w:r>
    </w:p>
    <w:p>
      <w:pPr>
        <w:spacing w:after="160" w:line="259" w:lineRule="auto"/>
      </w:pPr>
      <w:r>
        <w:t>This proposal outlines a 45-day field trial, a one-time onboarding/setup fee, and an ongoing monthly support/admin fee.</w:t>
      </w:r>
    </w:p>
    <w:p>
      <w:pPr>
        <w:pStyle w:val="Heading1"/>
      </w:pPr>
      <w:r>
        <w:rPr>
          <w:color w:val="12385F"/>
        </w:rPr>
        <w:t>Proposed Trial Period</w:t>
      </w:r>
    </w:p>
    <w:p>
      <w:pPr>
        <w:spacing w:after="160" w:line="259" w:lineRule="auto"/>
      </w:pPr>
      <w:r>
        <w:t>PAL Safety Hub will be available for a 45-day trial period so PAL can test the app in real field and office conditions before making a final purchasing decision.</w:t>
      </w:r>
    </w:p>
    <w:p>
      <w:pPr>
        <w:spacing w:after="160" w:line="259" w:lineRule="auto"/>
      </w:pPr>
      <w:r>
        <w:t>During the trial, PAL can test the app with a limited group of office staff, safety personnel, supervisors, foremen, and field employees. The suggested starting point is a controlled pilot on one or two active projects, such as JFK Terminal 1 or another project selected by PAL.</w:t>
      </w:r>
    </w:p>
    <w:p>
      <w:pPr>
        <w:pStyle w:val="ListBullet"/>
        <w:spacing w:after="60"/>
      </w:pPr>
      <w:r>
        <w:t>Allow PAL office and safety personnel to review the app workflow.</w:t>
      </w:r>
    </w:p>
    <w:p>
      <w:pPr>
        <w:pStyle w:val="ListBullet"/>
        <w:spacing w:after="60"/>
      </w:pPr>
      <w:r>
        <w:t>Allow foremen/supervisors to test daily field use.</w:t>
      </w:r>
    </w:p>
    <w:p>
      <w:pPr>
        <w:pStyle w:val="ListBullet"/>
        <w:spacing w:after="60"/>
      </w:pPr>
      <w:r>
        <w:t>Confirm the onboarding, project, JHA, ticket, and safety-document process.</w:t>
      </w:r>
    </w:p>
    <w:p>
      <w:pPr>
        <w:pStyle w:val="ListBullet"/>
        <w:spacing w:after="60"/>
      </w:pPr>
      <w:r>
        <w:t>Identify any final adjustments before full company rollout.</w:t>
      </w:r>
    </w:p>
    <w:p>
      <w:pPr>
        <w:pStyle w:val="ListBullet"/>
        <w:spacing w:after="60"/>
      </w:pPr>
      <w:r>
        <w:t>Confirm whether the app provides enough value for PAL to move forward.</w:t>
      </w:r>
    </w:p>
    <w:p>
      <w:pPr>
        <w:spacing w:after="160" w:line="259" w:lineRule="auto"/>
      </w:pPr>
      <w:r>
        <w:t>At the end of the 45-day trial, PAL will have the option to move forward with the paid setup and monthly support agreement.</w:t>
      </w:r>
    </w:p>
    <w:p>
      <w:pPr>
        <w:pStyle w:val="Heading1"/>
      </w:pPr>
      <w:r>
        <w:rPr>
          <w:color w:val="12385F"/>
        </w:rPr>
        <w:t>Pricing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85F"/>
            <w:vAlign w:val="center"/>
          </w:tcPr>
          <w:p>
            <w:pPr>
              <w:spacing w:after="0"/>
            </w:pPr>
            <w:r/>
            <w:r>
              <w:rPr>
                <w:b/>
                <w:color w:val="FFFFFF"/>
              </w:rPr>
              <w:t>Item</w:t>
            </w:r>
          </w:p>
        </w:tc>
        <w:tc>
          <w:tcPr>
            <w:tcW w:type="dxa" w:w="3389"/>
            <w:shd w:fill="12385F"/>
            <w:vAlign w:val="center"/>
          </w:tcPr>
          <w:p>
            <w:pPr>
              <w:spacing w:after="0"/>
            </w:pPr>
            <w:r/>
            <w:r>
              <w:rPr>
                <w:b/>
                <w:color w:val="FFFFFF"/>
              </w:rPr>
              <w:t>Price</w:t>
            </w:r>
          </w:p>
        </w:tc>
        <w:tc>
          <w:tcPr>
            <w:tcW w:type="dxa" w:w="3389"/>
            <w:shd w:fill="12385F"/>
            <w:vAlign w:val="center"/>
          </w:tcPr>
          <w:p>
            <w:pPr>
              <w:spacing w:after="0"/>
            </w:pPr>
            <w:r/>
            <w:r>
              <w:rPr>
                <w:b/>
                <w:color w:val="FFFFFF"/>
              </w:rPr>
              <w:t>Included</w:t>
            </w:r>
          </w:p>
        </w:tc>
      </w:tr>
      <w:tr>
        <w:tc>
          <w:tcPr>
            <w:tcW w:type="dxa" w:w="3389"/>
            <w:vAlign w:val="center"/>
          </w:tcPr>
          <w:p>
            <w:pPr>
              <w:spacing w:after="0"/>
            </w:pPr>
            <w:r/>
            <w:r>
              <w:rPr>
                <w:b/>
                <w:color w:val="12385F"/>
              </w:rPr>
              <w:t>45-Day Trial</w:t>
            </w:r>
          </w:p>
        </w:tc>
        <w:tc>
          <w:tcPr>
            <w:tcW w:type="dxa" w:w="3389"/>
            <w:vAlign w:val="center"/>
          </w:tcPr>
          <w:p>
            <w:pPr>
              <w:spacing w:after="0"/>
            </w:pPr>
            <w:r/>
            <w:r>
              <w:rPr>
                <w:b/>
                <w:color w:val="172033"/>
              </w:rPr>
              <w:t>No charge</w:t>
            </w:r>
          </w:p>
        </w:tc>
        <w:tc>
          <w:tcPr>
            <w:tcW w:type="dxa" w:w="3389"/>
            <w:vAlign w:val="center"/>
          </w:tcPr>
          <w:p>
            <w:pPr>
              <w:spacing w:after="0"/>
            </w:pPr>
            <w:r/>
            <w:r>
              <w:rPr>
                <w:b w:val="0"/>
              </w:rPr>
              <w:t>Controlled pilot use with selected PAL users/projects before final purchase decision.</w:t>
            </w:r>
          </w:p>
        </w:tc>
      </w:tr>
      <w:tr>
        <w:tc>
          <w:tcPr>
            <w:tcW w:type="dxa" w:w="3389"/>
            <w:vAlign w:val="center"/>
          </w:tcPr>
          <w:p>
            <w:pPr>
              <w:spacing w:after="0"/>
            </w:pPr>
            <w:r/>
            <w:r>
              <w:rPr>
                <w:b/>
                <w:color w:val="12385F"/>
              </w:rPr>
              <w:t>One-Time Setup / Onboarding</w:t>
            </w:r>
          </w:p>
        </w:tc>
        <w:tc>
          <w:tcPr>
            <w:tcW w:type="dxa" w:w="3389"/>
            <w:vAlign w:val="center"/>
          </w:tcPr>
          <w:p>
            <w:pPr>
              <w:spacing w:after="0"/>
            </w:pPr>
            <w:r/>
            <w:r>
              <w:rPr>
                <w:b/>
                <w:color w:val="172033"/>
              </w:rPr>
              <w:t>$5,000</w:t>
            </w:r>
          </w:p>
        </w:tc>
        <w:tc>
          <w:tcPr>
            <w:tcW w:type="dxa" w:w="3389"/>
            <w:vAlign w:val="center"/>
          </w:tcPr>
          <w:p>
            <w:pPr>
              <w:spacing w:after="0"/>
            </w:pPr>
            <w:r/>
            <w:r>
              <w:rPr>
                <w:b w:val="0"/>
              </w:rPr>
              <w:t>PAL configuration, access setup, training, rollout support, and final workflow adjustments.</w:t>
            </w:r>
          </w:p>
        </w:tc>
      </w:tr>
      <w:tr>
        <w:tc>
          <w:tcPr>
            <w:tcW w:type="dxa" w:w="3389"/>
            <w:vAlign w:val="center"/>
          </w:tcPr>
          <w:p>
            <w:pPr>
              <w:spacing w:after="0"/>
            </w:pPr>
            <w:r/>
            <w:r>
              <w:rPr>
                <w:b/>
                <w:color w:val="12385F"/>
              </w:rPr>
              <w:t>Monthly Support / Administration</w:t>
            </w:r>
          </w:p>
        </w:tc>
        <w:tc>
          <w:tcPr>
            <w:tcW w:type="dxa" w:w="3389"/>
            <w:vAlign w:val="center"/>
          </w:tcPr>
          <w:p>
            <w:pPr>
              <w:spacing w:after="0"/>
            </w:pPr>
            <w:r/>
            <w:r>
              <w:rPr>
                <w:b/>
                <w:color w:val="172033"/>
              </w:rPr>
              <w:t>$500/month</w:t>
            </w:r>
          </w:p>
        </w:tc>
        <w:tc>
          <w:tcPr>
            <w:tcW w:type="dxa" w:w="3389"/>
            <w:vAlign w:val="center"/>
          </w:tcPr>
          <w:p>
            <w:pPr>
              <w:spacing w:after="0"/>
            </w:pPr>
            <w:r/>
            <w:r>
              <w:rPr>
                <w:b w:val="0"/>
              </w:rPr>
              <w:t>Ongoing oversight, troubleshooting, app support, field/office assistance, and light app improvements.</w:t>
            </w:r>
          </w:p>
        </w:tc>
      </w:tr>
    </w:tbl>
    <w:p>
      <w:pPr>
        <w:spacing w:after="160" w:line="259" w:lineRule="auto"/>
      </w:pPr>
      <w:r>
        <w:t>Third-party service costs are not included in the monthly support fee. These may include Firebase/Google Cloud, Twilio text messaging, OpenAI usage, Resend email usage, domain costs, storage increases, or other paid services added later. Those costs can be reviewed with PAL and either billed separately or handled directly by PAL.</w:t>
      </w:r>
    </w:p>
    <w:p>
      <w:pPr>
        <w:pStyle w:val="Heading1"/>
      </w:pPr>
      <w:r>
        <w:rPr>
          <w:color w:val="12385F"/>
        </w:rPr>
        <w:t>App Features</w:t>
      </w:r>
    </w:p>
    <w:p>
      <w:pPr>
        <w:pStyle w:val="Heading2"/>
      </w:pPr>
      <w:r>
        <w:rPr>
          <w:color w:val="12385F"/>
        </w:rPr>
        <w:t>Project Management</w:t>
      </w:r>
    </w:p>
    <w:p>
      <w:pPr>
        <w:pStyle w:val="ListBullet"/>
        <w:spacing w:after="60"/>
      </w:pPr>
      <w:r>
        <w:t>Daily safety reports, daily reports, JHAs, checklists, photos, tickets, payroll/expense documents, uploaded files, and project notes.</w:t>
      </w:r>
    </w:p>
    <w:p>
      <w:pPr>
        <w:pStyle w:val="ListBullet"/>
        <w:spacing w:after="60"/>
      </w:pPr>
      <w:r>
        <w:t>Search and filtering by project, foreman, date, and document type.</w:t>
      </w:r>
    </w:p>
    <w:p>
      <w:pPr>
        <w:pStyle w:val="Heading2"/>
      </w:pPr>
      <w:r>
        <w:rPr>
          <w:color w:val="12385F"/>
        </w:rPr>
        <w:t>Foreman and Supervisor Tools</w:t>
      </w:r>
    </w:p>
    <w:p>
      <w:pPr>
        <w:pStyle w:val="ListBullet"/>
        <w:spacing w:after="60"/>
      </w:pPr>
      <w:r>
        <w:t>Quick access to daily safety sheets, daily reports, payroll, expense reports, tickets, JHAs, checklists, and PAL field forms.</w:t>
      </w:r>
    </w:p>
    <w:p>
      <w:pPr>
        <w:pStyle w:val="ListBullet"/>
        <w:spacing w:after="60"/>
      </w:pPr>
      <w:r>
        <w:t>Designed for laptop, iPad, iPhone, Android, and desktop use where possible.</w:t>
      </w:r>
    </w:p>
    <w:p>
      <w:pPr>
        <w:pStyle w:val="Heading2"/>
      </w:pPr>
      <w:r>
        <w:rPr>
          <w:color w:val="12385F"/>
        </w:rPr>
        <w:t>Employee Onboarding and Workforce Records</w:t>
      </w:r>
    </w:p>
    <w:p>
      <w:pPr>
        <w:pStyle w:val="ListBullet"/>
        <w:spacing w:after="60"/>
      </w:pPr>
      <w:r>
        <w:t>New-hire intake requests, orientation video access, document uploads, missing-information review, and good-to-work tracking.</w:t>
      </w:r>
    </w:p>
    <w:p>
      <w:pPr>
        <w:pStyle w:val="ListBullet"/>
        <w:spacing w:after="60"/>
      </w:pPr>
      <w:r>
        <w:t>English, Spanish, and Polish orientation video support with acknowledgement and knowledge checks.</w:t>
      </w:r>
    </w:p>
    <w:p>
      <w:pPr>
        <w:pStyle w:val="ListBullet"/>
        <w:spacing w:after="60"/>
      </w:pPr>
      <w:r>
        <w:t>Employee certification tracking, including expired and expiring certification visibility.</w:t>
      </w:r>
    </w:p>
    <w:p>
      <w:pPr>
        <w:pStyle w:val="Heading2"/>
      </w:pPr>
      <w:r>
        <w:rPr>
          <w:color w:val="12385F"/>
        </w:rPr>
        <w:t>JHA Management</w:t>
      </w:r>
    </w:p>
    <w:p>
      <w:pPr>
        <w:pStyle w:val="ListBullet"/>
        <w:spacing w:after="60"/>
      </w:pPr>
      <w:r>
        <w:t>Previous JHA storage, upload/create workflows, office/admin edit control, and foreman/crew signature access.</w:t>
      </w:r>
    </w:p>
    <w:p>
      <w:pPr>
        <w:pStyle w:val="ListBullet"/>
        <w:spacing w:after="60"/>
      </w:pPr>
      <w:r>
        <w:t>Signed JHAs can be saved back to the correct project.</w:t>
      </w:r>
    </w:p>
    <w:p>
      <w:pPr>
        <w:pStyle w:val="Heading2"/>
      </w:pPr>
      <w:r>
        <w:rPr>
          <w:color w:val="12385F"/>
        </w:rPr>
        <w:t>Tickets and Signatures</w:t>
      </w:r>
    </w:p>
    <w:p>
      <w:pPr>
        <w:pStyle w:val="ListBullet"/>
        <w:spacing w:after="60"/>
      </w:pPr>
      <w:r>
        <w:t>Extra work ticket creation with labor, materials, equipment, notes, PAL signature, and GC/contractor signature.</w:t>
      </w:r>
    </w:p>
    <w:p>
      <w:pPr>
        <w:pStyle w:val="ListBullet"/>
        <w:spacing w:after="60"/>
      </w:pPr>
      <w:r>
        <w:t>Secure signature link for outside review/signoff.</w:t>
      </w:r>
    </w:p>
    <w:p>
      <w:pPr>
        <w:pStyle w:val="Heading2"/>
      </w:pPr>
      <w:r>
        <w:rPr>
          <w:color w:val="12385F"/>
        </w:rPr>
        <w:t>Email, Text, and AI Features</w:t>
      </w:r>
    </w:p>
    <w:p>
      <w:pPr>
        <w:pStyle w:val="ListBullet"/>
        <w:spacing w:after="60"/>
      </w:pPr>
      <w:r>
        <w:t>Weekly certification email reports and email notifications through a backend email provider.</w:t>
      </w:r>
    </w:p>
    <w:p>
      <w:pPr>
        <w:pStyle w:val="ListBullet"/>
        <w:spacing w:after="60"/>
      </w:pPr>
      <w:r>
        <w:t>Twilio text message readiness for intake links and future alerts, subject to carrier approval.</w:t>
      </w:r>
    </w:p>
    <w:p>
      <w:pPr>
        <w:pStyle w:val="ListBullet"/>
        <w:spacing w:after="60"/>
      </w:pPr>
      <w:r>
        <w:t>OpenAI-assisted drafting for safety sheets and daily reports with usage tracking and monthly caps.</w:t>
      </w:r>
    </w:p>
    <w:p>
      <w:pPr>
        <w:pStyle w:val="Heading1"/>
      </w:pPr>
      <w:r>
        <w:rPr>
          <w:color w:val="12385F"/>
        </w:rPr>
        <w:t>Security and Access Control</w:t>
      </w:r>
    </w:p>
    <w:p>
      <w:pPr>
        <w:spacing w:after="160" w:line="259" w:lineRule="auto"/>
      </w:pPr>
      <w:r>
        <w:t>PAL Safety Hub has been built with role-based access and backend security in mind.</w:t>
      </w:r>
    </w:p>
    <w:p>
      <w:pPr>
        <w:pStyle w:val="ListBullet"/>
        <w:spacing w:after="60"/>
      </w:pPr>
      <w:r>
        <w:t>Admin, office, foreman/supervisor, field, and public intake access levels.</w:t>
      </w:r>
    </w:p>
    <w:p>
      <w:pPr>
        <w:pStyle w:val="ListBullet"/>
        <w:spacing w:after="60"/>
      </w:pPr>
      <w:r>
        <w:t>Firebase Authentication for protected access.</w:t>
      </w:r>
    </w:p>
    <w:p>
      <w:pPr>
        <w:pStyle w:val="ListBullet"/>
        <w:spacing w:after="60"/>
      </w:pPr>
      <w:r>
        <w:t>Firestore security rules and Storage security rules.</w:t>
      </w:r>
    </w:p>
    <w:p>
      <w:pPr>
        <w:pStyle w:val="ListBullet"/>
        <w:spacing w:after="60"/>
      </w:pPr>
      <w:r>
        <w:t>Backend-only handling of provider API keys.</w:t>
      </w:r>
    </w:p>
    <w:p>
      <w:pPr>
        <w:pStyle w:val="ListBullet"/>
        <w:spacing w:after="60"/>
      </w:pPr>
      <w:r>
        <w:t>No public exposure of OpenAI, Twilio, Resend, or other provider secrets.</w:t>
      </w:r>
    </w:p>
    <w:p>
      <w:pPr>
        <w:pStyle w:val="ListBullet"/>
        <w:spacing w:after="60"/>
      </w:pPr>
      <w:r>
        <w:t>Activity/audit logging for important app actions.</w:t>
      </w:r>
    </w:p>
    <w:p>
      <w:pPr>
        <w:pStyle w:val="ListBullet"/>
        <w:spacing w:after="60"/>
      </w:pPr>
      <w:r>
        <w:t>Protected project and employee records.</w:t>
      </w:r>
    </w:p>
    <w:p>
      <w:pPr>
        <w:pStyle w:val="ListBullet"/>
        <w:spacing w:after="60"/>
      </w:pPr>
      <w:r>
        <w:t>Public links limited to specific workflows, such as intake or ticket signature review.</w:t>
      </w:r>
    </w:p>
    <w:p>
      <w:pPr>
        <w:pStyle w:val="ListBullet"/>
        <w:spacing w:after="60"/>
      </w:pPr>
      <w:r>
        <w:t>Separation between normal users and admin-only tools.</w:t>
      </w:r>
    </w:p>
    <w:p>
      <w:pPr>
        <w:spacing w:after="160" w:line="259" w:lineRule="auto"/>
      </w:pPr>
      <w:r>
        <w:t>Important records are not intended to be permanently deleted by normal app users. The app is designed around controlled access, archiving, and long-term record protection.</w:t>
      </w:r>
    </w:p>
    <w:p>
      <w:pPr>
        <w:pStyle w:val="Heading1"/>
      </w:pPr>
      <w:r>
        <w:rPr>
          <w:color w:val="12385F"/>
        </w:rPr>
        <w:t>Long-Term Storage and Records</w:t>
      </w:r>
    </w:p>
    <w:p>
      <w:pPr>
        <w:spacing w:after="160" w:line="259" w:lineRule="auto"/>
      </w:pPr>
      <w:r>
        <w:t>The app is designed to support long-term storage of important company records, including safety documents, employee orientation records, certifications, JHAs, project documents, tickets, photos, and uploaded files.</w:t>
      </w:r>
    </w:p>
    <w:p>
      <w:pPr>
        <w:spacing w:after="160" w:line="259" w:lineRule="auto"/>
      </w:pPr>
      <w:r>
        <w:t>Firebase and Google Cloud services are used for app hosting, database records, and file storage. A backup and retention plan has also been drafted, including manual admin backup exports, recovery/retention planning, scheduled backup notes, long-term record retention guidance, and a recommendation for PAL to approve an official retention policy.</w:t>
      </w:r>
    </w:p>
    <w:p>
      <w:pPr>
        <w:spacing w:after="160" w:line="259" w:lineRule="auto"/>
      </w:pPr>
      <w:r>
        <w:t>Before any permanent deletion or purge policy is ever added, PAL should approve a written retention schedule for each record type.</w:t>
      </w:r>
    </w:p>
    <w:p>
      <w:pPr>
        <w:pStyle w:val="Heading1"/>
      </w:pPr>
      <w:r>
        <w:rPr>
          <w:color w:val="12385F"/>
        </w:rPr>
        <w:t>Work Completed To Date</w:t>
      </w:r>
    </w:p>
    <w:p>
      <w:pPr>
        <w:pStyle w:val="ListBullet"/>
        <w:spacing w:after="60"/>
      </w:pPr>
      <w:r>
        <w:t>Project dashboard and project document workflows.</w:t>
      </w:r>
    </w:p>
    <w:p>
      <w:pPr>
        <w:pStyle w:val="ListBullet"/>
        <w:spacing w:after="60"/>
      </w:pPr>
      <w:r>
        <w:t>Foreman tools and field forms.</w:t>
      </w:r>
    </w:p>
    <w:p>
      <w:pPr>
        <w:pStyle w:val="ListBullet"/>
        <w:spacing w:after="60"/>
      </w:pPr>
      <w:r>
        <w:t>Daily safety sheet print/save/project submission flow.</w:t>
      </w:r>
    </w:p>
    <w:p>
      <w:pPr>
        <w:pStyle w:val="ListBullet"/>
        <w:spacing w:after="60"/>
      </w:pPr>
      <w:r>
        <w:t>JHA management and signature flow.</w:t>
      </w:r>
    </w:p>
    <w:p>
      <w:pPr>
        <w:pStyle w:val="ListBullet"/>
        <w:spacing w:after="60"/>
      </w:pPr>
      <w:r>
        <w:t>Extra work ticket creation and GC signature link flow.</w:t>
      </w:r>
    </w:p>
    <w:p>
      <w:pPr>
        <w:pStyle w:val="ListBullet"/>
        <w:spacing w:after="60"/>
      </w:pPr>
      <w:r>
        <w:t>Employee onboarding intake flow and orientation video module.</w:t>
      </w:r>
    </w:p>
    <w:p>
      <w:pPr>
        <w:pStyle w:val="ListBullet"/>
        <w:spacing w:after="60"/>
      </w:pPr>
      <w:r>
        <w:t>Workforce and employee record sections.</w:t>
      </w:r>
    </w:p>
    <w:p>
      <w:pPr>
        <w:pStyle w:val="ListBullet"/>
        <w:spacing w:after="60"/>
      </w:pPr>
      <w:r>
        <w:t>Certification tracking and email preview/reporting.</w:t>
      </w:r>
    </w:p>
    <w:p>
      <w:pPr>
        <w:pStyle w:val="ListBullet"/>
        <w:spacing w:after="60"/>
      </w:pPr>
      <w:r>
        <w:t>Admin user access controls and activity logging.</w:t>
      </w:r>
    </w:p>
    <w:p>
      <w:pPr>
        <w:pStyle w:val="ListBullet"/>
        <w:spacing w:after="60"/>
      </w:pPr>
      <w:r>
        <w:t>Backup export and verification tools.</w:t>
      </w:r>
    </w:p>
    <w:p>
      <w:pPr>
        <w:pStyle w:val="ListBullet"/>
        <w:spacing w:after="60"/>
      </w:pPr>
      <w:r>
        <w:t>Firebase security rules and storage rules.</w:t>
      </w:r>
    </w:p>
    <w:p>
      <w:pPr>
        <w:pStyle w:val="ListBullet"/>
        <w:spacing w:after="60"/>
      </w:pPr>
      <w:r>
        <w:t>Production hosting setup and Jobsite Resources public website setup.</w:t>
      </w:r>
    </w:p>
    <w:p>
      <w:pPr>
        <w:pStyle w:val="ListBullet"/>
        <w:spacing w:after="60"/>
      </w:pPr>
      <w:r>
        <w:t>Resend email integration, OpenAI backend integration, and Twilio SMS setup work.</w:t>
      </w:r>
    </w:p>
    <w:p>
      <w:pPr>
        <w:pStyle w:val="ListBullet"/>
        <w:spacing w:after="60"/>
      </w:pPr>
      <w:r>
        <w:t>Mobile/tablet/desktop layout improvements.</w:t>
      </w:r>
    </w:p>
    <w:p>
      <w:pPr>
        <w:pStyle w:val="ListBullet"/>
        <w:spacing w:after="60"/>
      </w:pPr>
      <w:r>
        <w:t>Print, save-to-file, and field usability improvements.</w:t>
      </w:r>
    </w:p>
    <w:p>
      <w:pPr>
        <w:spacing w:after="160" w:line="259" w:lineRule="auto"/>
      </w:pPr>
      <w:r>
        <w:t>The app has been shaped around actual PAL field and office needs rather than built as a generic software template.</w:t>
      </w:r>
    </w:p>
    <w:p>
      <w:pPr>
        <w:pStyle w:val="Heading1"/>
      </w:pPr>
      <w:r>
        <w:rPr>
          <w:color w:val="12385F"/>
        </w:rPr>
        <w:t>Recommended Rollout</w:t>
      </w:r>
    </w:p>
    <w:p>
      <w:pPr>
        <w:spacing w:after="160" w:line="259" w:lineRule="auto"/>
      </w:pPr>
      <w:r>
        <w:t>A controlled pilot is recommended before full company rollout.</w:t>
      </w:r>
    </w:p>
    <w:p>
      <w:pPr>
        <w:pStyle w:val="ListBullet"/>
        <w:spacing w:after="60"/>
      </w:pPr>
      <w:r>
        <w:t>One fireproofing project, such as JFK Terminal 1.</w:t>
      </w:r>
    </w:p>
    <w:p>
      <w:pPr>
        <w:pStyle w:val="ListBullet"/>
        <w:spacing w:after="60"/>
      </w:pPr>
      <w:r>
        <w:t>One smaller demolition project if PAL wants to test a second workflow.</w:t>
      </w:r>
    </w:p>
    <w:p>
      <w:pPr>
        <w:pStyle w:val="ListBullet"/>
        <w:spacing w:after="60"/>
      </w:pPr>
      <w:r>
        <w:t>A small group of foremen/supervisors and field employees.</w:t>
      </w:r>
    </w:p>
    <w:p>
      <w:pPr>
        <w:pStyle w:val="ListBullet"/>
        <w:spacing w:after="60"/>
      </w:pPr>
      <w:r>
        <w:t>Office and safety review of all submitted records.</w:t>
      </w:r>
    </w:p>
    <w:p>
      <w:pPr>
        <w:pStyle w:val="ListBullet"/>
        <w:spacing w:after="60"/>
      </w:pPr>
      <w:r>
        <w:t>Weekly feedback during the 45-day trial.</w:t>
      </w:r>
    </w:p>
    <w:p>
      <w:pPr>
        <w:spacing w:after="160" w:line="259" w:lineRule="auto"/>
      </w:pPr>
      <w:r>
        <w:t>This approach gives PAL real-world testing without forcing the entire company to change overnight.</w:t>
      </w:r>
    </w:p>
    <w:p>
      <w:pPr>
        <w:pStyle w:val="Heading1"/>
      </w:pPr>
      <w:r>
        <w:rPr>
          <w:color w:val="12385F"/>
        </w:rPr>
        <w:t>Trial to Purchase Decision</w:t>
      </w:r>
    </w:p>
    <w:p>
      <w:pPr>
        <w:spacing w:after="160" w:line="259" w:lineRule="auto"/>
      </w:pPr>
      <w:r>
        <w:t>At the end of the 45-day trial, PAL may choose to:</w:t>
      </w:r>
    </w:p>
    <w:p>
      <w:pPr>
        <w:pStyle w:val="ListNumber"/>
        <w:spacing w:after="60"/>
      </w:pPr>
      <w:r>
        <w:t>Move forward with the app under the proposed pricing.</w:t>
      </w:r>
    </w:p>
    <w:p>
      <w:pPr>
        <w:pStyle w:val="ListNumber"/>
        <w:spacing w:after="60"/>
      </w:pPr>
      <w:r>
        <w:t>Request additional changes before moving forward.</w:t>
      </w:r>
    </w:p>
    <w:p>
      <w:pPr>
        <w:pStyle w:val="ListNumber"/>
        <w:spacing w:after="60"/>
      </w:pPr>
      <w:r>
        <w:t>End the trial without purchasing.</w:t>
      </w:r>
    </w:p>
    <w:tbl>
      <w:tblPr>
        <w:tblW w:type="auto" w:w="0"/>
        <w:jc w:val="center"/>
        <w:tblLook w:firstColumn="1" w:firstRow="1" w:lastColumn="0" w:lastRow="0" w:noHBand="0" w:noVBand="1" w:val="04A0"/>
      </w:tblPr>
      <w:tblGrid>
        <w:gridCol w:w="10166"/>
      </w:tblGrid>
      <w:tr>
        <w:tc>
          <w:tcPr>
            <w:tcW w:type="dxa" w:w="9360"/>
            <w:shd w:fill="F5F7FA"/>
          </w:tcPr>
          <w:p>
            <w:pPr>
              <w:spacing w:after="80"/>
            </w:pPr>
            <w:r>
              <w:rPr>
                <w:b/>
                <w:color w:val="12385F"/>
                <w:sz w:val="22"/>
              </w:rPr>
              <w:t>Proposed Cost After Trial</w:t>
            </w:r>
          </w:p>
          <w:p>
            <w:pPr>
              <w:spacing w:after="40"/>
            </w:pPr>
            <w:r>
              <w:t>$5,000 one-time setup/onboarding fee and $500/month ongoing support and administration. Third-party usage costs are separate unless otherwise agreed in writing.</w:t>
            </w:r>
          </w:p>
        </w:tc>
      </w:tr>
    </w:tbl>
    <w:p>
      <w:pPr>
        <w:pStyle w:val="Heading1"/>
      </w:pPr>
      <w:r>
        <w:rPr>
          <w:color w:val="12385F"/>
        </w:rPr>
        <w:t>Closing</w:t>
      </w:r>
    </w:p>
    <w:p>
      <w:pPr>
        <w:spacing w:after="160" w:line="259" w:lineRule="auto"/>
      </w:pPr>
      <w:r>
        <w:t>PAL Safety Hub is designed to improve how PAL manages safety paperwork, employee records, project documentation, field forms, JHAs, tickets, certifications, photos, and long-term records.</w:t>
      </w:r>
    </w:p>
    <w:p>
      <w:pPr>
        <w:spacing w:after="160" w:line="259" w:lineRule="auto"/>
      </w:pPr>
      <w:r>
        <w:t>The app gives PAL a stronger documentation process, cleaner project history, better field-office communication, and a more organized way to protect important company records.</w:t>
      </w:r>
    </w:p>
    <w:p>
      <w:pPr>
        <w:spacing w:after="160" w:line="259" w:lineRule="auto"/>
      </w:pPr>
      <w:r>
        <w:t>The recommended next step is a 45-day controlled pilot with selected PAL users and projects, followed by a decision on full adoption.</w:t>
      </w:r>
    </w:p>
    <w:p>
      <w:r>
        <w:br w:type="page"/>
      </w:r>
    </w:p>
    <w:p>
      <w:pPr>
        <w:pStyle w:val="Heading1"/>
      </w:pPr>
      <w:r>
        <w:rPr>
          <w:color w:val="12385F"/>
        </w:rPr>
        <w:t>Acknowledgement</w:t>
      </w:r>
    </w:p>
    <w:p>
      <w:pPr>
        <w:spacing w:after="160" w:line="259" w:lineRule="auto"/>
      </w:pPr>
      <w:r>
        <w:t>This proposal is intended as a starting point for discussion and may be adjusted by mutual agreement before any final service agreement is signed.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F5F7FA"/>
          </w:tcPr>
          <w:p>
            <w:pPr>
              <w:spacing w:after="0"/>
            </w:pPr>
            <w:r/>
            <w:r>
              <w:rPr>
                <w:b/>
                <w:color w:val="12385F"/>
              </w:rPr>
              <w:t>PAL Environmental Services Representative</w:t>
            </w:r>
          </w:p>
        </w:tc>
        <w:tc>
          <w:tcPr>
            <w:tcW w:type="dxa" w:w="5083"/>
            <w:vAlign w:val="center"/>
            <w:shd w:fill="F5F7FA"/>
          </w:tcPr>
          <w:p>
            <w:pPr>
              <w:spacing w:after="0"/>
            </w:pPr>
            <w:r/>
            <w:r>
              <w:rPr>
                <w:b/>
                <w:color w:val="12385F"/>
              </w:rPr>
              <w:t>John Panettiere</w:t>
            </w:r>
          </w:p>
        </w:tc>
      </w:tr>
      <w:tr>
        <w:trPr>
          <w:trHeight w:val="648"/>
        </w:trPr>
        <w:tc>
          <w:tcPr>
            <w:tcW w:type="dxa" w:w="5083"/>
            <w:vAlign w:val="center"/>
          </w:tcPr>
          <w:p>
            <w:pPr>
              <w:spacing w:after="0"/>
            </w:pPr>
            <w:r/>
            <w:r>
              <w:rPr>
                <w:b w:val="0"/>
                <w:color w:val="172033"/>
              </w:rPr>
              <w:t>Signature</w:t>
            </w:r>
          </w:p>
        </w:tc>
        <w:tc>
          <w:tcPr>
            <w:tcW w:type="dxa" w:w="5083"/>
            <w:vAlign w:val="center"/>
          </w:tcPr>
          <w:p>
            <w:pPr>
              <w:spacing w:after="0"/>
            </w:pPr>
            <w:r/>
            <w:r>
              <w:rPr>
                <w:b w:val="0"/>
                <w:color w:val="172033"/>
              </w:rPr>
              <w:t>Signature</w:t>
            </w:r>
          </w:p>
        </w:tc>
      </w:tr>
      <w:tr>
        <w:trPr>
          <w:trHeight w:val="648"/>
        </w:trPr>
        <w:tc>
          <w:tcPr>
            <w:tcW w:type="dxa" w:w="5083"/>
            <w:vAlign w:val="center"/>
          </w:tcPr>
          <w:p>
            <w:pPr>
              <w:spacing w:after="0"/>
            </w:pPr>
            <w:r/>
            <w:r>
              <w:rPr>
                <w:b w:val="0"/>
                <w:color w:val="172033"/>
              </w:rPr>
              <w:t>Printed Name / Title</w:t>
            </w:r>
          </w:p>
        </w:tc>
        <w:tc>
          <w:tcPr>
            <w:tcW w:type="dxa" w:w="5083"/>
            <w:vAlign w:val="center"/>
          </w:tcPr>
          <w:p>
            <w:pPr>
              <w:spacing w:after="0"/>
            </w:pPr>
            <w:r/>
            <w:r>
              <w:rPr>
                <w:b w:val="0"/>
                <w:color w:val="172033"/>
              </w:rPr>
              <w:t>Printed Name / Title</w:t>
            </w:r>
          </w:p>
        </w:tc>
      </w:tr>
      <w:tr>
        <w:trPr>
          <w:trHeight w:val="648"/>
        </w:trPr>
        <w:tc>
          <w:tcPr>
            <w:tcW w:type="dxa" w:w="5083"/>
            <w:vAlign w:val="center"/>
          </w:tcPr>
          <w:p>
            <w:pPr>
              <w:spacing w:after="0"/>
            </w:pPr>
            <w:r/>
            <w:r>
              <w:rPr>
                <w:b w:val="0"/>
                <w:color w:val="172033"/>
              </w:rPr>
              <w:t>Date</w:t>
            </w:r>
          </w:p>
        </w:tc>
        <w:tc>
          <w:tcPr>
            <w:tcW w:type="dxa" w:w="5083"/>
            <w:vAlign w:val="center"/>
          </w:tcPr>
          <w:p>
            <w:pPr>
              <w:spacing w:after="0"/>
            </w:pPr>
            <w:r/>
            <w:r>
              <w:rPr>
                <w:b w:val="0"/>
                <w:color w:val="172033"/>
              </w:rPr>
              <w:t>Date</w:t>
            </w:r>
          </w:p>
        </w:tc>
      </w:tr>
    </w:tbl>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2385F"/>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2385F"/>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238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