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888888"/>
          <w:sz w:val="20"/>
          <w:szCs w:val="20"/>
        </w:rPr>
        <w:t xml:space="preserve">CASE STUDY</w:t>
      </w:r>
    </w:p>
    <w:p>
      <w:pPr>
        <w:spacing w:after="120" w:before="0"/>
      </w:pPr>
      <w:r>
        <w:rPr>
          <w:rFonts w:ascii="Arial" w:cs="Arial" w:eastAsia="Arial" w:hAnsi="Arial"/>
          <w:b/>
          <w:bCs/>
          <w:color w:val="1F4E79"/>
          <w:sz w:val="40"/>
          <w:szCs w:val="40"/>
        </w:rPr>
        <w:t xml:space="preserve">FirstAxis Bank — Financial Performance Dashboard</w:t>
      </w:r>
    </w:p>
    <w:p>
      <w:pPr>
        <w:spacing w:after="80" w:before="0"/>
      </w:pPr>
      <w:r>
        <w:rPr>
          <w:rFonts w:ascii="Arial" w:cs="Arial" w:eastAsia="Arial" w:hAnsi="Arial"/>
          <w:color w:val="555555"/>
          <w:sz w:val="22"/>
          <w:szCs w:val="22"/>
        </w:rPr>
        <w:t xml:space="preserve">A Business Analytics Portfolio Project  |  April 2026</w:t>
      </w:r>
    </w:p>
    <w:p>
      <w:pPr>
        <w:spacing w:after="80" w:before="0"/>
      </w:pPr>
      <w:r>
        <w:rPr>
          <w:rFonts w:ascii="Arial" w:cs="Arial" w:eastAsia="Arial" w:hAnsi="Arial"/>
          <w:color w:val="2E75B6"/>
          <w:sz w:val="22"/>
          <w:szCs w:val="22"/>
        </w:rPr>
        <w:t xml:space="preserve">Tools: Microsoft Excel  ·  Power Query  ·  PowerPivot  ·  DAX  ·  Power BI</w:t>
      </w:r>
    </w:p>
    <w:p>
      <w:pPr>
        <w:pBdr>
          <w:bottom w:val="single" w:color="2E75B6" w:sz="4" w:space="1"/>
        </w:pBdr>
        <w:spacing w:after="160" w:before="160"/>
      </w:pPr>
    </w:p>
    <w:p>
      <w:pPr>
        <w:pStyle w:val="Heading1"/>
        <w:spacing w:after="160" w:before="320"/>
      </w:pPr>
      <w:r>
        <w:rPr>
          <w:rFonts w:ascii="Arial" w:cs="Arial" w:eastAsia="Arial" w:hAnsi="Arial"/>
          <w:b/>
          <w:bCs/>
          <w:color w:val="1F4E79"/>
          <w:sz w:val="32"/>
          <w:szCs w:val="32"/>
        </w:rPr>
        <w:t xml:space="preserve">1. Project Background</w:t>
      </w:r>
    </w:p>
    <w:p>
      <w:pPr>
        <w:spacing w:after="80" w:before="80"/>
      </w:pPr>
      <w:r>
        <w:rPr>
          <w:rFonts w:ascii="Arial" w:cs="Arial" w:eastAsia="Arial" w:hAnsi="Arial"/>
          <w:sz w:val="22"/>
          <w:szCs w:val="22"/>
        </w:rPr>
        <w:t xml:space="preserve">This project was completed as part of a self-directed learning journey in business analytics and financial data modelling. The goal was to go beyond generic tutorial datasets and build something that reflects how real organisations — specifically commercial banks — track and report financial performance internally.</w:t>
      </w:r>
    </w:p>
    <w:p>
      <w:pPr>
        <w:spacing w:after="120" w:before="120"/>
      </w:pPr>
    </w:p>
    <w:p>
      <w:pPr>
        <w:spacing w:after="80" w:before="80"/>
      </w:pPr>
      <w:r>
        <w:rPr>
          <w:rFonts w:ascii="Arial" w:cs="Arial" w:eastAsia="Arial" w:hAnsi="Arial"/>
          <w:sz w:val="22"/>
          <w:szCs w:val="22"/>
        </w:rPr>
        <w:t xml:space="preserve">Rather than downloading a pre-cleaned Kaggle dataset, I chose to design and generate synthetic data modelled on realistic commercial banking figures. This decision was intentional: it forced me to think like an analyst from the very beginning — deciding which metrics matter, how divisions are structured, and what a credible full-year P&amp;L looks like across multiple business lines.</w:t>
      </w:r>
    </w:p>
    <w:p>
      <w:pPr>
        <w:spacing w:after="120" w:before="120"/>
      </w:pPr>
    </w:p>
    <w:p>
      <w:pPr>
        <w:spacing w:after="80" w:before="80"/>
      </w:pPr>
      <w:r>
        <w:rPr>
          <w:rFonts w:ascii="Arial" w:cs="Arial" w:eastAsia="Arial" w:hAnsi="Arial"/>
          <w:sz w:val="22"/>
          <w:szCs w:val="22"/>
        </w:rPr>
        <w:t xml:space="preserve">The fictional institution — FirstAxis Bank — is loosely modelled on the organisational structure of mid-tier Nigerian commercial banks such as Access Bank, Stanbic IBTC, and First Bank of Nigeria, all of which operate across Retail, Corporate, Treasury, and Digital divisions.</w:t>
      </w:r>
    </w:p>
    <w:p>
      <w:pPr>
        <w:pBdr>
          <w:bottom w:val="single" w:color="2E75B6" w:sz="4" w:space="1"/>
        </w:pBdr>
        <w:spacing w:after="160" w:before="160"/>
      </w:pPr>
    </w:p>
    <w:p>
      <w:pPr>
        <w:pStyle w:val="Heading1"/>
        <w:spacing w:after="160" w:before="320"/>
      </w:pPr>
      <w:r>
        <w:rPr>
          <w:rFonts w:ascii="Arial" w:cs="Arial" w:eastAsia="Arial" w:hAnsi="Arial"/>
          <w:b/>
          <w:bCs/>
          <w:color w:val="1F4E79"/>
          <w:sz w:val="32"/>
          <w:szCs w:val="32"/>
        </w:rPr>
        <w:t xml:space="preserve">2. The Business Problem</w:t>
      </w:r>
    </w:p>
    <w:p>
      <w:pPr>
        <w:spacing w:after="80" w:before="80"/>
      </w:pPr>
      <w:r>
        <w:rPr>
          <w:rFonts w:ascii="Arial" w:cs="Arial" w:eastAsia="Arial" w:hAnsi="Arial"/>
          <w:sz w:val="22"/>
          <w:szCs w:val="22"/>
        </w:rPr>
        <w:t xml:space="preserve">Imagine you are the Head of Financial Planning &amp; Analysis (FP&amp;A) at FirstAxis Bank. Every month, three separate reports land on your desk:</w:t>
      </w:r>
    </w:p>
    <w:p>
      <w:pPr>
        <w:spacing w:after="120" w:before="120"/>
      </w:pPr>
    </w:p>
    <w:p>
      <w:pPr>
        <w:pStyle w:val="ListParagraph"/>
        <w:numPr>
          <w:ilvl w:val="0"/>
          <w:numId w:val="2"/>
        </w:numPr>
        <w:spacing w:after="60" w:before="60"/>
      </w:pPr>
      <w:r>
        <w:rPr>
          <w:rFonts w:ascii="Arial" w:cs="Arial" w:eastAsia="Arial" w:hAnsi="Arial"/>
          <w:sz w:val="22"/>
          <w:szCs w:val="22"/>
        </w:rPr>
        <w:t xml:space="preserve">A monthly P&amp;L actuals report from each of the four business divisions</w:t>
      </w:r>
    </w:p>
    <w:p>
      <w:pPr>
        <w:pStyle w:val="ListParagraph"/>
        <w:numPr>
          <w:ilvl w:val="0"/>
          <w:numId w:val="2"/>
        </w:numPr>
        <w:spacing w:after="60" w:before="60"/>
      </w:pPr>
      <w:r>
        <w:rPr>
          <w:rFonts w:ascii="Arial" w:cs="Arial" w:eastAsia="Arial" w:hAnsi="Arial"/>
          <w:sz w:val="22"/>
          <w:szCs w:val="22"/>
        </w:rPr>
        <w:t xml:space="preserve">A full-year budget and target file set by the board at the start of the year</w:t>
      </w:r>
    </w:p>
    <w:p>
      <w:pPr>
        <w:pStyle w:val="ListParagraph"/>
        <w:numPr>
          <w:ilvl w:val="0"/>
          <w:numId w:val="2"/>
        </w:numPr>
        <w:spacing w:after="60" w:before="60"/>
      </w:pPr>
      <w:r>
        <w:rPr>
          <w:rFonts w:ascii="Arial" w:cs="Arial" w:eastAsia="Arial" w:hAnsi="Arial"/>
          <w:sz w:val="22"/>
          <w:szCs w:val="22"/>
        </w:rPr>
        <w:t xml:space="preserve">A banking KPIs report from Risk Management covering regulatory and performance ratios</w:t>
      </w:r>
    </w:p>
    <w:p>
      <w:pPr>
        <w:spacing w:after="120" w:before="120"/>
      </w:pPr>
    </w:p>
    <w:p>
      <w:pPr>
        <w:spacing w:after="80" w:before="80"/>
      </w:pPr>
      <w:r>
        <w:rPr>
          <w:rFonts w:ascii="Arial" w:cs="Arial" w:eastAsia="Arial" w:hAnsi="Arial"/>
          <w:sz w:val="22"/>
          <w:szCs w:val="22"/>
        </w:rPr>
        <w:t xml:space="preserve">Your job is to consolidate these three sources, identify which divisions are on track, where costs are running above budget, and flag any risks before the monthly board meeting. Currently this entire process is done manually — copy and paste across spreadsheets, no automation, no live relationships between the data, no interactivity.</w:t>
      </w:r>
    </w:p>
    <w:p>
      <w:pPr>
        <w:spacing w:after="120" w:before="120"/>
      </w:pPr>
    </w:p>
    <w:p>
      <w:pPr>
        <w:spacing w:after="80" w:before="80"/>
      </w:pPr>
      <w:r>
        <w:rPr>
          <w:rFonts w:ascii="Arial" w:cs="Arial" w:eastAsia="Arial" w:hAnsi="Arial"/>
          <w:sz w:val="22"/>
          <w:szCs w:val="22"/>
        </w:rPr>
        <w:t xml:space="preserve">This project automates that workflow end-to-end and delivers an interactive three-page Power BI dashboard that a CFO or Divisional Head can use to make real decisions in real time.</w:t>
      </w:r>
    </w:p>
    <w:p>
      <w:pPr>
        <w:pBdr>
          <w:bottom w:val="single" w:color="2E75B6" w:sz="4" w:space="1"/>
        </w:pBdr>
        <w:spacing w:after="160" w:before="160"/>
      </w:pPr>
    </w:p>
    <w:p>
      <w:pPr>
        <w:pStyle w:val="Heading1"/>
        <w:spacing w:after="160" w:before="320"/>
      </w:pPr>
      <w:r>
        <w:rPr>
          <w:rFonts w:ascii="Arial" w:cs="Arial" w:eastAsia="Arial" w:hAnsi="Arial"/>
          <w:b/>
          <w:bCs/>
          <w:color w:val="1F4E79"/>
          <w:sz w:val="32"/>
          <w:szCs w:val="32"/>
        </w:rPr>
        <w:t xml:space="preserve">3. Dataset Design &amp; Methodology</w:t>
      </w:r>
    </w:p>
    <w:p>
      <w:pPr>
        <w:pStyle w:val="Heading2"/>
        <w:spacing w:after="120" w:before="240"/>
      </w:pPr>
      <w:r>
        <w:rPr>
          <w:rFonts w:ascii="Arial" w:cs="Arial" w:eastAsia="Arial" w:hAnsi="Arial"/>
          <w:b/>
          <w:bCs/>
          <w:color w:val="2E75B6"/>
          <w:sz w:val="26"/>
          <w:szCs w:val="26"/>
        </w:rPr>
        <w:t xml:space="preserve">3.1  Why Synthetic Data?</w:t>
      </w:r>
    </w:p>
    <w:p>
      <w:pPr>
        <w:spacing w:after="80" w:before="80"/>
      </w:pPr>
      <w:r>
        <w:rPr>
          <w:rFonts w:ascii="Arial" w:cs="Arial" w:eastAsia="Arial" w:hAnsi="Arial"/>
          <w:sz w:val="22"/>
          <w:szCs w:val="22"/>
        </w:rPr>
        <w:t xml:space="preserve">The dataset was synthetically generated rather than pulled from a public source. This was a deliberate choice for three reasons:</w:t>
      </w:r>
    </w:p>
    <w:p>
      <w:pPr>
        <w:spacing w:after="120" w:before="120"/>
      </w:pPr>
    </w:p>
    <w:p>
      <w:pPr>
        <w:pStyle w:val="ListParagraph"/>
        <w:numPr>
          <w:ilvl w:val="0"/>
          <w:numId w:val="2"/>
        </w:numPr>
        <w:spacing w:after="60" w:before="60"/>
      </w:pPr>
      <w:r>
        <w:rPr>
          <w:rFonts w:ascii="Arial" w:cs="Arial" w:eastAsia="Arial" w:hAnsi="Arial"/>
          <w:sz w:val="22"/>
          <w:szCs w:val="22"/>
        </w:rPr>
        <w:t xml:space="preserve">It required domain research — to make the numbers credible, I studied publicly available CBN (Central Bank of Nigeria) industry reports, published annual reports from Access Bank and Zenith Bank, and standard commercial banking ratio benchmarks</w:t>
      </w:r>
    </w:p>
    <w:p>
      <w:pPr>
        <w:pStyle w:val="ListParagraph"/>
        <w:numPr>
          <w:ilvl w:val="0"/>
          <w:numId w:val="2"/>
        </w:numPr>
        <w:spacing w:after="60" w:before="60"/>
      </w:pPr>
      <w:r>
        <w:rPr>
          <w:rFonts w:ascii="Arial" w:cs="Arial" w:eastAsia="Arial" w:hAnsi="Arial"/>
          <w:sz w:val="22"/>
          <w:szCs w:val="22"/>
        </w:rPr>
        <w:t xml:space="preserve">It gave full control over data structure — real-world datasets from Kaggle often come pre-cleaned and pre-structured, which removes the most important analytical skill: deciding how to model the data</w:t>
      </w:r>
    </w:p>
    <w:p>
      <w:pPr>
        <w:pStyle w:val="ListParagraph"/>
        <w:numPr>
          <w:ilvl w:val="0"/>
          <w:numId w:val="2"/>
        </w:numPr>
        <w:spacing w:after="60" w:before="60"/>
      </w:pPr>
      <w:r>
        <w:rPr>
          <w:rFonts w:ascii="Arial" w:cs="Arial" w:eastAsia="Arial" w:hAnsi="Arial"/>
          <w:sz w:val="22"/>
          <w:szCs w:val="22"/>
        </w:rPr>
        <w:t xml:space="preserve">It is more honest than passing off someone else's cleaned data as original work</w:t>
      </w:r>
    </w:p>
    <w:p>
      <w:pPr>
        <w:spacing w:after="120" w:before="120"/>
      </w:pPr>
    </w:p>
    <w:p>
      <w:pPr>
        <w:spacing w:after="80" w:before="80"/>
      </w:pPr>
      <w:r>
        <w:rPr>
          <w:rFonts w:ascii="Arial" w:cs="Arial" w:eastAsia="Arial" w:hAnsi="Arial"/>
          <w:sz w:val="22"/>
          <w:szCs w:val="22"/>
        </w:rPr>
        <w:t xml:space="preserve">The figures are designed to be internally consistent and realistic — trending upward across FY2024, with Corporate Banking as the dominant revenue driver, and banking KPIs (NPL ratio, CAR, ROE) within the ranges published in CBN Monetary Policy Circulars.</w:t>
      </w:r>
    </w:p>
    <w:p>
      <w:pPr>
        <w:spacing w:after="120" w:before="120"/>
      </w:pPr>
    </w:p>
    <w:p>
      <w:pPr>
        <w:pStyle w:val="Heading2"/>
        <w:spacing w:after="120" w:before="240"/>
      </w:pPr>
      <w:r>
        <w:rPr>
          <w:rFonts w:ascii="Arial" w:cs="Arial" w:eastAsia="Arial" w:hAnsi="Arial"/>
          <w:b/>
          <w:bCs/>
          <w:color w:val="2E75B6"/>
          <w:sz w:val="26"/>
          <w:szCs w:val="26"/>
        </w:rPr>
        <w:t xml:space="preserve">3.2  Dataset Overview</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200"/>
        <w:gridCol w:w="21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Rows</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FirstAxis_Actuals.csv</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Monthly P&amp;L actuals by division</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48 rows</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Revenue, OpEx, NII, Provisions, Headcount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FirstAxis_Budget.csv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Full-year monthly budget targets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 rows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OpEx, NII, Provisions (budget)</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FirstAxis_KPIs.csv</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Monthly banking ratio data</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12 rows</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NPL, CAR, ROE, ROA, Cost-to-Income</w:t>
            </w:r>
          </w:p>
        </w:tc>
      </w:tr>
    </w:tbl>
    <w:p>
      <w:pPr>
        <w:spacing w:after="120" w:before="120"/>
      </w:pPr>
    </w:p>
    <w:p>
      <w:pPr>
        <w:spacing w:after="80" w:before="80"/>
      </w:pPr>
      <w:r>
        <w:rPr>
          <w:rFonts w:ascii="Arial" w:cs="Arial" w:eastAsia="Arial" w:hAnsi="Arial"/>
          <w:sz w:val="22"/>
          <w:szCs w:val="22"/>
        </w:rPr>
        <w:t xml:space="preserve">All monetary figures are denominated in NGN Millions (NGN M). The dataset covers January to December 2024 across four business divisions: Retail Banking, Corporate Banking, Treasury, and Digital Banking.</w:t>
      </w:r>
    </w:p>
    <w:p>
      <w:pPr>
        <w:pBdr>
          <w:bottom w:val="single" w:color="2E75B6" w:sz="4" w:space="1"/>
        </w:pBdr>
        <w:spacing w:after="160" w:before="160"/>
      </w:pPr>
    </w:p>
    <w:p>
      <w:pPr>
        <w:pStyle w:val="Heading1"/>
        <w:spacing w:after="160" w:before="320"/>
      </w:pPr>
      <w:r>
        <w:rPr>
          <w:rFonts w:ascii="Arial" w:cs="Arial" w:eastAsia="Arial" w:hAnsi="Arial"/>
          <w:b/>
          <w:bCs/>
          <w:color w:val="1F4E79"/>
          <w:sz w:val="32"/>
          <w:szCs w:val="32"/>
        </w:rPr>
        <w:t xml:space="preserve">4. Technical Build</w:t>
      </w:r>
    </w:p>
    <w:p>
      <w:pPr>
        <w:pStyle w:val="Heading2"/>
        <w:spacing w:after="120" w:before="240"/>
      </w:pPr>
      <w:r>
        <w:rPr>
          <w:rFonts w:ascii="Arial" w:cs="Arial" w:eastAsia="Arial" w:hAnsi="Arial"/>
          <w:b/>
          <w:bCs/>
          <w:color w:val="2E75B6"/>
          <w:sz w:val="26"/>
          <w:szCs w:val="26"/>
        </w:rPr>
        <w:t xml:space="preserve">4.1  Power Query ETL Pipeline</w:t>
      </w:r>
    </w:p>
    <w:p>
      <w:pPr>
        <w:spacing w:after="80" w:before="80"/>
      </w:pPr>
      <w:r>
        <w:rPr>
          <w:rFonts w:ascii="Arial" w:cs="Arial" w:eastAsia="Arial" w:hAnsi="Arial"/>
          <w:sz w:val="22"/>
          <w:szCs w:val="22"/>
        </w:rPr>
        <w:t xml:space="preserve">All three CSV files were loaded into Power Query. The following transformations were applied using M code:</w:t>
      </w:r>
    </w:p>
    <w:p>
      <w:pPr>
        <w:spacing w:after="120" w:before="120"/>
      </w:pPr>
    </w:p>
    <w:p>
      <w:pPr>
        <w:pStyle w:val="ListParagraph"/>
        <w:numPr>
          <w:ilvl w:val="0"/>
          <w:numId w:val="2"/>
        </w:numPr>
        <w:spacing w:after="60" w:before="60"/>
      </w:pPr>
      <w:r>
        <w:rPr>
          <w:rFonts w:ascii="Arial" w:cs="Arial" w:eastAsia="Arial" w:hAnsi="Arial"/>
          <w:sz w:val="22"/>
          <w:szCs w:val="22"/>
        </w:rPr>
        <w:t xml:space="preserve">Promoted headers and enforced correct data types across all columns</w:t>
      </w:r>
    </w:p>
    <w:p>
      <w:pPr>
        <w:pStyle w:val="ListParagraph"/>
        <w:numPr>
          <w:ilvl w:val="0"/>
          <w:numId w:val="2"/>
        </w:numPr>
        <w:spacing w:after="60" w:before="60"/>
      </w:pPr>
      <w:r>
        <w:rPr>
          <w:rFonts w:ascii="Arial" w:cs="Arial" w:eastAsia="Arial" w:hAnsi="Arial"/>
          <w:sz w:val="22"/>
          <w:szCs w:val="22"/>
        </w:rPr>
        <w:t xml:space="preserve">Added a DateKey column (format: YYYY-MM) to enable date relationships across tables</w:t>
      </w:r>
    </w:p>
    <w:p>
      <w:pPr>
        <w:pStyle w:val="ListParagraph"/>
        <w:numPr>
          <w:ilvl w:val="0"/>
          <w:numId w:val="2"/>
        </w:numPr>
        <w:spacing w:after="60" w:before="60"/>
      </w:pPr>
      <w:r>
        <w:rPr>
          <w:rFonts w:ascii="Arial" w:cs="Arial" w:eastAsia="Arial" w:hAnsi="Arial"/>
          <w:sz w:val="22"/>
          <w:szCs w:val="22"/>
        </w:rPr>
        <w:t xml:space="preserve">Added a Quarter column (Q1 through Q4) for quarterly filtering</w:t>
      </w:r>
    </w:p>
    <w:p>
      <w:pPr>
        <w:pStyle w:val="ListParagraph"/>
        <w:numPr>
          <w:ilvl w:val="0"/>
          <w:numId w:val="2"/>
        </w:numPr>
        <w:spacing w:after="60" w:before="60"/>
      </w:pPr>
      <w:r>
        <w:rPr>
          <w:rFonts w:ascii="Arial" w:cs="Arial" w:eastAsia="Arial" w:hAnsi="Arial"/>
          <w:sz w:val="22"/>
          <w:szCs w:val="22"/>
        </w:rPr>
        <w:t xml:space="preserve">Calculated Net_Profit_NGN_M and Cost_to_Income_Pct directly within the query</w:t>
      </w:r>
    </w:p>
    <w:p>
      <w:pPr>
        <w:pStyle w:val="ListParagraph"/>
        <w:numPr>
          <w:ilvl w:val="0"/>
          <w:numId w:val="2"/>
        </w:numPr>
        <w:spacing w:after="60" w:before="60"/>
      </w:pPr>
      <w:r>
        <w:rPr>
          <w:rFonts w:ascii="Arial" w:cs="Arial" w:eastAsia="Arial" w:hAnsi="Arial"/>
          <w:sz w:val="22"/>
          <w:szCs w:val="22"/>
        </w:rPr>
        <w:t xml:space="preserve">Built a DimCalendar table with 12 unique monthly rows to serve as the central date dimension — required to avoid a many-to-many relationship error that arose from duplicate DateKeys in the original daily-granularity calendar</w:t>
      </w:r>
    </w:p>
    <w:p>
      <w:pPr>
        <w:spacing w:after="120" w:before="120"/>
      </w:pPr>
    </w:p>
    <w:p>
      <w:pPr>
        <w:pStyle w:val="Heading2"/>
        <w:spacing w:after="120" w:before="240"/>
      </w:pPr>
      <w:r>
        <w:rPr>
          <w:rFonts w:ascii="Arial" w:cs="Arial" w:eastAsia="Arial" w:hAnsi="Arial"/>
          <w:b/>
          <w:bCs/>
          <w:color w:val="2E75B6"/>
          <w:sz w:val="26"/>
          <w:szCs w:val="26"/>
        </w:rPr>
        <w:t xml:space="preserve">4.2  PowerPivot Data Model</w:t>
      </w:r>
    </w:p>
    <w:p>
      <w:pPr>
        <w:spacing w:after="80" w:before="80"/>
      </w:pPr>
      <w:r>
        <w:rPr>
          <w:rFonts w:ascii="Arial" w:cs="Arial" w:eastAsia="Arial" w:hAnsi="Arial"/>
          <w:sz w:val="22"/>
          <w:szCs w:val="22"/>
        </w:rPr>
        <w:t xml:space="preserve">A star schema was built in PowerPivot with DimCalendar as the central dimension table:</w:t>
      </w:r>
    </w:p>
    <w:p>
      <w:pPr>
        <w:spacing w:after="120" w:before="12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500"/>
        <w:gridCol w:w="1800"/>
        <w:gridCol w:w="1800"/>
      </w:tblGrid>
      <w:tr>
        <w:trPr>
          <w:tblHeader/>
        </w:trP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From Table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From Column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 Table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 Column</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Date join</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DimCalendar</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DateKey</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FirstAxis_Actuals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DateKey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join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DimCalendar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FirstAxis_Budget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DateKey</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Date join</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DimCalendar</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DateKey</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FirstAxis_KPIs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DateKey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Division join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FirstAxis_Actuals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Division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FirstAxis_Budget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Division</w:t>
            </w:r>
          </w:p>
        </w:tc>
      </w:tr>
    </w:tbl>
    <w:p>
      <w:pPr>
        <w:spacing w:after="120" w:before="120"/>
      </w:pPr>
    </w:p>
    <w:p>
      <w:pPr>
        <w:spacing w:after="80" w:before="80"/>
      </w:pPr>
      <w:r>
        <w:rPr>
          <w:rFonts w:ascii="Arial" w:cs="Arial" w:eastAsia="Arial" w:hAnsi="Arial"/>
          <w:sz w:val="22"/>
          <w:szCs w:val="22"/>
        </w:rPr>
        <w:t xml:space="preserve">This structure enables cross-table filtering — selecting a month or division in the dashboard simultaneously filters all data sources.</w:t>
      </w:r>
    </w:p>
    <w:p>
      <w:pPr>
        <w:spacing w:after="120" w:before="120"/>
      </w:pPr>
    </w:p>
    <w:p>
      <w:pPr>
        <w:pStyle w:val="Heading2"/>
        <w:spacing w:after="120" w:before="240"/>
      </w:pPr>
      <w:r>
        <w:rPr>
          <w:rFonts w:ascii="Arial" w:cs="Arial" w:eastAsia="Arial" w:hAnsi="Arial"/>
          <w:b/>
          <w:bCs/>
          <w:color w:val="2E75B6"/>
          <w:sz w:val="26"/>
          <w:szCs w:val="26"/>
        </w:rPr>
        <w:t xml:space="preserve">4.3  DAX Measures</w:t>
      </w:r>
    </w:p>
    <w:p>
      <w:pPr>
        <w:spacing w:after="80" w:before="80"/>
      </w:pPr>
      <w:r>
        <w:rPr>
          <w:rFonts w:ascii="Arial" w:cs="Arial" w:eastAsia="Arial" w:hAnsi="Arial"/>
          <w:sz w:val="22"/>
          <w:szCs w:val="22"/>
        </w:rPr>
        <w:t xml:space="preserve">Ten DAX measures were developed to power the dashboard calculations:</w:t>
      </w:r>
    </w:p>
    <w:p>
      <w:pPr>
        <w:spacing w:after="120" w:before="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9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Measure Name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Formula Logic</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Total Revenue</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SUM of Revenue_NGN_M</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Full-year and period revenue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OpEx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of Operating_Expenses_NGN_M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tracking</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Total Net Profit</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SUM of Net_Profit_NGN_M</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Profitability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NII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of Net_Interest_Income_NGN_M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banking income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Total Provisions</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SUM of Loan_Provisions_NGN_M</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Credit risk cost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 Revenue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of Revenue_Budget_NGN_M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comparison base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Revenue Variance %</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DIVIDE(Actual - Budget, Budget) x 100</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Performance vs 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 Attainment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DIVIDE(Actual, Budget) x 100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achievement rate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Cost to Income Ratio</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DIVIDE(OpEx, Revenue) x 100</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Efficiency metric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Profit Margin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DIVIDE(Net Profit, Revenue) x 100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Profitability ratio</w:t>
            </w:r>
          </w:p>
        </w:tc>
      </w:tr>
    </w:tbl>
    <w:p>
      <w:pPr>
        <w:spacing w:after="120" w:before="120"/>
      </w:pPr>
    </w:p>
    <w:p>
      <w:pPr>
        <w:pStyle w:val="Heading2"/>
        <w:spacing w:after="120" w:before="240"/>
      </w:pPr>
      <w:r>
        <w:rPr>
          <w:rFonts w:ascii="Arial" w:cs="Arial" w:eastAsia="Arial" w:hAnsi="Arial"/>
          <w:b/>
          <w:bCs/>
          <w:color w:val="2E75B6"/>
          <w:sz w:val="26"/>
          <w:szCs w:val="26"/>
        </w:rPr>
        <w:t xml:space="preserve">4.4  Power BI Dashboard</w:t>
      </w:r>
    </w:p>
    <w:p>
      <w:pPr>
        <w:spacing w:after="80" w:before="80"/>
      </w:pPr>
      <w:r>
        <w:rPr>
          <w:rFonts w:ascii="Arial" w:cs="Arial" w:eastAsia="Arial" w:hAnsi="Arial"/>
          <w:sz w:val="22"/>
          <w:szCs w:val="22"/>
        </w:rPr>
        <w:t xml:space="preserve">The final dashboard was built in Power BI web and consists of three pages:</w:t>
      </w:r>
    </w:p>
    <w:p>
      <w:pPr>
        <w:spacing w:after="120" w:before="120"/>
      </w:pPr>
    </w:p>
    <w:p>
      <w:pPr>
        <w:spacing w:after="100" w:before="200"/>
      </w:pPr>
      <w:r>
        <w:rPr>
          <w:rFonts w:ascii="Arial" w:cs="Arial" w:eastAsia="Arial" w:hAnsi="Arial"/>
          <w:b/>
          <w:bCs/>
          <w:color w:val="404040"/>
          <w:sz w:val="24"/>
          <w:szCs w:val="24"/>
        </w:rPr>
        <w:t xml:space="preserve">Page 1 — Executive Summary</w:t>
      </w:r>
    </w:p>
    <w:p>
      <w:pPr>
        <w:pStyle w:val="ListParagraph"/>
        <w:numPr>
          <w:ilvl w:val="0"/>
          <w:numId w:val="2"/>
        </w:numPr>
        <w:spacing w:after="60" w:before="60"/>
      </w:pPr>
      <w:r>
        <w:rPr>
          <w:rFonts w:ascii="Arial" w:cs="Arial" w:eastAsia="Arial" w:hAnsi="Arial"/>
          <w:sz w:val="22"/>
          <w:szCs w:val="22"/>
        </w:rPr>
        <w:t xml:space="preserve">Five KPI cards: Total Revenue, OpEx, NII, Provisions, and Headcount</w:t>
      </w:r>
    </w:p>
    <w:p>
      <w:pPr>
        <w:pStyle w:val="ListParagraph"/>
        <w:numPr>
          <w:ilvl w:val="0"/>
          <w:numId w:val="2"/>
        </w:numPr>
        <w:spacing w:after="60" w:before="60"/>
      </w:pPr>
      <w:r>
        <w:rPr>
          <w:rFonts w:ascii="Arial" w:cs="Arial" w:eastAsia="Arial" w:hAnsi="Arial"/>
          <w:sz w:val="22"/>
          <w:szCs w:val="22"/>
        </w:rPr>
        <w:t xml:space="preserve">Line chart: Monthly Revenue Trend (Jan-Dec FY2024)</w:t>
      </w:r>
    </w:p>
    <w:p>
      <w:pPr>
        <w:pStyle w:val="ListParagraph"/>
        <w:numPr>
          <w:ilvl w:val="0"/>
          <w:numId w:val="2"/>
        </w:numPr>
        <w:spacing w:after="60" w:before="60"/>
      </w:pPr>
      <w:r>
        <w:rPr>
          <w:rFonts w:ascii="Arial" w:cs="Arial" w:eastAsia="Arial" w:hAnsi="Arial"/>
          <w:sz w:val="22"/>
          <w:szCs w:val="22"/>
        </w:rPr>
        <w:t xml:space="preserve">Bar chart: Revenue by Division FY2024</w:t>
      </w:r>
    </w:p>
    <w:p>
      <w:pPr>
        <w:spacing w:after="120" w:before="120"/>
      </w:pPr>
    </w:p>
    <w:p>
      <w:pPr>
        <w:spacing w:after="100" w:before="200"/>
      </w:pPr>
      <w:r>
        <w:rPr>
          <w:rFonts w:ascii="Arial" w:cs="Arial" w:eastAsia="Arial" w:hAnsi="Arial"/>
          <w:b/>
          <w:bCs/>
          <w:color w:val="404040"/>
          <w:sz w:val="24"/>
          <w:szCs w:val="24"/>
        </w:rPr>
        <w:t xml:space="preserve">Page 2 — Division Breakdown</w:t>
      </w:r>
    </w:p>
    <w:p>
      <w:pPr>
        <w:pStyle w:val="ListParagraph"/>
        <w:numPr>
          <w:ilvl w:val="0"/>
          <w:numId w:val="2"/>
        </w:numPr>
        <w:spacing w:after="60" w:before="60"/>
      </w:pPr>
      <w:r>
        <w:rPr>
          <w:rFonts w:ascii="Arial" w:cs="Arial" w:eastAsia="Arial" w:hAnsi="Arial"/>
          <w:sz w:val="22"/>
          <w:szCs w:val="22"/>
        </w:rPr>
        <w:t xml:space="preserve">Stacked column chart: Revenue vs OpEx by Division</w:t>
      </w:r>
    </w:p>
    <w:p>
      <w:pPr>
        <w:pStyle w:val="ListParagraph"/>
        <w:numPr>
          <w:ilvl w:val="0"/>
          <w:numId w:val="2"/>
        </w:numPr>
        <w:spacing w:after="60" w:before="60"/>
      </w:pPr>
      <w:r>
        <w:rPr>
          <w:rFonts w:ascii="Arial" w:cs="Arial" w:eastAsia="Arial" w:hAnsi="Arial"/>
          <w:sz w:val="22"/>
          <w:szCs w:val="22"/>
        </w:rPr>
        <w:t xml:space="preserve">Donut chart: Revenue Share by Division (%)</w:t>
      </w:r>
    </w:p>
    <w:p>
      <w:pPr>
        <w:pStyle w:val="ListParagraph"/>
        <w:numPr>
          <w:ilvl w:val="0"/>
          <w:numId w:val="2"/>
        </w:numPr>
        <w:spacing w:after="60" w:before="60"/>
      </w:pPr>
      <w:r>
        <w:rPr>
          <w:rFonts w:ascii="Arial" w:cs="Arial" w:eastAsia="Arial" w:hAnsi="Arial"/>
          <w:sz w:val="22"/>
          <w:szCs w:val="22"/>
        </w:rPr>
        <w:t xml:space="preserve">Summary table: Revenue, OpEx, Net Profit, Headcount per division</w:t>
      </w:r>
    </w:p>
    <w:p>
      <w:pPr>
        <w:spacing w:after="120" w:before="120"/>
      </w:pPr>
    </w:p>
    <w:p>
      <w:pPr>
        <w:spacing w:after="100" w:before="200"/>
      </w:pPr>
      <w:r>
        <w:rPr>
          <w:rFonts w:ascii="Arial" w:cs="Arial" w:eastAsia="Arial" w:hAnsi="Arial"/>
          <w:b/>
          <w:bCs/>
          <w:color w:val="404040"/>
          <w:sz w:val="24"/>
          <w:szCs w:val="24"/>
        </w:rPr>
        <w:t xml:space="preserve">Page 3 — Variance Analysis</w:t>
      </w:r>
    </w:p>
    <w:p>
      <w:pPr>
        <w:pStyle w:val="ListParagraph"/>
        <w:numPr>
          <w:ilvl w:val="0"/>
          <w:numId w:val="2"/>
        </w:numPr>
        <w:spacing w:after="60" w:before="60"/>
      </w:pPr>
      <w:r>
        <w:rPr>
          <w:rFonts w:ascii="Arial" w:cs="Arial" w:eastAsia="Arial" w:hAnsi="Arial"/>
          <w:sz w:val="22"/>
          <w:szCs w:val="22"/>
        </w:rPr>
        <w:t xml:space="preserve">Clustered column chart: Actuals vs Budget by Month</w:t>
      </w:r>
    </w:p>
    <w:p>
      <w:pPr>
        <w:pStyle w:val="ListParagraph"/>
        <w:numPr>
          <w:ilvl w:val="0"/>
          <w:numId w:val="2"/>
        </w:numPr>
        <w:spacing w:after="60" w:before="60"/>
      </w:pPr>
      <w:r>
        <w:rPr>
          <w:rFonts w:ascii="Arial" w:cs="Arial" w:eastAsia="Arial" w:hAnsi="Arial"/>
          <w:sz w:val="22"/>
          <w:szCs w:val="22"/>
        </w:rPr>
        <w:t xml:space="preserve">Line chart: Revenue Trend — Actual vs Budget (Jan-Dec)</w:t>
      </w:r>
    </w:p>
    <w:p>
      <w:pPr>
        <w:pStyle w:val="ListParagraph"/>
        <w:numPr>
          <w:ilvl w:val="0"/>
          <w:numId w:val="2"/>
        </w:numPr>
        <w:spacing w:after="60" w:before="60"/>
      </w:pPr>
      <w:r>
        <w:rPr>
          <w:rFonts w:ascii="Arial" w:cs="Arial" w:eastAsia="Arial" w:hAnsi="Arial"/>
          <w:sz w:val="22"/>
          <w:szCs w:val="22"/>
        </w:rPr>
        <w:t xml:space="preserve">Variance table: Actual vs Budget revenue per division</w:t>
      </w:r>
    </w:p>
    <w:p>
      <w:pPr>
        <w:pBdr>
          <w:bottom w:val="single" w:color="2E75B6" w:sz="4" w:space="1"/>
        </w:pBdr>
        <w:spacing w:after="160" w:before="160"/>
      </w:pPr>
    </w:p>
    <w:p>
      <w:pPr>
        <w:pStyle w:val="Heading1"/>
        <w:spacing w:after="160" w:before="320"/>
      </w:pPr>
      <w:r>
        <w:rPr>
          <w:rFonts w:ascii="Arial" w:cs="Arial" w:eastAsia="Arial" w:hAnsi="Arial"/>
          <w:b/>
          <w:bCs/>
          <w:color w:val="1F4E79"/>
          <w:sz w:val="32"/>
          <w:szCs w:val="32"/>
        </w:rPr>
        <w:t xml:space="preserve">5. Key Findings</w:t>
      </w:r>
    </w:p>
    <w:p>
      <w:pPr>
        <w:spacing w:after="80" w:before="80"/>
      </w:pPr>
      <w:r>
        <w:rPr>
          <w:rFonts w:ascii="Arial" w:cs="Arial" w:eastAsia="Arial" w:hAnsi="Arial"/>
          <w:sz w:val="22"/>
          <w:szCs w:val="22"/>
        </w:rPr>
        <w:t xml:space="preserve">After building the dashboard, the following insights emerged from the data:</w:t>
      </w:r>
    </w:p>
    <w:p>
      <w:pPr>
        <w:spacing w:after="120" w:before="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27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Implication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Corporate Banking dominates revenue</w:t>
            </w:r>
          </w:p>
        </w:tc>
        <w:tc>
          <w:tcPr>
            <w:tcW w:type="dxa" w:w="3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NGN 97.7B — 41.8% of total FY2024 revenue</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High concentration risk; over-reliance on one division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 finished below budget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 NGN 233.5B vs Budget NGN 237.7B (-1.8%)</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NGN 4.2B shortfall requires management explanation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All divisions missed targets</w:t>
            </w:r>
          </w:p>
        </w:tc>
        <w:tc>
          <w:tcPr>
            <w:tcW w:type="dxa" w:w="3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Corporate closest at 98.6% attainment</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Systemic budget-setting issue or macro headwinds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Banking fastest growing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Strongest month-on-month revenue growth trajectory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Prioritise investment in digital channels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Consistent revenue growth</w:t>
            </w:r>
          </w:p>
        </w:tc>
        <w:tc>
          <w:tcPr>
            <w:tcW w:type="dxa" w:w="3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Jan: NGN 16.9B to Dec: NGN 22.8B (+35%)</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Strong underlying momentum despite budget miss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Improving cost efficiency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Cost-to-Income declined from 52.1% (Jan) to 48.9% (Dec)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leverage improving across the year</w:t>
            </w:r>
          </w:p>
        </w:tc>
      </w:tr>
    </w:tbl>
    <w:p>
      <w:pPr>
        <w:pBdr>
          <w:bottom w:val="single" w:color="2E75B6" w:sz="4" w:space="1"/>
        </w:pBdr>
        <w:spacing w:after="160" w:before="160"/>
      </w:pPr>
    </w:p>
    <w:p>
      <w:pPr>
        <w:pStyle w:val="Heading1"/>
        <w:spacing w:after="160" w:before="320"/>
      </w:pPr>
      <w:r>
        <w:rPr>
          <w:rFonts w:ascii="Arial" w:cs="Arial" w:eastAsia="Arial" w:hAnsi="Arial"/>
          <w:b/>
          <w:bCs/>
          <w:color w:val="1F4E79"/>
          <w:sz w:val="32"/>
          <w:szCs w:val="32"/>
        </w:rPr>
        <w:t xml:space="preserve">6. Challenges &amp; What I Learned</w:t>
      </w:r>
    </w:p>
    <w:p>
      <w:pPr>
        <w:spacing w:after="80" w:before="80"/>
      </w:pPr>
      <w:r>
        <w:rPr>
          <w:rFonts w:ascii="Arial" w:cs="Arial" w:eastAsia="Arial" w:hAnsi="Arial"/>
          <w:sz w:val="22"/>
          <w:szCs w:val="22"/>
        </w:rPr>
        <w:t xml:space="preserve">This project took significantly longer than expected and involved several real technical problems that were not covered in any tutorial I had followed:</w:t>
      </w:r>
    </w:p>
    <w:p>
      <w:pPr>
        <w:spacing w:after="120" w:before="120"/>
      </w:pPr>
    </w:p>
    <w:p>
      <w:pPr>
        <w:pStyle w:val="ListParagraph"/>
        <w:numPr>
          <w:ilvl w:val="0"/>
          <w:numId w:val="2"/>
        </w:numPr>
        <w:spacing w:after="60" w:before="60"/>
      </w:pPr>
      <w:r>
        <w:rPr>
          <w:rFonts w:ascii="Arial" w:cs="Arial" w:eastAsia="Arial" w:hAnsi="Arial"/>
          <w:sz w:val="22"/>
          <w:szCs w:val="22"/>
        </w:rPr>
        <w:t xml:space="preserve">Power Query M code syntax errors when setting file paths — learned the difference between forward and backslash path conventions</w:t>
      </w:r>
    </w:p>
    <w:p>
      <w:pPr>
        <w:pStyle w:val="ListParagraph"/>
        <w:numPr>
          <w:ilvl w:val="0"/>
          <w:numId w:val="2"/>
        </w:numPr>
        <w:spacing w:after="60" w:before="60"/>
      </w:pPr>
      <w:r>
        <w:rPr>
          <w:rFonts w:ascii="Arial" w:cs="Arial" w:eastAsia="Arial" w:hAnsi="Arial"/>
          <w:sz w:val="22"/>
          <w:szCs w:val="22"/>
        </w:rPr>
        <w:t xml:space="preserve">PowerPivot relationship failure due to duplicate DateKeys in DimCalendar — fixed by collapsing the table from daily to monthly granularity, which taught me why dimension table granularity is a critical modelling decision</w:t>
      </w:r>
    </w:p>
    <w:p>
      <w:pPr>
        <w:pStyle w:val="ListParagraph"/>
        <w:numPr>
          <w:ilvl w:val="0"/>
          <w:numId w:val="2"/>
        </w:numPr>
        <w:spacing w:after="60" w:before="60"/>
      </w:pPr>
      <w:r>
        <w:rPr>
          <w:rFonts w:ascii="Arial" w:cs="Arial" w:eastAsia="Arial" w:hAnsi="Arial"/>
          <w:sz w:val="22"/>
          <w:szCs w:val="22"/>
        </w:rPr>
        <w:t xml:space="preserve">Power BI web vs desktop compatibility issues — the web version could not read the PowerPivot data model directly when using a university Microsoft account, requiring the data to be staged as Excel sheets first</w:t>
      </w:r>
    </w:p>
    <w:p>
      <w:pPr>
        <w:pStyle w:val="ListParagraph"/>
        <w:numPr>
          <w:ilvl w:val="0"/>
          <w:numId w:val="2"/>
        </w:numPr>
        <w:spacing w:after="60" w:before="60"/>
      </w:pPr>
      <w:r>
        <w:rPr>
          <w:rFonts w:ascii="Arial" w:cs="Arial" w:eastAsia="Arial" w:hAnsi="Arial"/>
          <w:sz w:val="22"/>
          <w:szCs w:val="22"/>
        </w:rPr>
        <w:t xml:space="preserve">Many-to-many relationship challenge between Actuals and Budget on the Division column — resolved using a DAX CALCULATE + FILTER measure rather than a direct relationship</w:t>
      </w:r>
    </w:p>
    <w:p>
      <w:pPr>
        <w:spacing w:after="120" w:before="120"/>
      </w:pPr>
    </w:p>
    <w:p>
      <w:pPr>
        <w:spacing w:after="80" w:before="80"/>
      </w:pPr>
      <w:r>
        <w:rPr>
          <w:rFonts w:ascii="Arial" w:cs="Arial" w:eastAsia="Arial" w:hAnsi="Arial"/>
          <w:sz w:val="22"/>
          <w:szCs w:val="22"/>
        </w:rPr>
        <w:t xml:space="preserve">The most valuable lesson was that data modelling decisions made early in a project have large downstream consequences. Choosing the wrong granularity for a dimension table, or not planning relationships before loading data, creates problems that are difficult to fix later.</w:t>
      </w:r>
    </w:p>
    <w:p>
      <w:pPr>
        <w:pBdr>
          <w:bottom w:val="single" w:color="2E75B6" w:sz="4" w:space="1"/>
        </w:pBdr>
        <w:spacing w:after="160" w:before="160"/>
      </w:pPr>
    </w:p>
    <w:p>
      <w:pPr>
        <w:pStyle w:val="Heading1"/>
        <w:spacing w:after="160" w:before="320"/>
      </w:pPr>
      <w:r>
        <w:rPr>
          <w:rFonts w:ascii="Arial" w:cs="Arial" w:eastAsia="Arial" w:hAnsi="Arial"/>
          <w:b/>
          <w:bCs/>
          <w:color w:val="1F4E79"/>
          <w:sz w:val="32"/>
          <w:szCs w:val="32"/>
        </w:rPr>
        <w:t xml:space="preserve">7. Limitations &amp; Next Steps</w:t>
      </w:r>
    </w:p>
    <w:p>
      <w:pPr>
        <w:pStyle w:val="Heading2"/>
        <w:spacing w:after="120" w:before="240"/>
      </w:pPr>
      <w:r>
        <w:rPr>
          <w:rFonts w:ascii="Arial" w:cs="Arial" w:eastAsia="Arial" w:hAnsi="Arial"/>
          <w:b/>
          <w:bCs/>
          <w:color w:val="2E75B6"/>
          <w:sz w:val="26"/>
          <w:szCs w:val="26"/>
        </w:rPr>
        <w:t xml:space="preserve">7.1  Current Limitations</w:t>
      </w:r>
    </w:p>
    <w:p>
      <w:pPr>
        <w:pStyle w:val="ListParagraph"/>
        <w:numPr>
          <w:ilvl w:val="0"/>
          <w:numId w:val="2"/>
        </w:numPr>
        <w:spacing w:after="60" w:before="60"/>
      </w:pPr>
      <w:r>
        <w:rPr>
          <w:rFonts w:ascii="Arial" w:cs="Arial" w:eastAsia="Arial" w:hAnsi="Arial"/>
          <w:sz w:val="22"/>
          <w:szCs w:val="22"/>
        </w:rPr>
        <w:t xml:space="preserve">The dataset is synthetic — findings are illustrative, not based on real institution data</w:t>
      </w:r>
    </w:p>
    <w:p>
      <w:pPr>
        <w:pStyle w:val="ListParagraph"/>
        <w:numPr>
          <w:ilvl w:val="0"/>
          <w:numId w:val="2"/>
        </w:numPr>
        <w:spacing w:after="60" w:before="60"/>
      </w:pPr>
      <w:r>
        <w:rPr>
          <w:rFonts w:ascii="Arial" w:cs="Arial" w:eastAsia="Arial" w:hAnsi="Arial"/>
          <w:sz w:val="22"/>
          <w:szCs w:val="22"/>
        </w:rPr>
        <w:t xml:space="preserve">Only one year of data (FY2024) — YoY comparisons and trend analysis would require historical data</w:t>
      </w:r>
    </w:p>
    <w:p>
      <w:pPr>
        <w:pStyle w:val="ListParagraph"/>
        <w:numPr>
          <w:ilvl w:val="0"/>
          <w:numId w:val="2"/>
        </w:numPr>
        <w:spacing w:after="60" w:before="60"/>
      </w:pPr>
      <w:r>
        <w:rPr>
          <w:rFonts w:ascii="Arial" w:cs="Arial" w:eastAsia="Arial" w:hAnsi="Arial"/>
          <w:sz w:val="22"/>
          <w:szCs w:val="22"/>
        </w:rPr>
        <w:t xml:space="preserve">The dashboard does not include loan book data, balance sheet metrics, or capital adequacy detail</w:t>
      </w:r>
    </w:p>
    <w:p>
      <w:pPr>
        <w:pStyle w:val="ListParagraph"/>
        <w:numPr>
          <w:ilvl w:val="0"/>
          <w:numId w:val="2"/>
        </w:numPr>
        <w:spacing w:after="60" w:before="60"/>
      </w:pPr>
      <w:r>
        <w:rPr>
          <w:rFonts w:ascii="Arial" w:cs="Arial" w:eastAsia="Arial" w:hAnsi="Arial"/>
          <w:sz w:val="22"/>
          <w:szCs w:val="22"/>
        </w:rPr>
        <w:t xml:space="preserve">Division-level budget relationship uses a DAX workaround rather than a clean model relationship</w:t>
      </w:r>
    </w:p>
    <w:p>
      <w:pPr>
        <w:spacing w:after="120" w:before="120"/>
      </w:pPr>
    </w:p>
    <w:p>
      <w:pPr>
        <w:pStyle w:val="Heading2"/>
        <w:spacing w:after="120" w:before="240"/>
      </w:pPr>
      <w:r>
        <w:rPr>
          <w:rFonts w:ascii="Arial" w:cs="Arial" w:eastAsia="Arial" w:hAnsi="Arial"/>
          <w:b/>
          <w:bCs/>
          <w:color w:val="2E75B6"/>
          <w:sz w:val="26"/>
          <w:szCs w:val="26"/>
        </w:rPr>
        <w:t xml:space="preserve">7.2  What I Would Do With Real Data</w:t>
      </w:r>
    </w:p>
    <w:p>
      <w:pPr>
        <w:pStyle w:val="ListParagraph"/>
        <w:numPr>
          <w:ilvl w:val="0"/>
          <w:numId w:val="2"/>
        </w:numPr>
        <w:spacing w:after="60" w:before="60"/>
      </w:pPr>
      <w:r>
        <w:rPr>
          <w:rFonts w:ascii="Arial" w:cs="Arial" w:eastAsia="Arial" w:hAnsi="Arial"/>
          <w:sz w:val="22"/>
          <w:szCs w:val="22"/>
        </w:rPr>
        <w:t xml:space="preserve">Source actual CBN industry data or a bank's published annual report financials</w:t>
      </w:r>
    </w:p>
    <w:p>
      <w:pPr>
        <w:pStyle w:val="ListParagraph"/>
        <w:numPr>
          <w:ilvl w:val="0"/>
          <w:numId w:val="2"/>
        </w:numPr>
        <w:spacing w:after="60" w:before="60"/>
      </w:pPr>
      <w:r>
        <w:rPr>
          <w:rFonts w:ascii="Arial" w:cs="Arial" w:eastAsia="Arial" w:hAnsi="Arial"/>
          <w:sz w:val="22"/>
          <w:szCs w:val="22"/>
        </w:rPr>
        <w:t xml:space="preserve">Build a 3-5 year model to enable proper YoY trend analysis and forecasting</w:t>
      </w:r>
    </w:p>
    <w:p>
      <w:pPr>
        <w:pStyle w:val="ListParagraph"/>
        <w:numPr>
          <w:ilvl w:val="0"/>
          <w:numId w:val="2"/>
        </w:numPr>
        <w:spacing w:after="60" w:before="60"/>
      </w:pPr>
      <w:r>
        <w:rPr>
          <w:rFonts w:ascii="Arial" w:cs="Arial" w:eastAsia="Arial" w:hAnsi="Arial"/>
          <w:sz w:val="22"/>
          <w:szCs w:val="22"/>
        </w:rPr>
        <w:t xml:space="preserve">Add Row-Level Security (RLS) in Power BI so each division head only sees their own data</w:t>
      </w:r>
    </w:p>
    <w:p>
      <w:pPr>
        <w:pStyle w:val="ListParagraph"/>
        <w:numPr>
          <w:ilvl w:val="0"/>
          <w:numId w:val="2"/>
        </w:numPr>
        <w:spacing w:after="60" w:before="60"/>
      </w:pPr>
      <w:r>
        <w:rPr>
          <w:rFonts w:ascii="Arial" w:cs="Arial" w:eastAsia="Arial" w:hAnsi="Arial"/>
          <w:sz w:val="22"/>
          <w:szCs w:val="22"/>
        </w:rPr>
        <w:t xml:space="preserve">Connect to a live SQL database rather than static CSVs for real-time refresh</w:t>
      </w:r>
    </w:p>
    <w:p>
      <w:pPr>
        <w:pStyle w:val="ListParagraph"/>
        <w:numPr>
          <w:ilvl w:val="0"/>
          <w:numId w:val="2"/>
        </w:numPr>
        <w:spacing w:after="60" w:before="60"/>
      </w:pPr>
      <w:r>
        <w:rPr>
          <w:rFonts w:ascii="Arial" w:cs="Arial" w:eastAsia="Arial" w:hAnsi="Arial"/>
          <w:sz w:val="22"/>
          <w:szCs w:val="22"/>
        </w:rPr>
        <w:t xml:space="preserve">Add a predictive layer using Python (Pandas + Scikit-learn) for revenue forecasting</w:t>
      </w:r>
    </w:p>
    <w:p>
      <w:pPr>
        <w:pBdr>
          <w:bottom w:val="single" w:color="2E75B6" w:sz="4" w:space="1"/>
        </w:pBdr>
        <w:spacing w:after="160" w:before="160"/>
      </w:pPr>
    </w:p>
    <w:p>
      <w:pPr>
        <w:pStyle w:val="Heading1"/>
        <w:spacing w:after="160" w:before="320"/>
      </w:pPr>
      <w:r>
        <w:rPr>
          <w:rFonts w:ascii="Arial" w:cs="Arial" w:eastAsia="Arial" w:hAnsi="Arial"/>
          <w:b/>
          <w:bCs/>
          <w:color w:val="1F4E79"/>
          <w:sz w:val="32"/>
          <w:szCs w:val="32"/>
        </w:rPr>
        <w:t xml:space="preserve">8. Files in This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FirstAxis_Actuals.csv</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Raw monthly P&amp;L actuals — the starting point of the pipeline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FirstAxis_Budget.csv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monthly budget targets</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FirstAxis_KPIs.csv</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Monthly banking ratios and regulatory KPIs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FirstAxis_FinancialModel.xlsx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 workbook containing Power Query ETL and PowerPivot data model</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screenshots/page1_executive_summary.png</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Dashboard Page 1 screenshot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screenshots/page2_division_breakdown.png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Page 2 screenshot</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screenshots/page3_variance_analysis.png</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Dashboard Page 3 screenshot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FirstAxis_Dashboard.pdf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Exported PDF of all three dashboard pages</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CASE_STUDY.docx</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This document — full project methodology and findings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README.md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overview and quick-start guide</w:t>
            </w:r>
          </w:p>
        </w:tc>
      </w:tr>
    </w:tbl>
    <w:p>
      <w:pPr>
        <w:pBdr>
          <w:bottom w:val="single" w:color="2E75B6" w:sz="4" w:space="1"/>
        </w:pBdr>
        <w:spacing w:after="160" w:before="160"/>
      </w:pPr>
    </w:p>
    <w:p>
      <w:pPr>
        <w:spacing w:after="120" w:before="120"/>
      </w:pPr>
    </w:p>
    <w:p>
      <w:pPr>
        <w:spacing w:after="80" w:before="200"/>
        <w:jc w:val="center"/>
      </w:pPr>
      <w:r>
        <w:rPr>
          <w:rFonts w:ascii="Arial" w:cs="Arial" w:eastAsia="Arial" w:hAnsi="Arial"/>
          <w:i/>
          <w:iCs/>
          <w:color w:val="888888"/>
          <w:sz w:val="20"/>
          <w:szCs w:val="20"/>
        </w:rPr>
        <w:t xml:space="preserve">Built with real curiosity and a lot of troubleshooting.</w:t>
      </w:r>
    </w:p>
    <w:p>
      <w:pPr>
        <w:spacing w:after="0" w:before="0"/>
        <w:jc w:val="center"/>
      </w:pPr>
      <w:r>
        <w:rPr>
          <w:rFonts w:ascii="Arial" w:cs="Arial" w:eastAsia="Arial" w:hAnsi="Arial"/>
          <w:color w:val="888888"/>
          <w:sz w:val="20"/>
          <w:szCs w:val="20"/>
        </w:rPr>
        <w:t xml:space="preserve">Michael Adedayo  ·  April 2026  ·  Business Analytics Portfolio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2026-04-13T10:07:47.796Z</dcterms:created>
  <dcterms:modified xsi:type="dcterms:W3CDTF">2026-04-13T10:07:47.797Z</dcterms:modified>
</cp:coreProperties>
</file>

<file path=docProps/custom.xml><?xml version="1.0" encoding="utf-8"?>
<Properties xmlns="http://schemas.openxmlformats.org/officeDocument/2006/custom-properties" xmlns:vt="http://schemas.openxmlformats.org/officeDocument/2006/docPropsVTypes"/>
</file>